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1F1A43" w14:textId="22213313" w:rsidR="00A24D67" w:rsidRPr="0054775B" w:rsidRDefault="00A24D67" w:rsidP="009E6F7F">
      <w:r w:rsidRPr="0054775B">
        <w:rPr>
          <w:noProof/>
          <w:lang w:eastAsia="en-AU"/>
        </w:rPr>
        <w:drawing>
          <wp:anchor distT="0" distB="0" distL="114300" distR="114300" simplePos="0" relativeHeight="251658240" behindDoc="1" locked="0" layoutInCell="1" allowOverlap="1" wp14:anchorId="43684AF5" wp14:editId="4F489DA3">
            <wp:simplePos x="0" y="0"/>
            <wp:positionH relativeFrom="margin">
              <wp:align>left</wp:align>
            </wp:positionH>
            <wp:positionV relativeFrom="paragraph">
              <wp:posOffset>0</wp:posOffset>
            </wp:positionV>
            <wp:extent cx="3054350" cy="1137920"/>
            <wp:effectExtent l="0" t="0" r="0" b="508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068824" cy="114356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F3F7F50" w14:textId="77777777" w:rsidR="00A24D67" w:rsidRPr="0054775B" w:rsidRDefault="00A24D67" w:rsidP="009E6F7F"/>
    <w:p w14:paraId="42040D62" w14:textId="77777777" w:rsidR="00A24D67" w:rsidRPr="0054775B" w:rsidRDefault="00A24D67" w:rsidP="009E6F7F"/>
    <w:p w14:paraId="3082430B" w14:textId="41EF7CD2" w:rsidR="00A24D67" w:rsidRPr="0054775B" w:rsidRDefault="00A24D67" w:rsidP="009E6F7F"/>
    <w:p w14:paraId="1052B9B1" w14:textId="77777777" w:rsidR="00A24D67" w:rsidRPr="0054775B" w:rsidRDefault="00A24D67" w:rsidP="009E6F7F"/>
    <w:p w14:paraId="50AA73B9" w14:textId="77777777" w:rsidR="00A24D67" w:rsidRPr="0054775B" w:rsidRDefault="00A24D67" w:rsidP="009E6F7F"/>
    <w:p w14:paraId="0BBE8ADF" w14:textId="548F4461" w:rsidR="00A24D67" w:rsidRPr="0054775B" w:rsidRDefault="00A24D67" w:rsidP="009E6F7F">
      <w:pPr>
        <w:pStyle w:val="TitlePage"/>
      </w:pPr>
    </w:p>
    <w:p w14:paraId="6C5170C7" w14:textId="77777777" w:rsidR="00242545" w:rsidRPr="0054775B" w:rsidRDefault="00242545" w:rsidP="009E6F7F">
      <w:pPr>
        <w:pStyle w:val="2024TitleNONUMBER"/>
      </w:pPr>
      <w:r w:rsidRPr="0054775B">
        <w:t>Evidence on the clinical effectiveness of selected nutritional supplements prescribed in the context of naturopathic practice for preventing and/or treating injury, disease, medical conditions, or pre-clinical conditions: Overview of Reviews</w:t>
      </w:r>
    </w:p>
    <w:p w14:paraId="3123A6CE" w14:textId="77777777" w:rsidR="00A24D67" w:rsidRPr="0054775B" w:rsidRDefault="00A24D67" w:rsidP="009E6F7F"/>
    <w:p w14:paraId="333DE210" w14:textId="77777777" w:rsidR="00A24D67" w:rsidRDefault="00A24D67" w:rsidP="009E6F7F">
      <w:pPr>
        <w:rPr>
          <w:b/>
          <w:bCs/>
          <w:color w:val="C00000"/>
          <w:sz w:val="28"/>
          <w:szCs w:val="28"/>
        </w:rPr>
      </w:pPr>
    </w:p>
    <w:p w14:paraId="21A1168C" w14:textId="77777777" w:rsidR="00DE4360" w:rsidRPr="0054775B" w:rsidRDefault="00DE4360" w:rsidP="009E6F7F"/>
    <w:p w14:paraId="681644F8" w14:textId="27657A16" w:rsidR="00A24D67" w:rsidRPr="0054775B" w:rsidRDefault="00A24D67" w:rsidP="009E6F7F">
      <w:pPr>
        <w:pStyle w:val="Title"/>
      </w:pPr>
      <w:r w:rsidRPr="0054775B">
        <w:t xml:space="preserve">Version </w:t>
      </w:r>
      <w:r w:rsidRPr="0054775B">
        <w:tab/>
      </w:r>
      <w:r w:rsidR="002F3D41">
        <w:t>3</w:t>
      </w:r>
    </w:p>
    <w:p w14:paraId="5240122C" w14:textId="1E2D2B2C" w:rsidR="00A24D67" w:rsidRPr="0054775B" w:rsidRDefault="00A24D67" w:rsidP="009E6F7F">
      <w:pPr>
        <w:pStyle w:val="Title"/>
      </w:pPr>
      <w:r w:rsidRPr="0054775B">
        <w:t>Date</w:t>
      </w:r>
      <w:r w:rsidRPr="0054775B">
        <w:tab/>
      </w:r>
      <w:r w:rsidRPr="0054775B">
        <w:tab/>
      </w:r>
      <w:r w:rsidR="00A57CF5">
        <w:t>2</w:t>
      </w:r>
      <w:r w:rsidR="002F3D41">
        <w:t>7</w:t>
      </w:r>
      <w:r w:rsidR="00C605F9" w:rsidRPr="0054775B" w:rsidDel="002F3D41">
        <w:t xml:space="preserve"> </w:t>
      </w:r>
      <w:r w:rsidR="002F3D41">
        <w:t>September</w:t>
      </w:r>
      <w:r w:rsidR="002F3D41" w:rsidRPr="0054775B">
        <w:t xml:space="preserve"> </w:t>
      </w:r>
      <w:r w:rsidR="00834459" w:rsidRPr="0054775B">
        <w:t>2024</w:t>
      </w:r>
    </w:p>
    <w:p w14:paraId="7F05FBE5" w14:textId="77777777" w:rsidR="00A24D67" w:rsidRPr="0054775B" w:rsidRDefault="00A24D67" w:rsidP="009E6F7F"/>
    <w:p w14:paraId="239D7F32" w14:textId="77777777" w:rsidR="00A24D67" w:rsidRPr="0054775B" w:rsidRDefault="00A24D67" w:rsidP="009E6F7F">
      <w:pPr>
        <w:pStyle w:val="Title"/>
      </w:pPr>
      <w:r w:rsidRPr="0054775B">
        <w:t xml:space="preserve">Prepared for </w:t>
      </w:r>
    </w:p>
    <w:p w14:paraId="6C257681" w14:textId="77777777" w:rsidR="00A24D67" w:rsidRPr="0054775B" w:rsidRDefault="00A24D67" w:rsidP="009E6F7F">
      <w:pPr>
        <w:pStyle w:val="Title"/>
      </w:pPr>
      <w:r w:rsidRPr="0054775B">
        <w:t>National Health and Medical Research Council</w:t>
      </w:r>
      <w:r w:rsidRPr="0054775B">
        <w:cr/>
      </w:r>
    </w:p>
    <w:p w14:paraId="74402ECB" w14:textId="77777777" w:rsidR="00A24D67" w:rsidRPr="0054775B" w:rsidRDefault="00A24D67" w:rsidP="009E6F7F">
      <w:pPr>
        <w:pStyle w:val="Title"/>
      </w:pPr>
      <w:r w:rsidRPr="0054775B">
        <w:t>Prepared by</w:t>
      </w:r>
    </w:p>
    <w:p w14:paraId="5D500C5E" w14:textId="77777777" w:rsidR="00A24D67" w:rsidRPr="0054775B" w:rsidRDefault="00A24D67" w:rsidP="009E6F7F">
      <w:pPr>
        <w:pStyle w:val="Title"/>
      </w:pPr>
      <w:r w:rsidRPr="0054775B">
        <w:t>Centre for Applied Health Economics</w:t>
      </w:r>
    </w:p>
    <w:p w14:paraId="62F75E45" w14:textId="77777777" w:rsidR="00A24D67" w:rsidRPr="0054775B" w:rsidRDefault="00A24D67" w:rsidP="009E6F7F">
      <w:pPr>
        <w:pStyle w:val="Title"/>
      </w:pPr>
      <w:r w:rsidRPr="0054775B">
        <w:t>Griffith University</w:t>
      </w:r>
      <w:r w:rsidRPr="0054775B">
        <w:tab/>
      </w:r>
    </w:p>
    <w:p w14:paraId="46E85B07" w14:textId="77777777" w:rsidR="00A24D67" w:rsidRPr="0054775B" w:rsidRDefault="00A24D67" w:rsidP="009E6F7F">
      <w:pPr>
        <w:pStyle w:val="Subtitle"/>
      </w:pPr>
      <w:bookmarkStart w:id="0" w:name="_Toc111119243"/>
    </w:p>
    <w:p w14:paraId="5AF8ECD7" w14:textId="77777777" w:rsidR="00A24D67" w:rsidRPr="0054775B" w:rsidRDefault="00A24D67" w:rsidP="009E6F7F">
      <w:pPr>
        <w:pStyle w:val="Subtitle"/>
      </w:pPr>
    </w:p>
    <w:p w14:paraId="1AA2D105" w14:textId="77777777" w:rsidR="00A24D67" w:rsidRPr="0054775B" w:rsidRDefault="00A24D67" w:rsidP="009E6F7F">
      <w:pPr>
        <w:pStyle w:val="Subtitle"/>
      </w:pPr>
    </w:p>
    <w:p w14:paraId="45251E0E" w14:textId="77777777" w:rsidR="00702690" w:rsidRPr="0054775B" w:rsidRDefault="00702690" w:rsidP="009E6F7F">
      <w:pPr>
        <w:pStyle w:val="Subtitle"/>
      </w:pPr>
    </w:p>
    <w:p w14:paraId="3C83FA5F" w14:textId="77777777" w:rsidR="00702690" w:rsidRPr="0054775B" w:rsidRDefault="00702690" w:rsidP="009E6F7F">
      <w:pPr>
        <w:pStyle w:val="Subtitle"/>
      </w:pPr>
    </w:p>
    <w:p w14:paraId="73396948" w14:textId="3BFEE42A" w:rsidR="00A24D67" w:rsidRPr="0054775B" w:rsidRDefault="00A24D67" w:rsidP="00702690">
      <w:pPr>
        <w:rPr>
          <w:b/>
        </w:rPr>
      </w:pPr>
      <w:r w:rsidRPr="0054775B">
        <w:rPr>
          <w:b/>
        </w:rPr>
        <w:lastRenderedPageBreak/>
        <w:t>Copyright</w:t>
      </w:r>
    </w:p>
    <w:p w14:paraId="7C88DF65" w14:textId="6D70B3A4" w:rsidR="00A24D67" w:rsidRPr="0054775B" w:rsidRDefault="00A24D67">
      <w:pPr>
        <w:pStyle w:val="BodyText"/>
        <w:rPr>
          <w:rFonts w:ascii="Aptos" w:hAnsi="Aptos" w:cs="Arial"/>
          <w:sz w:val="21"/>
          <w:szCs w:val="21"/>
          <w:lang w:val="en-GB"/>
        </w:rPr>
      </w:pPr>
      <w:r w:rsidRPr="0054775B">
        <w:rPr>
          <w:rFonts w:ascii="Aptos" w:hAnsi="Aptos" w:cs="Arial"/>
          <w:sz w:val="21"/>
          <w:szCs w:val="21"/>
          <w:lang w:val="en-GB"/>
        </w:rPr>
        <w:t>© Commonwealth of Australia 202</w:t>
      </w:r>
      <w:r w:rsidR="001D6D1B" w:rsidRPr="0054775B">
        <w:rPr>
          <w:rFonts w:ascii="Aptos" w:hAnsi="Aptos" w:cs="Arial"/>
          <w:sz w:val="21"/>
          <w:szCs w:val="21"/>
          <w:lang w:val="en-GB"/>
        </w:rPr>
        <w:t>4</w:t>
      </w:r>
    </w:p>
    <w:p w14:paraId="29EF29CB" w14:textId="77777777" w:rsidR="00A24D67" w:rsidRPr="0054775B" w:rsidRDefault="00A24D67" w:rsidP="00702690">
      <w:r w:rsidRPr="0054775B">
        <w:t>All material presented in this publication is provided under a Creative Commons Attribution 4.0 International licence (www.creativecommons.org.au), with the exception of the Commonwealth Coat of Arms, NHMRC logo and content identified as being owned by third parties. The details of the relevant licence conditions are available on the Creative Commons website (www.creativecommons.org.au), as is the full legal code for the CC BY 4.0 International licence.</w:t>
      </w:r>
    </w:p>
    <w:p w14:paraId="57230D36" w14:textId="77777777" w:rsidR="00A24D67" w:rsidRPr="0054775B" w:rsidRDefault="00A24D67" w:rsidP="00702690"/>
    <w:p w14:paraId="76BEC0DB" w14:textId="77777777" w:rsidR="00A24D67" w:rsidRPr="0054775B" w:rsidRDefault="00A24D67" w:rsidP="00702690">
      <w:pPr>
        <w:rPr>
          <w:b/>
        </w:rPr>
      </w:pPr>
      <w:r w:rsidRPr="0054775B">
        <w:rPr>
          <w:b/>
        </w:rPr>
        <w:t>Attribution</w:t>
      </w:r>
    </w:p>
    <w:p w14:paraId="0EF99583" w14:textId="77777777" w:rsidR="00A24D67" w:rsidRPr="0054775B" w:rsidRDefault="00A24D67" w:rsidP="00702690">
      <w:r w:rsidRPr="0054775B">
        <w:t xml:space="preserve">Creative Commons Attribution 4.0 International Licence is a standard form licence agreement that allows you to copy, distribute, transmit and adapt this publication provided that you attribute the work. The NHMRC preference is that you attribute this publication (and any material sourced from it) using the following wording: </w:t>
      </w:r>
    </w:p>
    <w:p w14:paraId="17E97120" w14:textId="77777777" w:rsidR="00A24D67" w:rsidRPr="0054775B" w:rsidRDefault="00A24D67" w:rsidP="00702690">
      <w:r w:rsidRPr="0054775B">
        <w:t>Source: National Health and Medical Research Council.</w:t>
      </w:r>
    </w:p>
    <w:p w14:paraId="71A58461" w14:textId="77777777" w:rsidR="00A24D67" w:rsidRPr="0054775B" w:rsidRDefault="00A24D67" w:rsidP="00702690"/>
    <w:p w14:paraId="75D4806F" w14:textId="77777777" w:rsidR="00A24D67" w:rsidRPr="0054775B" w:rsidRDefault="00A24D67" w:rsidP="00702690">
      <w:pPr>
        <w:rPr>
          <w:b/>
        </w:rPr>
      </w:pPr>
      <w:r w:rsidRPr="0054775B">
        <w:rPr>
          <w:b/>
        </w:rPr>
        <w:t xml:space="preserve">Use of images </w:t>
      </w:r>
    </w:p>
    <w:p w14:paraId="7450249F" w14:textId="77777777" w:rsidR="00A24D67" w:rsidRPr="0054775B" w:rsidRDefault="00A24D67" w:rsidP="00702690">
      <w:r w:rsidRPr="0054775B">
        <w:t>Unless otherwise stated, all images (including background images, icons and illustrations) are copyrighted by their original owners.</w:t>
      </w:r>
    </w:p>
    <w:p w14:paraId="4199E32B" w14:textId="7FA7EAAE" w:rsidR="00A24D67" w:rsidRPr="0054775B" w:rsidRDefault="00BD196F" w:rsidP="00BD196F">
      <w:pPr>
        <w:tabs>
          <w:tab w:val="left" w:pos="3437"/>
        </w:tabs>
      </w:pPr>
      <w:r>
        <w:tab/>
      </w:r>
    </w:p>
    <w:p w14:paraId="47ACC8C1" w14:textId="77777777" w:rsidR="00A24D67" w:rsidRPr="0054775B" w:rsidRDefault="00A24D67" w:rsidP="00702690">
      <w:pPr>
        <w:rPr>
          <w:b/>
        </w:rPr>
      </w:pPr>
      <w:r w:rsidRPr="0054775B">
        <w:rPr>
          <w:b/>
        </w:rPr>
        <w:t>Contact</w:t>
      </w:r>
    </w:p>
    <w:p w14:paraId="4A9E6FAD" w14:textId="77777777" w:rsidR="00A24D67" w:rsidRPr="0054775B" w:rsidRDefault="00A24D67" w:rsidP="00702690">
      <w:r w:rsidRPr="0054775B">
        <w:t>To obtain information regarding NHMRC publications or submit a copyright request, contact:</w:t>
      </w:r>
    </w:p>
    <w:p w14:paraId="3B2F1857" w14:textId="7C309BD0" w:rsidR="00A24D67" w:rsidRPr="0054775B" w:rsidRDefault="00A24D67" w:rsidP="00702690">
      <w:hyperlink r:id="rId12" w:history="1">
        <w:r w:rsidRPr="0054775B">
          <w:t>communications@nhmrc.gov.au</w:t>
        </w:r>
      </w:hyperlink>
      <w:r w:rsidRPr="0054775B">
        <w:t xml:space="preserve"> </w:t>
      </w:r>
    </w:p>
    <w:p w14:paraId="18C588F1" w14:textId="77777777" w:rsidR="00A24D67" w:rsidRPr="0054775B" w:rsidRDefault="00A24D67" w:rsidP="009E6F7F"/>
    <w:p w14:paraId="6D233607" w14:textId="77777777" w:rsidR="00A24D67" w:rsidRPr="0054775B" w:rsidRDefault="00A24D67" w:rsidP="009E6F7F"/>
    <w:p w14:paraId="7ADC9862" w14:textId="77777777" w:rsidR="00A24D67" w:rsidRPr="0054775B" w:rsidRDefault="00A24D67" w:rsidP="009E6F7F">
      <w:pPr>
        <w:rPr>
          <w:color w:val="C00000"/>
          <w:sz w:val="36"/>
          <w:szCs w:val="36"/>
        </w:rPr>
      </w:pPr>
      <w:r w:rsidRPr="0054775B">
        <w:br w:type="page"/>
      </w:r>
    </w:p>
    <w:p w14:paraId="7BCEF2E4" w14:textId="77777777" w:rsidR="00A24D67" w:rsidRPr="0054775B" w:rsidRDefault="00A24D67" w:rsidP="009E6F7F">
      <w:pPr>
        <w:pStyle w:val="2024TitleNONUMBER"/>
      </w:pPr>
      <w:r w:rsidRPr="0054775B">
        <w:lastRenderedPageBreak/>
        <w:t>Report Information</w:t>
      </w:r>
    </w:p>
    <w:p w14:paraId="4D490871" w14:textId="77777777" w:rsidR="00A24D67" w:rsidRPr="0054775B" w:rsidRDefault="00A24D67" w:rsidP="009E6F7F">
      <w:pPr>
        <w:pStyle w:val="2024SMALLTITLENONUMBER"/>
      </w:pPr>
      <w:r w:rsidRPr="0054775B">
        <w:t>Authors</w:t>
      </w:r>
    </w:p>
    <w:p w14:paraId="4B6BBFF9" w14:textId="122F766D" w:rsidR="00D9369D" w:rsidRPr="0054775B" w:rsidRDefault="00D9369D" w:rsidP="009E6F7F">
      <w:pPr>
        <w:rPr>
          <w:vertAlign w:val="superscript"/>
        </w:rPr>
      </w:pPr>
      <w:r w:rsidRPr="0054775B">
        <w:t>Downes, M.</w:t>
      </w:r>
      <w:r w:rsidRPr="0054775B">
        <w:rPr>
          <w:vertAlign w:val="superscript"/>
        </w:rPr>
        <w:t>1</w:t>
      </w:r>
      <w:r w:rsidRPr="0054775B">
        <w:t>, McFadden, K.</w:t>
      </w:r>
      <w:r w:rsidRPr="0054775B">
        <w:rPr>
          <w:vertAlign w:val="superscript"/>
        </w:rPr>
        <w:t xml:space="preserve"> 1</w:t>
      </w:r>
      <w:r w:rsidRPr="0054775B">
        <w:t xml:space="preserve">, </w:t>
      </w:r>
      <w:r w:rsidR="00781082" w:rsidRPr="0054775B">
        <w:rPr>
          <w:rFonts w:eastAsiaTheme="minorHAnsi"/>
          <w:lang w:eastAsia="en-US"/>
        </w:rPr>
        <w:t>Gardner, C</w:t>
      </w:r>
      <w:r w:rsidRPr="0054775B">
        <w:t>.</w:t>
      </w:r>
      <w:r w:rsidRPr="0054775B">
        <w:rPr>
          <w:vertAlign w:val="superscript"/>
        </w:rPr>
        <w:t>1</w:t>
      </w:r>
    </w:p>
    <w:p w14:paraId="7FB0A186" w14:textId="77777777" w:rsidR="00D9369D" w:rsidRPr="007A046A" w:rsidRDefault="00D9369D" w:rsidP="009E6F7F">
      <w:pPr>
        <w:pStyle w:val="ListParagraph"/>
        <w:numPr>
          <w:ilvl w:val="0"/>
          <w:numId w:val="1"/>
        </w:numPr>
        <w:rPr>
          <w:sz w:val="18"/>
          <w:szCs w:val="18"/>
        </w:rPr>
      </w:pPr>
      <w:r w:rsidRPr="007A046A">
        <w:rPr>
          <w:sz w:val="18"/>
          <w:szCs w:val="18"/>
        </w:rPr>
        <w:t>Centre for Applied Health Economics, Griffith University, Australia</w:t>
      </w:r>
    </w:p>
    <w:p w14:paraId="6AD2AC94" w14:textId="77777777" w:rsidR="00A24D67" w:rsidRPr="0054775B" w:rsidRDefault="00A24D67" w:rsidP="009E6F7F">
      <w:pPr>
        <w:pStyle w:val="2024SMALLTITLENONUMBER"/>
      </w:pPr>
      <w:r w:rsidRPr="0054775B">
        <w:t>Dates</w:t>
      </w:r>
    </w:p>
    <w:p w14:paraId="2F33AC84" w14:textId="6E97B687" w:rsidR="00A24D67" w:rsidRPr="007A046A" w:rsidRDefault="00A24D67" w:rsidP="00D51DE5">
      <w:pPr>
        <w:spacing w:before="0"/>
        <w:rPr>
          <w:sz w:val="20"/>
          <w:szCs w:val="20"/>
        </w:rPr>
      </w:pPr>
      <w:r w:rsidRPr="007A046A">
        <w:rPr>
          <w:sz w:val="20"/>
          <w:szCs w:val="20"/>
        </w:rPr>
        <w:t>This evidence evaluation and accompanying technical report received approval from the National Health and Medical Research Council (NHMRC)</w:t>
      </w:r>
      <w:r w:rsidRPr="007A046A" w:rsidDel="000B04BD">
        <w:rPr>
          <w:sz w:val="20"/>
          <w:szCs w:val="20"/>
        </w:rPr>
        <w:t xml:space="preserve"> Natural Therapies Working Committee (NTWC)</w:t>
      </w:r>
      <w:r w:rsidRPr="007A046A">
        <w:rPr>
          <w:sz w:val="20"/>
          <w:szCs w:val="20"/>
        </w:rPr>
        <w:t xml:space="preserve"> on </w:t>
      </w:r>
      <w:r w:rsidR="00EB1EEA" w:rsidRPr="00DE4360">
        <w:rPr>
          <w:sz w:val="20"/>
          <w:szCs w:val="20"/>
        </w:rPr>
        <w:t>20 November</w:t>
      </w:r>
      <w:r w:rsidRPr="00DE4360">
        <w:rPr>
          <w:sz w:val="20"/>
          <w:szCs w:val="20"/>
        </w:rPr>
        <w:t xml:space="preserve"> 202</w:t>
      </w:r>
      <w:r w:rsidR="002A1146" w:rsidRPr="00DE4360">
        <w:rPr>
          <w:sz w:val="20"/>
          <w:szCs w:val="20"/>
        </w:rPr>
        <w:t>4</w:t>
      </w:r>
      <w:r w:rsidRPr="00DE4360">
        <w:rPr>
          <w:sz w:val="20"/>
          <w:szCs w:val="20"/>
        </w:rPr>
        <w:t>.</w:t>
      </w:r>
    </w:p>
    <w:p w14:paraId="6C6E1C71" w14:textId="567F3A88" w:rsidR="00A24D67" w:rsidRPr="007A046A" w:rsidRDefault="00A24D67" w:rsidP="00D51DE5">
      <w:pPr>
        <w:spacing w:before="0"/>
        <w:rPr>
          <w:sz w:val="20"/>
          <w:szCs w:val="20"/>
        </w:rPr>
      </w:pPr>
      <w:r w:rsidRPr="007A046A">
        <w:rPr>
          <w:sz w:val="20"/>
          <w:szCs w:val="20"/>
        </w:rPr>
        <w:t xml:space="preserve">The protocol for the evidence evaluation was approved by NTWC </w:t>
      </w:r>
      <w:r w:rsidR="00E228E6" w:rsidRPr="007A046A">
        <w:rPr>
          <w:sz w:val="20"/>
          <w:szCs w:val="20"/>
        </w:rPr>
        <w:t>15 December 2022</w:t>
      </w:r>
      <w:r w:rsidR="005278B8" w:rsidRPr="007A046A">
        <w:rPr>
          <w:sz w:val="20"/>
          <w:szCs w:val="20"/>
        </w:rPr>
        <w:t xml:space="preserve"> </w:t>
      </w:r>
      <w:r w:rsidR="00E228E6" w:rsidRPr="007A046A">
        <w:rPr>
          <w:sz w:val="20"/>
          <w:szCs w:val="20"/>
        </w:rPr>
        <w:t xml:space="preserve">(PROSPERO: </w:t>
      </w:r>
      <w:r w:rsidR="002A1146" w:rsidRPr="007A046A">
        <w:rPr>
          <w:sz w:val="20"/>
          <w:szCs w:val="20"/>
        </w:rPr>
        <w:t>CRD42023410906</w:t>
      </w:r>
      <w:r w:rsidR="00E228E6" w:rsidRPr="007A046A">
        <w:rPr>
          <w:sz w:val="20"/>
          <w:szCs w:val="20"/>
        </w:rPr>
        <w:t>)</w:t>
      </w:r>
      <w:r w:rsidR="005278B8" w:rsidRPr="007A046A">
        <w:rPr>
          <w:sz w:val="20"/>
          <w:szCs w:val="20"/>
        </w:rPr>
        <w:t>.</w:t>
      </w:r>
    </w:p>
    <w:p w14:paraId="574608BF" w14:textId="77777777" w:rsidR="00A24D67" w:rsidRPr="0054775B" w:rsidRDefault="00A24D67" w:rsidP="009E6F7F">
      <w:pPr>
        <w:pStyle w:val="2024SMALLTITLENONUMBER"/>
      </w:pPr>
      <w:r w:rsidRPr="0054775B">
        <w:t>History</w:t>
      </w:r>
    </w:p>
    <w:p w14:paraId="192A610B" w14:textId="60E3C218" w:rsidR="00E2715D" w:rsidRPr="007A046A" w:rsidRDefault="00E2715D" w:rsidP="00D51DE5">
      <w:pPr>
        <w:spacing w:before="0" w:after="120"/>
        <w:rPr>
          <w:sz w:val="20"/>
          <w:szCs w:val="20"/>
        </w:rPr>
      </w:pPr>
      <w:r w:rsidRPr="007A046A">
        <w:rPr>
          <w:sz w:val="20"/>
          <w:szCs w:val="20"/>
        </w:rPr>
        <w:t xml:space="preserve">NHMRC has been engaged by the Department of Health and Aged Care (the Department) to update the evidence underpinning the </w:t>
      </w:r>
      <w:r w:rsidRPr="007A046A">
        <w:rPr>
          <w:rStyle w:val="Emphasis"/>
          <w:sz w:val="20"/>
          <w:szCs w:val="20"/>
        </w:rPr>
        <w:t>2015 Review of the Australian Government Rebate on Natural Therapies for Private Health Insurance</w:t>
      </w:r>
      <w:r w:rsidRPr="007A046A">
        <w:rPr>
          <w:sz w:val="20"/>
          <w:szCs w:val="20"/>
        </w:rPr>
        <w:t xml:space="preserve"> (2015 Review) </w:t>
      </w:r>
      <w:r w:rsidR="009C18E0" w:rsidRPr="007A046A">
        <w:rPr>
          <w:noProof/>
          <w:sz w:val="20"/>
          <w:szCs w:val="20"/>
        </w:rPr>
        <w:t>(1)</w:t>
      </w:r>
      <w:r w:rsidRPr="007A046A">
        <w:rPr>
          <w:sz w:val="20"/>
          <w:szCs w:val="20"/>
        </w:rPr>
        <w:t xml:space="preserve">. The natural therapies to be reviewed are Alexander technique, aromatherapy, Bowen therapy, Buteyko, Feldenkrais, homeopathy, iridology, kinesiology, naturopathy, Pilates, reflexology, Rolfing, shiatsu, tai chi, western herbal medicine, and yoga. These therapies are among those excluded from the private health insurance rebate as of 1 April 2019. </w:t>
      </w:r>
    </w:p>
    <w:p w14:paraId="09D992F4" w14:textId="77777777" w:rsidR="00E2715D" w:rsidRPr="007A046A" w:rsidRDefault="00E2715D" w:rsidP="00D51DE5">
      <w:pPr>
        <w:spacing w:before="0" w:after="120"/>
        <w:rPr>
          <w:sz w:val="20"/>
          <w:szCs w:val="20"/>
        </w:rPr>
      </w:pPr>
      <w:r w:rsidRPr="007A046A">
        <w:rPr>
          <w:sz w:val="20"/>
          <w:szCs w:val="20"/>
        </w:rPr>
        <w:t xml:space="preserve">To support NHMRC in their evidence review, the Centre for Applied Health Economics at Griffith University has been engaged to conduct an overview of the evidence of the clinical effectiveness of selected nutritional supplements prescribed in the context of naturopathic practice. This overview is designed to complement the systematic review of </w:t>
      </w:r>
      <w:r w:rsidRPr="007A046A">
        <w:rPr>
          <w:i/>
          <w:iCs/>
          <w:sz w:val="20"/>
          <w:szCs w:val="20"/>
        </w:rPr>
        <w:t xml:space="preserve">“Whole system, multi-modal or single modal interventions delivered in the context of naturopathic practice, for preventing and treating health conditions” </w:t>
      </w:r>
      <w:r w:rsidRPr="007A046A">
        <w:rPr>
          <w:sz w:val="20"/>
          <w:szCs w:val="20"/>
        </w:rPr>
        <w:t>(PROSPERO CRD42021266381)</w:t>
      </w:r>
      <w:r w:rsidRPr="007A046A">
        <w:rPr>
          <w:i/>
          <w:iCs/>
          <w:sz w:val="20"/>
          <w:szCs w:val="20"/>
        </w:rPr>
        <w:t xml:space="preserve">, </w:t>
      </w:r>
      <w:r w:rsidRPr="007A046A">
        <w:rPr>
          <w:sz w:val="20"/>
          <w:szCs w:val="20"/>
        </w:rPr>
        <w:t>which will assess primary research as part of a review of whole system naturopathy.</w:t>
      </w:r>
    </w:p>
    <w:p w14:paraId="23C829CA" w14:textId="00099C3E" w:rsidR="00A24D67" w:rsidRPr="007A046A" w:rsidRDefault="00A24D67" w:rsidP="00D51DE5">
      <w:pPr>
        <w:pStyle w:val="BodyText"/>
        <w:rPr>
          <w:rFonts w:ascii="Aptos" w:hAnsi="Aptos" w:cs="Arial"/>
          <w:sz w:val="20"/>
        </w:rPr>
      </w:pPr>
      <w:r w:rsidRPr="007A046A">
        <w:rPr>
          <w:rFonts w:ascii="Aptos" w:eastAsia="Times New Roman" w:hAnsi="Aptos" w:cs="Times New Roman"/>
          <w:sz w:val="20"/>
          <w:lang w:eastAsia="en-GB"/>
        </w:rPr>
        <w:t xml:space="preserve">This evidence evaluation was developed by the Centre for Applied Health Economics at Griffith University in conjunction with NHMRC, </w:t>
      </w:r>
      <w:r w:rsidR="00570BD1" w:rsidRPr="007A046A">
        <w:rPr>
          <w:rFonts w:ascii="Aptos" w:eastAsia="Times New Roman" w:hAnsi="Aptos" w:cs="Times New Roman"/>
          <w:sz w:val="20"/>
          <w:lang w:eastAsia="en-GB"/>
        </w:rPr>
        <w:t>NTWC</w:t>
      </w:r>
      <w:r w:rsidRPr="007A046A">
        <w:rPr>
          <w:rFonts w:ascii="Aptos" w:eastAsia="Times New Roman" w:hAnsi="Aptos" w:cs="Times New Roman"/>
          <w:sz w:val="20"/>
          <w:lang w:eastAsia="en-GB"/>
        </w:rPr>
        <w:t>, and the Department of Health and Aged Care</w:t>
      </w:r>
      <w:r w:rsidR="00C97149">
        <w:rPr>
          <w:rFonts w:ascii="Aptos" w:eastAsia="Times New Roman" w:hAnsi="Aptos" w:cs="Times New Roman"/>
          <w:sz w:val="20"/>
          <w:lang w:eastAsia="en-GB"/>
        </w:rPr>
        <w:t>’s</w:t>
      </w:r>
      <w:r w:rsidRPr="007A046A" w:rsidDel="00390678">
        <w:rPr>
          <w:rFonts w:ascii="Aptos" w:eastAsia="Times New Roman" w:hAnsi="Aptos" w:cs="Times New Roman"/>
          <w:sz w:val="20"/>
          <w:lang w:eastAsia="en-GB"/>
        </w:rPr>
        <w:t xml:space="preserve"> </w:t>
      </w:r>
      <w:r w:rsidRPr="007A046A">
        <w:rPr>
          <w:rFonts w:ascii="Aptos" w:eastAsia="Times New Roman" w:hAnsi="Aptos" w:cs="Times New Roman"/>
          <w:sz w:val="20"/>
          <w:lang w:eastAsia="en-GB"/>
        </w:rPr>
        <w:t xml:space="preserve">Natural Therapy Advisory Panel (NTREAP). It describes the main body of evidence related to the </w:t>
      </w:r>
      <w:r w:rsidR="002005FD" w:rsidRPr="007A046A">
        <w:rPr>
          <w:rFonts w:ascii="Aptos" w:eastAsia="Times New Roman" w:hAnsi="Aptos" w:cs="Times New Roman"/>
          <w:sz w:val="20"/>
          <w:lang w:eastAsia="en-GB"/>
        </w:rPr>
        <w:t>clinical effectiveness of selected nutritional supplements prescribed in the context of naturopathic practice</w:t>
      </w:r>
      <w:r w:rsidRPr="007A046A">
        <w:rPr>
          <w:rFonts w:ascii="Aptos" w:eastAsia="Times New Roman" w:hAnsi="Aptos" w:cs="Times New Roman"/>
          <w:sz w:val="20"/>
          <w:lang w:eastAsia="en-GB"/>
        </w:rPr>
        <w:t xml:space="preserve">. Supplementary </w:t>
      </w:r>
      <w:r w:rsidR="00ED36EA">
        <w:rPr>
          <w:rFonts w:ascii="Aptos" w:eastAsia="Times New Roman" w:hAnsi="Aptos" w:cs="Times New Roman"/>
          <w:sz w:val="20"/>
          <w:lang w:eastAsia="en-GB"/>
        </w:rPr>
        <w:t>information</w:t>
      </w:r>
      <w:r w:rsidR="00ED36EA" w:rsidRPr="007A046A">
        <w:rPr>
          <w:rFonts w:ascii="Aptos" w:eastAsia="Times New Roman" w:hAnsi="Aptos" w:cs="Times New Roman"/>
          <w:sz w:val="20"/>
          <w:lang w:eastAsia="en-GB"/>
        </w:rPr>
        <w:t xml:space="preserve"> </w:t>
      </w:r>
      <w:r w:rsidR="00597F7B" w:rsidRPr="007A046A">
        <w:rPr>
          <w:rFonts w:ascii="Aptos" w:eastAsia="Times New Roman" w:hAnsi="Aptos" w:cs="Times New Roman"/>
          <w:sz w:val="20"/>
          <w:lang w:eastAsia="en-GB"/>
        </w:rPr>
        <w:t>is</w:t>
      </w:r>
      <w:r w:rsidRPr="007A046A">
        <w:rPr>
          <w:rFonts w:ascii="Aptos" w:eastAsia="Times New Roman" w:hAnsi="Aptos" w:cs="Times New Roman"/>
          <w:sz w:val="20"/>
          <w:lang w:eastAsia="en-GB"/>
        </w:rPr>
        <w:t xml:space="preserve"> provided in </w:t>
      </w:r>
      <w:r w:rsidRPr="007053E8">
        <w:rPr>
          <w:rFonts w:ascii="Aptos" w:eastAsia="Times New Roman" w:hAnsi="Aptos" w:cs="Times New Roman"/>
          <w:sz w:val="20"/>
          <w:lang w:eastAsia="en-GB"/>
        </w:rPr>
        <w:t xml:space="preserve">Appendices A to </w:t>
      </w:r>
      <w:r w:rsidR="00774316" w:rsidRPr="007053E8">
        <w:rPr>
          <w:rFonts w:ascii="Aptos" w:eastAsia="Times New Roman" w:hAnsi="Aptos" w:cs="Times New Roman"/>
          <w:sz w:val="20"/>
          <w:lang w:eastAsia="en-GB"/>
        </w:rPr>
        <w:t>H</w:t>
      </w:r>
      <w:r w:rsidRPr="007053E8">
        <w:rPr>
          <w:rFonts w:ascii="Aptos" w:eastAsia="Times New Roman" w:hAnsi="Aptos" w:cs="Times New Roman"/>
          <w:sz w:val="20"/>
          <w:lang w:eastAsia="en-GB"/>
        </w:rPr>
        <w:t>.</w:t>
      </w:r>
      <w:r w:rsidRPr="007A046A">
        <w:rPr>
          <w:rFonts w:ascii="Aptos" w:eastAsia="Times New Roman" w:hAnsi="Aptos" w:cs="Times New Roman"/>
          <w:sz w:val="20"/>
          <w:lang w:eastAsia="en-GB"/>
        </w:rPr>
        <w:t xml:space="preserve"> All associated</w:t>
      </w:r>
      <w:r w:rsidR="00A676A0" w:rsidRPr="007A046A">
        <w:rPr>
          <w:rFonts w:ascii="Aptos" w:eastAsia="Times New Roman" w:hAnsi="Aptos" w:cs="Times New Roman"/>
          <w:sz w:val="20"/>
          <w:lang w:eastAsia="en-GB"/>
        </w:rPr>
        <w:t xml:space="preserve"> </w:t>
      </w:r>
      <w:r w:rsidRPr="007A046A">
        <w:rPr>
          <w:rFonts w:ascii="Aptos" w:eastAsia="Times New Roman" w:hAnsi="Aptos" w:cs="Times New Roman"/>
          <w:sz w:val="20"/>
          <w:lang w:eastAsia="en-GB"/>
        </w:rPr>
        <w:t>materials have been developed in a robust and transparent manner in accordance with relevant best practice standards</w:t>
      </w:r>
      <w:r w:rsidR="00A676A0" w:rsidRPr="007A046A">
        <w:rPr>
          <w:rFonts w:ascii="Aptos" w:eastAsia="Times New Roman" w:hAnsi="Aptos" w:cs="Times New Roman"/>
          <w:sz w:val="20"/>
          <w:lang w:eastAsia="en-GB"/>
        </w:rPr>
        <w:t>.</w:t>
      </w:r>
    </w:p>
    <w:p w14:paraId="50F7E99F" w14:textId="77777777" w:rsidR="00A24D67" w:rsidRPr="0054775B" w:rsidRDefault="00A24D67" w:rsidP="009E6F7F">
      <w:pPr>
        <w:pStyle w:val="2024SMALLTITLENONUMBER"/>
      </w:pPr>
      <w:r w:rsidRPr="0054775B">
        <w:t>Funding</w:t>
      </w:r>
    </w:p>
    <w:p w14:paraId="51CA5E4A" w14:textId="58461F1F" w:rsidR="00A24D67" w:rsidRPr="007A046A" w:rsidRDefault="00A24D67" w:rsidP="00D51DE5">
      <w:pPr>
        <w:spacing w:before="0"/>
        <w:rPr>
          <w:sz w:val="20"/>
          <w:szCs w:val="20"/>
        </w:rPr>
      </w:pPr>
      <w:r w:rsidRPr="007A046A">
        <w:rPr>
          <w:sz w:val="20"/>
          <w:szCs w:val="20"/>
        </w:rPr>
        <w:t xml:space="preserve">This review is funded by the Australian Government Department of Health </w:t>
      </w:r>
      <w:r w:rsidRPr="007A046A">
        <w:rPr>
          <w:sz w:val="20"/>
          <w:szCs w:val="20"/>
          <w:lang w:val="en-GB"/>
        </w:rPr>
        <w:t>and Aged Care</w:t>
      </w:r>
      <w:r w:rsidRPr="007A046A">
        <w:rPr>
          <w:sz w:val="20"/>
          <w:szCs w:val="20"/>
        </w:rPr>
        <w:t xml:space="preserve"> via the NHMRC, under contract 2021-22C0</w:t>
      </w:r>
      <w:r w:rsidR="00041D11">
        <w:rPr>
          <w:sz w:val="20"/>
          <w:szCs w:val="20"/>
        </w:rPr>
        <w:t>12</w:t>
      </w:r>
      <w:r w:rsidRPr="007A046A">
        <w:rPr>
          <w:sz w:val="20"/>
          <w:szCs w:val="20"/>
        </w:rPr>
        <w:t>.</w:t>
      </w:r>
    </w:p>
    <w:p w14:paraId="5B901B71" w14:textId="77777777" w:rsidR="00A24D67" w:rsidRPr="0054775B" w:rsidRDefault="00A24D67" w:rsidP="009E6F7F">
      <w:pPr>
        <w:pStyle w:val="2024SMALLTITLENONUMBER"/>
      </w:pPr>
      <w:r w:rsidRPr="0054775B">
        <w:t>Acknowledgements</w:t>
      </w:r>
    </w:p>
    <w:p w14:paraId="4279A0BB" w14:textId="0231320F" w:rsidR="00A24D67" w:rsidRPr="007A046A" w:rsidRDefault="00A24D67" w:rsidP="00D51DE5">
      <w:pPr>
        <w:spacing w:before="0" w:after="120"/>
        <w:rPr>
          <w:sz w:val="20"/>
          <w:szCs w:val="20"/>
        </w:rPr>
      </w:pPr>
      <w:r w:rsidRPr="007A046A">
        <w:rPr>
          <w:sz w:val="20"/>
          <w:szCs w:val="20"/>
        </w:rPr>
        <w:t xml:space="preserve">Thank you to the members of the Department’s Natural Therapies Review Expert Advisory Panel and the National Health and Medical Research Council’s Natural Therapies Working Committee for their advice and comments throughout the creation of this document. </w:t>
      </w:r>
      <w:r w:rsidR="00C83916" w:rsidRPr="007A046A">
        <w:rPr>
          <w:sz w:val="20"/>
          <w:szCs w:val="20"/>
        </w:rPr>
        <w:t xml:space="preserve">PRACI data </w:t>
      </w:r>
      <w:r w:rsidR="00B467C0">
        <w:rPr>
          <w:sz w:val="20"/>
          <w:szCs w:val="20"/>
        </w:rPr>
        <w:t>were</w:t>
      </w:r>
      <w:r w:rsidR="00B467C0" w:rsidRPr="007A046A">
        <w:rPr>
          <w:sz w:val="20"/>
          <w:szCs w:val="20"/>
        </w:rPr>
        <w:t xml:space="preserve"> </w:t>
      </w:r>
      <w:r w:rsidR="00C83916" w:rsidRPr="007A046A">
        <w:rPr>
          <w:sz w:val="20"/>
          <w:szCs w:val="20"/>
        </w:rPr>
        <w:t>provided by Dr Amie Steel at UTS.</w:t>
      </w:r>
    </w:p>
    <w:p w14:paraId="4F18083D" w14:textId="77777777" w:rsidR="00A24D67" w:rsidRPr="007A046A" w:rsidRDefault="00A24D67" w:rsidP="00D51DE5">
      <w:pPr>
        <w:spacing w:before="0" w:after="120"/>
        <w:rPr>
          <w:sz w:val="20"/>
          <w:szCs w:val="20"/>
        </w:rPr>
      </w:pPr>
      <w:r w:rsidRPr="007A046A">
        <w:rPr>
          <w:sz w:val="20"/>
          <w:szCs w:val="20"/>
        </w:rPr>
        <w:t>Membership and other details of the Panel and Committee can be found at:</w:t>
      </w:r>
    </w:p>
    <w:p w14:paraId="6800F1FC" w14:textId="10C93332" w:rsidR="00A24D67" w:rsidRPr="00DE4360" w:rsidRDefault="00A24D67" w:rsidP="00D51DE5">
      <w:pPr>
        <w:spacing w:before="0" w:after="120"/>
        <w:rPr>
          <w:sz w:val="18"/>
          <w:szCs w:val="18"/>
          <w:u w:val="single"/>
        </w:rPr>
      </w:pPr>
      <w:hyperlink r:id="rId13" w:history="1">
        <w:r w:rsidRPr="00DE4360">
          <w:rPr>
            <w:sz w:val="18"/>
            <w:szCs w:val="18"/>
            <w:u w:val="single"/>
          </w:rPr>
          <w:t>www.health.gov.au/committees-and-groups/natural-therapies-review-expert-advisory-panel</w:t>
        </w:r>
      </w:hyperlink>
      <w:r w:rsidR="00A676A0" w:rsidRPr="00DE4360">
        <w:rPr>
          <w:sz w:val="18"/>
          <w:szCs w:val="18"/>
          <w:u w:val="single"/>
        </w:rPr>
        <w:t xml:space="preserve"> </w:t>
      </w:r>
    </w:p>
    <w:p w14:paraId="2E595162" w14:textId="351F4BBC" w:rsidR="00A24D67" w:rsidRPr="00087CF1" w:rsidRDefault="00A24D67" w:rsidP="00087CF1">
      <w:pPr>
        <w:spacing w:before="0" w:after="120"/>
        <w:rPr>
          <w:sz w:val="20"/>
          <w:szCs w:val="20"/>
          <w:u w:val="single"/>
        </w:rPr>
      </w:pPr>
      <w:hyperlink r:id="rId14" w:history="1">
        <w:r w:rsidRPr="00DE4360">
          <w:rPr>
            <w:sz w:val="18"/>
            <w:szCs w:val="18"/>
            <w:u w:val="single"/>
          </w:rPr>
          <w:t>www.nhmrc.gov.au/about-us/leadership-and-governance/committees/natural-therapies-working-committee</w:t>
        </w:r>
      </w:hyperlink>
      <w:r w:rsidR="00A676A0" w:rsidRPr="00DE4360">
        <w:rPr>
          <w:sz w:val="18"/>
          <w:szCs w:val="18"/>
          <w:u w:val="single"/>
        </w:rPr>
        <w:t xml:space="preserve"> </w:t>
      </w:r>
      <w:r w:rsidRPr="0054775B">
        <w:br w:type="page"/>
      </w:r>
    </w:p>
    <w:p w14:paraId="3393DA0B" w14:textId="77777777" w:rsidR="00A24D67" w:rsidRPr="0054775B" w:rsidRDefault="00A24D67" w:rsidP="00A81E6A">
      <w:pPr>
        <w:pStyle w:val="2024HEADER1"/>
        <w:numPr>
          <w:ilvl w:val="0"/>
          <w:numId w:val="0"/>
        </w:numPr>
        <w:ind w:left="851" w:hanging="851"/>
      </w:pPr>
      <w:bookmarkStart w:id="1" w:name="_Toc179379601"/>
      <w:r w:rsidRPr="0054775B">
        <w:lastRenderedPageBreak/>
        <w:t>Plain language summary</w:t>
      </w:r>
      <w:bookmarkEnd w:id="0"/>
      <w:bookmarkEnd w:id="1"/>
    </w:p>
    <w:p w14:paraId="4A20AFBD" w14:textId="77777777" w:rsidR="00A24D67" w:rsidRPr="0054775B" w:rsidRDefault="00A24D67" w:rsidP="009E6F7F">
      <w:pPr>
        <w:pStyle w:val="2024SMALLTITLENONUMBER"/>
      </w:pPr>
      <w:bookmarkStart w:id="2" w:name="_Toc111119244"/>
      <w:r w:rsidRPr="0054775B">
        <w:t>What was the aim of the review?</w:t>
      </w:r>
      <w:bookmarkEnd w:id="2"/>
    </w:p>
    <w:p w14:paraId="12C91F1B" w14:textId="7AB5EBC7" w:rsidR="00A24D67" w:rsidRPr="0054775B" w:rsidRDefault="00A24D67" w:rsidP="008229F0">
      <w:r w:rsidRPr="0054775B">
        <w:t xml:space="preserve">The aim of this </w:t>
      </w:r>
      <w:r w:rsidR="002F212F" w:rsidRPr="0054775B">
        <w:t>overview</w:t>
      </w:r>
      <w:r w:rsidRPr="0054775B">
        <w:t xml:space="preserve"> review was to </w:t>
      </w:r>
      <w:r w:rsidR="0036265A" w:rsidRPr="0054775B">
        <w:t>assess</w:t>
      </w:r>
      <w:r w:rsidRPr="0054775B">
        <w:t xml:space="preserve"> </w:t>
      </w:r>
      <w:r w:rsidR="004B32ED" w:rsidRPr="0054775B">
        <w:t xml:space="preserve">the best evidence </w:t>
      </w:r>
      <w:r w:rsidR="00FE072F" w:rsidRPr="0054775B">
        <w:t>for</w:t>
      </w:r>
      <w:r w:rsidR="004B32ED" w:rsidRPr="0054775B">
        <w:t xml:space="preserve"> the use of certain nutritional supplements for conditions</w:t>
      </w:r>
      <w:r w:rsidR="00D7517F" w:rsidRPr="0054775B">
        <w:t xml:space="preserve"> that are commonly seen by naturopaths in Australia</w:t>
      </w:r>
      <w:r w:rsidR="00FE072F" w:rsidRPr="0054775B">
        <w:t xml:space="preserve"> (e.g. magnesium prescribed for anxiety)</w:t>
      </w:r>
      <w:r w:rsidR="00D7517F" w:rsidRPr="0054775B">
        <w:t xml:space="preserve">. </w:t>
      </w:r>
      <w:r w:rsidR="005B1FB3">
        <w:t xml:space="preserve">It is a companion review to the review of naturopathy as a </w:t>
      </w:r>
      <w:r w:rsidR="000A66AA">
        <w:t>system of health care</w:t>
      </w:r>
      <w:r w:rsidR="005B1FB3">
        <w:t xml:space="preserve">. </w:t>
      </w:r>
      <w:r w:rsidRPr="0054775B">
        <w:t xml:space="preserve">This </w:t>
      </w:r>
      <w:r w:rsidR="002F212F" w:rsidRPr="0054775B">
        <w:t>overview</w:t>
      </w:r>
      <w:r w:rsidR="006A7D9D" w:rsidRPr="0054775B">
        <w:t xml:space="preserve"> was targeted for</w:t>
      </w:r>
      <w:r w:rsidR="00D7517F" w:rsidRPr="0054775B">
        <w:t xml:space="preserve"> </w:t>
      </w:r>
      <w:r w:rsidRPr="0054775B">
        <w:t xml:space="preserve">the Australian Government Department of Health and Aged Care </w:t>
      </w:r>
      <w:r w:rsidR="006447FC" w:rsidRPr="0054775B">
        <w:t>(the Department)</w:t>
      </w:r>
      <w:r w:rsidRPr="0054775B">
        <w:t xml:space="preserve"> </w:t>
      </w:r>
      <w:r w:rsidR="00F250B7" w:rsidRPr="0054775B">
        <w:t xml:space="preserve">to assist </w:t>
      </w:r>
      <w:r w:rsidRPr="0054775B">
        <w:t xml:space="preserve">in their Natural Therapies Review, which is designed to determine whether certain natural therapies, including </w:t>
      </w:r>
      <w:r w:rsidR="00D7517F" w:rsidRPr="0054775B">
        <w:t>naturopathy</w:t>
      </w:r>
      <w:r w:rsidRPr="0054775B">
        <w:t xml:space="preserve">, have enough evidence of effectiveness to be considered re-eligible for private health insurance rebates. This </w:t>
      </w:r>
      <w:r w:rsidR="00667015" w:rsidRPr="0054775B">
        <w:t>over</w:t>
      </w:r>
      <w:r w:rsidRPr="0054775B">
        <w:t xml:space="preserve">view is not designed to be a complete review of all </w:t>
      </w:r>
      <w:r w:rsidR="00D7517F" w:rsidRPr="0054775B">
        <w:t>nutritional supplements used in naturopathy</w:t>
      </w:r>
      <w:r w:rsidRPr="0054775B">
        <w:t xml:space="preserve">, nor is it intended to inform decisions about whether an individual or practitioner should </w:t>
      </w:r>
      <w:r w:rsidR="00D7517F" w:rsidRPr="0054775B" w:rsidDel="00BD45E8">
        <w:t xml:space="preserve">prescribe </w:t>
      </w:r>
      <w:r w:rsidR="008229F0" w:rsidRPr="0054775B" w:rsidDel="00BD45E8">
        <w:t>nutritional supplements in practice</w:t>
      </w:r>
      <w:r w:rsidRPr="0054775B" w:rsidDel="00BD45E8">
        <w:t xml:space="preserve">. </w:t>
      </w:r>
      <w:r w:rsidR="0065224F">
        <w:t xml:space="preserve">This overview should be considered in context with the companion review. </w:t>
      </w:r>
    </w:p>
    <w:p w14:paraId="48BB0A14" w14:textId="77777777" w:rsidR="00A24D67" w:rsidRPr="0054775B" w:rsidRDefault="00A24D67" w:rsidP="009E6F7F">
      <w:pPr>
        <w:pStyle w:val="2024SMALLTITLENONUMBER"/>
      </w:pPr>
      <w:bookmarkStart w:id="3" w:name="_Toc111119245"/>
      <w:r w:rsidRPr="0054775B">
        <w:t>Key messages</w:t>
      </w:r>
      <w:bookmarkEnd w:id="3"/>
    </w:p>
    <w:p w14:paraId="0EE23903" w14:textId="00D2527A" w:rsidR="00550D7D" w:rsidRPr="0054775B" w:rsidRDefault="00D848CC" w:rsidP="009E6F7F">
      <w:pPr>
        <w:rPr>
          <w:lang w:eastAsia="en-AU"/>
        </w:rPr>
      </w:pPr>
      <w:r w:rsidRPr="0054775B">
        <w:rPr>
          <w:lang w:eastAsia="en-AU"/>
        </w:rPr>
        <w:t xml:space="preserve">For the population/condition and supplement combinations assessed, </w:t>
      </w:r>
      <w:r w:rsidR="00A81021" w:rsidRPr="0054775B">
        <w:rPr>
          <w:lang w:eastAsia="en-AU"/>
        </w:rPr>
        <w:t>some</w:t>
      </w:r>
      <w:r w:rsidR="00B83C77" w:rsidRPr="0054775B">
        <w:rPr>
          <w:lang w:eastAsia="en-AU"/>
        </w:rPr>
        <w:t xml:space="preserve"> nutritional supplements</w:t>
      </w:r>
      <w:r w:rsidR="00550D7D" w:rsidRPr="0054775B">
        <w:rPr>
          <w:lang w:eastAsia="en-AU"/>
        </w:rPr>
        <w:t xml:space="preserve"> can</w:t>
      </w:r>
      <w:r w:rsidR="00B83C77" w:rsidRPr="0054775B">
        <w:rPr>
          <w:lang w:eastAsia="en-AU"/>
        </w:rPr>
        <w:t xml:space="preserve"> probably</w:t>
      </w:r>
      <w:r w:rsidR="00550D7D" w:rsidRPr="0054775B">
        <w:rPr>
          <w:lang w:eastAsia="en-AU"/>
        </w:rPr>
        <w:t xml:space="preserve"> </w:t>
      </w:r>
      <w:r w:rsidR="00D03EAB">
        <w:rPr>
          <w:lang w:eastAsia="en-AU"/>
        </w:rPr>
        <w:t xml:space="preserve">or </w:t>
      </w:r>
      <w:r w:rsidR="00DE0219">
        <w:rPr>
          <w:lang w:eastAsia="en-AU"/>
        </w:rPr>
        <w:t>may</w:t>
      </w:r>
      <w:r w:rsidR="00550D7D" w:rsidRPr="0054775B">
        <w:rPr>
          <w:lang w:eastAsia="en-AU"/>
        </w:rPr>
        <w:t xml:space="preserve"> improve some key health outcomes</w:t>
      </w:r>
      <w:r w:rsidR="00B83C77" w:rsidRPr="0054775B">
        <w:rPr>
          <w:lang w:eastAsia="en-AU"/>
        </w:rPr>
        <w:t xml:space="preserve">. </w:t>
      </w:r>
      <w:r w:rsidR="0090513F" w:rsidRPr="0054775B">
        <w:rPr>
          <w:lang w:eastAsia="en-AU"/>
        </w:rPr>
        <w:t xml:space="preserve">The evidence assessed in this </w:t>
      </w:r>
      <w:r w:rsidR="00667015" w:rsidRPr="0054775B">
        <w:rPr>
          <w:lang w:eastAsia="en-AU"/>
        </w:rPr>
        <w:t>o</w:t>
      </w:r>
      <w:r w:rsidR="0090513F" w:rsidRPr="0054775B">
        <w:rPr>
          <w:lang w:eastAsia="en-AU"/>
        </w:rPr>
        <w:t xml:space="preserve">verview </w:t>
      </w:r>
      <w:r w:rsidR="00924723" w:rsidRPr="0054775B">
        <w:rPr>
          <w:lang w:eastAsia="en-AU"/>
        </w:rPr>
        <w:t xml:space="preserve">provided </w:t>
      </w:r>
      <w:r w:rsidR="0089379C">
        <w:rPr>
          <w:lang w:eastAsia="en-AU"/>
        </w:rPr>
        <w:t>moderate to low</w:t>
      </w:r>
      <w:r w:rsidR="00924723" w:rsidRPr="0054775B">
        <w:rPr>
          <w:lang w:eastAsia="en-AU"/>
        </w:rPr>
        <w:t xml:space="preserve"> certainty</w:t>
      </w:r>
      <w:r w:rsidR="00902708" w:rsidRPr="0054775B">
        <w:rPr>
          <w:lang w:eastAsia="en-AU"/>
        </w:rPr>
        <w:t>.</w:t>
      </w:r>
      <w:r w:rsidR="00607D41" w:rsidRPr="0054775B">
        <w:rPr>
          <w:lang w:eastAsia="en-AU"/>
        </w:rPr>
        <w:t xml:space="preserve"> </w:t>
      </w:r>
    </w:p>
    <w:p w14:paraId="35E409AC" w14:textId="77777777" w:rsidR="00A24D67" w:rsidRPr="0054775B" w:rsidRDefault="00A24D67" w:rsidP="009E6F7F">
      <w:pPr>
        <w:pStyle w:val="2024SMALLTITLENONUMBER"/>
      </w:pPr>
      <w:bookmarkStart w:id="4" w:name="_Toc111119246"/>
      <w:r w:rsidRPr="0054775B">
        <w:t>What was studied in this review?</w:t>
      </w:r>
      <w:bookmarkEnd w:id="4"/>
    </w:p>
    <w:p w14:paraId="09FFB0D6" w14:textId="08CE899B" w:rsidR="002722CA" w:rsidRPr="0054775B" w:rsidRDefault="00C32F8A" w:rsidP="004C1505">
      <w:r w:rsidRPr="0054775B">
        <w:rPr>
          <w:lang w:val="en-GB"/>
        </w:rPr>
        <w:t xml:space="preserve">The </w:t>
      </w:r>
      <w:r w:rsidR="004C7A6A" w:rsidRPr="0054775B">
        <w:rPr>
          <w:lang w:val="en-GB"/>
        </w:rPr>
        <w:t xml:space="preserve">overview </w:t>
      </w:r>
      <w:r w:rsidR="00B2152D" w:rsidRPr="0054775B">
        <w:rPr>
          <w:lang w:val="en-GB"/>
        </w:rPr>
        <w:t xml:space="preserve">identified </w:t>
      </w:r>
      <w:r w:rsidR="00BC2C0F" w:rsidRPr="0054775B">
        <w:rPr>
          <w:lang w:val="en-GB"/>
        </w:rPr>
        <w:t>systematic reviews using a planned literature search, with no limit to publication date. To ensure the</w:t>
      </w:r>
      <w:r w:rsidR="00BC2C0F" w:rsidRPr="0054775B" w:rsidDel="00991E21">
        <w:rPr>
          <w:lang w:val="en-GB"/>
        </w:rPr>
        <w:t xml:space="preserve"> </w:t>
      </w:r>
      <w:r w:rsidR="00991E21">
        <w:rPr>
          <w:lang w:val="en-GB"/>
        </w:rPr>
        <w:t>overview</w:t>
      </w:r>
      <w:r w:rsidR="00991E21" w:rsidRPr="0054775B">
        <w:rPr>
          <w:lang w:val="en-GB"/>
        </w:rPr>
        <w:t xml:space="preserve"> </w:t>
      </w:r>
      <w:r w:rsidR="00BC2C0F" w:rsidRPr="0054775B">
        <w:rPr>
          <w:lang w:val="en-GB"/>
        </w:rPr>
        <w:t xml:space="preserve">was manageable, </w:t>
      </w:r>
      <w:r w:rsidR="00903616" w:rsidRPr="0054775B">
        <w:rPr>
          <w:lang w:val="en-GB"/>
        </w:rPr>
        <w:t xml:space="preserve">the overview </w:t>
      </w:r>
      <w:r w:rsidR="00BC2C0F" w:rsidRPr="0054775B">
        <w:rPr>
          <w:lang w:val="en-GB"/>
        </w:rPr>
        <w:t>only</w:t>
      </w:r>
      <w:r w:rsidR="00B2152D" w:rsidRPr="0054775B">
        <w:rPr>
          <w:lang w:val="en-GB"/>
        </w:rPr>
        <w:t xml:space="preserve"> </w:t>
      </w:r>
      <w:r w:rsidR="00903616" w:rsidRPr="0054775B">
        <w:rPr>
          <w:lang w:val="en-GB"/>
        </w:rPr>
        <w:t>assessed certain conditions or groups of people and supplements.</w:t>
      </w:r>
      <w:r w:rsidR="004C1505" w:rsidRPr="0054775B">
        <w:rPr>
          <w:lang w:val="en-GB"/>
        </w:rPr>
        <w:t xml:space="preserve"> </w:t>
      </w:r>
      <w:r w:rsidR="00C927A2" w:rsidRPr="0054775B">
        <w:rPr>
          <w:lang w:val="en-GB"/>
        </w:rPr>
        <w:t xml:space="preserve">These priority conditions were </w:t>
      </w:r>
      <w:r w:rsidR="00D42D94" w:rsidRPr="0054775B">
        <w:rPr>
          <w:lang w:val="en-GB"/>
        </w:rPr>
        <w:t>decided</w:t>
      </w:r>
      <w:r w:rsidR="00C927A2" w:rsidRPr="0054775B">
        <w:rPr>
          <w:lang w:val="en-GB"/>
        </w:rPr>
        <w:t xml:space="preserve"> based on Australian survey information </w:t>
      </w:r>
      <w:r w:rsidR="00D42D94" w:rsidRPr="0054775B">
        <w:rPr>
          <w:lang w:val="en-GB"/>
        </w:rPr>
        <w:t xml:space="preserve">about the kinds of conditions that </w:t>
      </w:r>
      <w:r w:rsidR="005C42CF">
        <w:rPr>
          <w:lang w:val="en-GB"/>
        </w:rPr>
        <w:t xml:space="preserve">people see </w:t>
      </w:r>
      <w:r w:rsidR="00D42D94" w:rsidRPr="0054775B">
        <w:rPr>
          <w:lang w:val="en-GB"/>
        </w:rPr>
        <w:t xml:space="preserve">naturopaths </w:t>
      </w:r>
      <w:r w:rsidR="005C42CF">
        <w:rPr>
          <w:lang w:val="en-GB"/>
        </w:rPr>
        <w:t>for</w:t>
      </w:r>
      <w:r w:rsidR="00DB1E91">
        <w:rPr>
          <w:lang w:val="en-GB"/>
        </w:rPr>
        <w:t>.</w:t>
      </w:r>
      <w:r w:rsidR="005C42CF" w:rsidRPr="0054775B">
        <w:rPr>
          <w:lang w:val="en-GB"/>
        </w:rPr>
        <w:t xml:space="preserve"> </w:t>
      </w:r>
      <w:r w:rsidR="00DB1E91">
        <w:rPr>
          <w:lang w:val="en-GB"/>
        </w:rPr>
        <w:t>I</w:t>
      </w:r>
      <w:r w:rsidR="00D42D94" w:rsidRPr="0054775B">
        <w:rPr>
          <w:lang w:val="en-GB"/>
        </w:rPr>
        <w:t xml:space="preserve">nformation from </w:t>
      </w:r>
      <w:r w:rsidR="0009372E" w:rsidRPr="0054775B">
        <w:rPr>
          <w:lang w:val="en-GB"/>
        </w:rPr>
        <w:t>courses in naturopathy about</w:t>
      </w:r>
      <w:r w:rsidR="00D42D94" w:rsidRPr="0054775B">
        <w:rPr>
          <w:lang w:val="en-GB"/>
        </w:rPr>
        <w:t xml:space="preserve"> the supplements</w:t>
      </w:r>
      <w:r w:rsidRPr="0054775B">
        <w:rPr>
          <w:lang w:val="en-GB"/>
        </w:rPr>
        <w:t xml:space="preserve"> </w:t>
      </w:r>
      <w:r w:rsidR="0009372E" w:rsidRPr="0054775B">
        <w:rPr>
          <w:lang w:val="en-GB"/>
        </w:rPr>
        <w:t>that are used for those conditions</w:t>
      </w:r>
      <w:r w:rsidR="00DB1E91">
        <w:rPr>
          <w:lang w:val="en-GB"/>
        </w:rPr>
        <w:t xml:space="preserve"> was then used</w:t>
      </w:r>
      <w:r w:rsidR="007B6153">
        <w:rPr>
          <w:lang w:val="en-GB"/>
        </w:rPr>
        <w:t xml:space="preserve"> to form specific </w:t>
      </w:r>
      <w:r w:rsidR="004E2E0D">
        <w:rPr>
          <w:lang w:val="en-GB"/>
        </w:rPr>
        <w:t>population-supplement pairings</w:t>
      </w:r>
      <w:r w:rsidR="0009372E" w:rsidRPr="0054775B">
        <w:rPr>
          <w:lang w:val="en-GB"/>
        </w:rPr>
        <w:t>.</w:t>
      </w:r>
      <w:r w:rsidRPr="0054775B">
        <w:rPr>
          <w:lang w:val="en-GB"/>
        </w:rPr>
        <w:t xml:space="preserve"> </w:t>
      </w:r>
      <w:r w:rsidR="002722CA" w:rsidRPr="0054775B">
        <w:t xml:space="preserve">Assessment of cost effectiveness, safety and studies of healthy populations were not included in this overview. </w:t>
      </w:r>
    </w:p>
    <w:p w14:paraId="3301D1CA" w14:textId="667363D5" w:rsidR="00CB6EEE" w:rsidRPr="0054775B" w:rsidRDefault="00393309" w:rsidP="00EB08BD">
      <w:r>
        <w:rPr>
          <w:lang w:val="en-GB"/>
        </w:rPr>
        <w:t>C</w:t>
      </w:r>
      <w:r w:rsidRPr="0054775B">
        <w:rPr>
          <w:lang w:val="en-GB"/>
        </w:rPr>
        <w:t>ertainty</w:t>
      </w:r>
      <w:r w:rsidR="005C3E1D" w:rsidRPr="0054775B">
        <w:rPr>
          <w:lang w:val="en-GB"/>
        </w:rPr>
        <w:t xml:space="preserve"> in the</w:t>
      </w:r>
      <w:r w:rsidR="004C1505" w:rsidRPr="0054775B">
        <w:rPr>
          <w:lang w:val="en-GB"/>
        </w:rPr>
        <w:t xml:space="preserve"> </w:t>
      </w:r>
      <w:r w:rsidR="00E821B9">
        <w:rPr>
          <w:lang w:val="en-GB"/>
        </w:rPr>
        <w:t>evidence</w:t>
      </w:r>
      <w:r w:rsidR="004C1505" w:rsidRPr="0054775B">
        <w:rPr>
          <w:lang w:val="en-GB"/>
        </w:rPr>
        <w:t xml:space="preserve"> </w:t>
      </w:r>
      <w:r w:rsidR="00982BD8" w:rsidRPr="0054775B">
        <w:rPr>
          <w:lang w:val="en-GB"/>
        </w:rPr>
        <w:t xml:space="preserve">was assessed </w:t>
      </w:r>
      <w:r w:rsidR="000C59BD" w:rsidRPr="0054775B">
        <w:rPr>
          <w:lang w:val="en-GB"/>
        </w:rPr>
        <w:t>using the Grading of Recommendations, Assessment, Development, and Evaluations (GRADE) framework</w:t>
      </w:r>
      <w:r w:rsidR="004C1505" w:rsidRPr="0054775B">
        <w:rPr>
          <w:lang w:val="en-GB"/>
        </w:rPr>
        <w:t>.</w:t>
      </w:r>
      <w:r w:rsidR="00CB6EEE" w:rsidRPr="0054775B">
        <w:rPr>
          <w:lang w:val="en-GB"/>
        </w:rPr>
        <w:t xml:space="preserve"> </w:t>
      </w:r>
      <w:r w:rsidR="00CB6EEE" w:rsidRPr="0054775B">
        <w:t xml:space="preserve">GRADE is a method used to assess how confident (or certain) systematic review authors can be that the estimates of the effect (reported in studies) are accurate. The assessment made by the reviewer is then described as either: </w:t>
      </w:r>
    </w:p>
    <w:p w14:paraId="305189FA" w14:textId="10EF16DA" w:rsidR="00CB6EEE" w:rsidRPr="0054775B" w:rsidRDefault="00CB6EEE" w:rsidP="00107BEE">
      <w:pPr>
        <w:pStyle w:val="ListParagraph"/>
        <w:numPr>
          <w:ilvl w:val="0"/>
          <w:numId w:val="23"/>
        </w:numPr>
        <w:rPr>
          <w:lang w:eastAsia="en-AU"/>
        </w:rPr>
      </w:pPr>
      <w:r w:rsidRPr="0054775B">
        <w:rPr>
          <w:lang w:eastAsia="en-AU"/>
        </w:rPr>
        <w:t>high certainty – meaning the authors have a lot of confidence that the true effect is similar to the estimated effect</w:t>
      </w:r>
      <w:r w:rsidR="00A14150" w:rsidRPr="0054775B">
        <w:rPr>
          <w:lang w:eastAsia="en-AU"/>
        </w:rPr>
        <w:t>.</w:t>
      </w:r>
    </w:p>
    <w:p w14:paraId="340DCD21" w14:textId="7D6ABC3E" w:rsidR="00CB6EEE" w:rsidRPr="0054775B" w:rsidRDefault="00CB6EEE" w:rsidP="00107BEE">
      <w:pPr>
        <w:pStyle w:val="ListParagraph"/>
        <w:numPr>
          <w:ilvl w:val="0"/>
          <w:numId w:val="23"/>
        </w:numPr>
        <w:rPr>
          <w:lang w:eastAsia="en-AU"/>
        </w:rPr>
      </w:pPr>
      <w:r w:rsidRPr="0054775B">
        <w:rPr>
          <w:lang w:eastAsia="en-AU"/>
        </w:rPr>
        <w:t>moderate certainty – meaning that the true effect is probably close to the estimated effect</w:t>
      </w:r>
      <w:r w:rsidR="00A14150" w:rsidRPr="0054775B">
        <w:rPr>
          <w:lang w:eastAsia="en-AU"/>
        </w:rPr>
        <w:t>.</w:t>
      </w:r>
    </w:p>
    <w:p w14:paraId="1083371E" w14:textId="02C48A4B" w:rsidR="00CB6EEE" w:rsidRPr="0054775B" w:rsidRDefault="00CB6EEE" w:rsidP="00107BEE">
      <w:pPr>
        <w:pStyle w:val="ListParagraph"/>
        <w:numPr>
          <w:ilvl w:val="0"/>
          <w:numId w:val="23"/>
        </w:numPr>
        <w:rPr>
          <w:lang w:eastAsia="en-AU"/>
        </w:rPr>
      </w:pPr>
      <w:r w:rsidRPr="0054775B">
        <w:rPr>
          <w:lang w:eastAsia="en-AU"/>
        </w:rPr>
        <w:t>low certainty – meaning the true effect may be very different from the estimated effect</w:t>
      </w:r>
      <w:r w:rsidR="00A14150" w:rsidRPr="0054775B">
        <w:rPr>
          <w:lang w:eastAsia="en-AU"/>
        </w:rPr>
        <w:t>.</w:t>
      </w:r>
    </w:p>
    <w:p w14:paraId="0803D7C5" w14:textId="6448FFB5" w:rsidR="004C1505" w:rsidRPr="0054775B" w:rsidRDefault="00CB6EEE" w:rsidP="00107BEE">
      <w:pPr>
        <w:pStyle w:val="ListParagraph"/>
        <w:numPr>
          <w:ilvl w:val="0"/>
          <w:numId w:val="23"/>
        </w:numPr>
        <w:rPr>
          <w:lang w:eastAsia="en-AU"/>
        </w:rPr>
      </w:pPr>
      <w:r w:rsidRPr="0054775B">
        <w:rPr>
          <w:lang w:eastAsia="en-AU"/>
        </w:rPr>
        <w:t xml:space="preserve">very low certainty – meaning the true effect is probably markedly different from the estimated effect. Reviewers’ confidence was so limited that interpretation was not provided. </w:t>
      </w:r>
    </w:p>
    <w:p w14:paraId="4E921D89" w14:textId="77777777" w:rsidR="00A24D67" w:rsidRPr="0054775B" w:rsidRDefault="00A24D67" w:rsidP="009E6F7F">
      <w:pPr>
        <w:pStyle w:val="2024SMALLTITLENONUMBER"/>
      </w:pPr>
      <w:bookmarkStart w:id="5" w:name="_Toc111119247"/>
      <w:r w:rsidRPr="0054775B">
        <w:t>What studies did we identify in this review?</w:t>
      </w:r>
      <w:bookmarkEnd w:id="5"/>
    </w:p>
    <w:p w14:paraId="0E75DC89" w14:textId="0FEFE889" w:rsidR="00540412" w:rsidRPr="0054775B" w:rsidRDefault="00DE2B16" w:rsidP="009E6F7F">
      <w:pPr>
        <w:rPr>
          <w:lang w:val="en-GB"/>
        </w:rPr>
      </w:pPr>
      <w:r w:rsidRPr="0054775B">
        <w:rPr>
          <w:lang w:val="en-GB"/>
        </w:rPr>
        <w:t>Using a planned approach</w:t>
      </w:r>
      <w:r w:rsidR="001E641D" w:rsidRPr="0054775B">
        <w:rPr>
          <w:lang w:val="en-GB"/>
        </w:rPr>
        <w:t xml:space="preserve"> </w:t>
      </w:r>
      <w:r w:rsidR="006D3E86" w:rsidRPr="0054775B">
        <w:rPr>
          <w:lang w:val="en-GB"/>
        </w:rPr>
        <w:t>7</w:t>
      </w:r>
      <w:r w:rsidR="0007491B" w:rsidRPr="0054775B">
        <w:rPr>
          <w:lang w:val="en-GB"/>
        </w:rPr>
        <w:t>,</w:t>
      </w:r>
      <w:r w:rsidR="006D3E86" w:rsidRPr="0054775B">
        <w:rPr>
          <w:lang w:val="en-GB"/>
        </w:rPr>
        <w:t xml:space="preserve">335 </w:t>
      </w:r>
      <w:r w:rsidR="00316DD7" w:rsidRPr="0054775B">
        <w:rPr>
          <w:lang w:val="en-GB"/>
        </w:rPr>
        <w:t xml:space="preserve">unique articles </w:t>
      </w:r>
      <w:r w:rsidR="00485565" w:rsidRPr="0054775B">
        <w:rPr>
          <w:lang w:val="en-GB"/>
        </w:rPr>
        <w:t xml:space="preserve">from </w:t>
      </w:r>
      <w:r w:rsidR="006548E9" w:rsidRPr="0054775B">
        <w:rPr>
          <w:lang w:val="en-GB"/>
        </w:rPr>
        <w:t>5</w:t>
      </w:r>
      <w:r w:rsidR="00485565" w:rsidRPr="0054775B">
        <w:rPr>
          <w:lang w:val="en-GB"/>
        </w:rPr>
        <w:t xml:space="preserve"> </w:t>
      </w:r>
      <w:r w:rsidR="006D3E86" w:rsidRPr="0054775B">
        <w:rPr>
          <w:lang w:val="en-GB"/>
        </w:rPr>
        <w:t xml:space="preserve">databases </w:t>
      </w:r>
      <w:r w:rsidR="006548E9" w:rsidRPr="0054775B">
        <w:rPr>
          <w:lang w:val="en-GB"/>
        </w:rPr>
        <w:t>were collected and examined</w:t>
      </w:r>
      <w:r w:rsidR="002A60E3">
        <w:rPr>
          <w:lang w:val="en-GB"/>
        </w:rPr>
        <w:t xml:space="preserve"> across </w:t>
      </w:r>
      <w:r w:rsidR="00B776EA">
        <w:rPr>
          <w:lang w:val="en-GB"/>
        </w:rPr>
        <w:t xml:space="preserve">all </w:t>
      </w:r>
      <w:r w:rsidR="004D35FD">
        <w:rPr>
          <w:lang w:val="en-GB"/>
        </w:rPr>
        <w:t xml:space="preserve">15 </w:t>
      </w:r>
      <w:r w:rsidR="00B776EA">
        <w:rPr>
          <w:lang w:val="en-GB"/>
        </w:rPr>
        <w:t>prioritised</w:t>
      </w:r>
      <w:r w:rsidR="002A60E3">
        <w:rPr>
          <w:lang w:val="en-GB"/>
        </w:rPr>
        <w:t xml:space="preserve"> population</w:t>
      </w:r>
      <w:r w:rsidR="004E2E0D">
        <w:rPr>
          <w:lang w:val="en-GB"/>
        </w:rPr>
        <w:t>-supplement pairs</w:t>
      </w:r>
      <w:r w:rsidR="0023384E" w:rsidRPr="0054775B">
        <w:rPr>
          <w:lang w:val="en-GB"/>
        </w:rPr>
        <w:t>.</w:t>
      </w:r>
      <w:r w:rsidR="006D3E86" w:rsidRPr="0054775B">
        <w:rPr>
          <w:lang w:val="en-GB"/>
        </w:rPr>
        <w:t xml:space="preserve"> </w:t>
      </w:r>
      <w:r w:rsidR="006D2A3A" w:rsidRPr="0054775B">
        <w:rPr>
          <w:lang w:val="en-GB"/>
        </w:rPr>
        <w:t>In addition</w:t>
      </w:r>
      <w:r w:rsidR="00DA031E" w:rsidRPr="0054775B">
        <w:rPr>
          <w:lang w:val="en-GB"/>
        </w:rPr>
        <w:t xml:space="preserve">, </w:t>
      </w:r>
      <w:r w:rsidR="006D3E86" w:rsidRPr="0054775B">
        <w:rPr>
          <w:lang w:val="en-GB"/>
        </w:rPr>
        <w:t xml:space="preserve">437 </w:t>
      </w:r>
      <w:r w:rsidR="00316DD7" w:rsidRPr="0054775B">
        <w:rPr>
          <w:lang w:val="en-GB"/>
        </w:rPr>
        <w:t xml:space="preserve">articles were provided </w:t>
      </w:r>
      <w:r w:rsidR="00316DD7" w:rsidRPr="0054775B">
        <w:rPr>
          <w:lang w:val="en-GB"/>
        </w:rPr>
        <w:lastRenderedPageBreak/>
        <w:t xml:space="preserve">through the Department’s public call for evidence </w:t>
      </w:r>
      <w:r w:rsidR="00A24D67" w:rsidRPr="0054775B">
        <w:rPr>
          <w:lang w:val="en-GB"/>
        </w:rPr>
        <w:t xml:space="preserve">or by other key stakeholders. </w:t>
      </w:r>
      <w:r w:rsidR="006B0185" w:rsidRPr="0054775B">
        <w:rPr>
          <w:lang w:val="en-GB"/>
        </w:rPr>
        <w:t xml:space="preserve">One </w:t>
      </w:r>
      <w:r w:rsidR="00FF4C9A" w:rsidRPr="0054775B">
        <w:rPr>
          <w:lang w:val="en-GB"/>
        </w:rPr>
        <w:t xml:space="preserve">of the articles provided by the Department’s call for evidence </w:t>
      </w:r>
      <w:r w:rsidR="006B0185" w:rsidRPr="0054775B">
        <w:rPr>
          <w:lang w:val="en-GB"/>
        </w:rPr>
        <w:t xml:space="preserve">was </w:t>
      </w:r>
      <w:r w:rsidR="00FF4C9A" w:rsidRPr="0054775B">
        <w:rPr>
          <w:lang w:val="en-GB"/>
        </w:rPr>
        <w:t xml:space="preserve">included in the </w:t>
      </w:r>
      <w:r w:rsidR="006B4F51" w:rsidRPr="0054775B">
        <w:rPr>
          <w:lang w:val="en-GB"/>
        </w:rPr>
        <w:t>over</w:t>
      </w:r>
      <w:r w:rsidR="00FF4C9A" w:rsidRPr="0054775B">
        <w:rPr>
          <w:lang w:val="en-GB"/>
        </w:rPr>
        <w:t>view</w:t>
      </w:r>
      <w:r w:rsidR="006D2A3A" w:rsidRPr="0054775B">
        <w:rPr>
          <w:lang w:val="en-GB"/>
        </w:rPr>
        <w:t xml:space="preserve"> (identified in addition to database searching)</w:t>
      </w:r>
      <w:r w:rsidR="00FF4C9A" w:rsidRPr="0054775B">
        <w:rPr>
          <w:lang w:val="en-GB"/>
        </w:rPr>
        <w:t>.</w:t>
      </w:r>
      <w:r w:rsidR="00A24D67" w:rsidRPr="0054775B">
        <w:rPr>
          <w:lang w:val="en-GB"/>
        </w:rPr>
        <w:t xml:space="preserve"> </w:t>
      </w:r>
      <w:r w:rsidR="00316DD7" w:rsidRPr="0054775B">
        <w:rPr>
          <w:lang w:val="en-GB"/>
        </w:rPr>
        <w:t xml:space="preserve">After excluding ineligible </w:t>
      </w:r>
      <w:r w:rsidR="00667015" w:rsidRPr="0054775B">
        <w:rPr>
          <w:lang w:val="en-GB"/>
        </w:rPr>
        <w:t>articles</w:t>
      </w:r>
      <w:r w:rsidR="00316DD7" w:rsidRPr="0054775B">
        <w:rPr>
          <w:lang w:val="en-GB"/>
        </w:rPr>
        <w:t xml:space="preserve">, </w:t>
      </w:r>
      <w:r w:rsidR="00F565B0" w:rsidRPr="0054775B">
        <w:rPr>
          <w:lang w:val="en-GB"/>
        </w:rPr>
        <w:t xml:space="preserve">data </w:t>
      </w:r>
      <w:r w:rsidR="00B467C0">
        <w:rPr>
          <w:lang w:val="en-GB"/>
        </w:rPr>
        <w:t>were</w:t>
      </w:r>
      <w:r w:rsidR="00B467C0" w:rsidRPr="0054775B">
        <w:rPr>
          <w:lang w:val="en-GB"/>
        </w:rPr>
        <w:t xml:space="preserve"> </w:t>
      </w:r>
      <w:r w:rsidR="00F565B0" w:rsidRPr="0054775B">
        <w:rPr>
          <w:lang w:val="en-GB"/>
        </w:rPr>
        <w:t xml:space="preserve">extracted for </w:t>
      </w:r>
      <w:r w:rsidR="006B0185" w:rsidRPr="0054775B">
        <w:rPr>
          <w:lang w:val="en-GB"/>
        </w:rPr>
        <w:t>9</w:t>
      </w:r>
      <w:r w:rsidR="004824EB" w:rsidRPr="0054775B">
        <w:rPr>
          <w:lang w:val="en-GB"/>
        </w:rPr>
        <w:t>7</w:t>
      </w:r>
      <w:r w:rsidR="00F565B0" w:rsidRPr="0054775B">
        <w:rPr>
          <w:lang w:val="en-GB"/>
        </w:rPr>
        <w:t xml:space="preserve"> reviews</w:t>
      </w:r>
      <w:r w:rsidR="00321C8C" w:rsidRPr="0054775B">
        <w:rPr>
          <w:lang w:val="en-GB"/>
        </w:rPr>
        <w:t xml:space="preserve"> covering the 15 prioritised </w:t>
      </w:r>
      <w:r w:rsidR="00252317">
        <w:rPr>
          <w:lang w:val="en-GB"/>
        </w:rPr>
        <w:t>population-</w:t>
      </w:r>
      <w:r w:rsidR="00321C8C" w:rsidRPr="0054775B">
        <w:rPr>
          <w:lang w:val="en-GB"/>
        </w:rPr>
        <w:t>supplement pairs</w:t>
      </w:r>
      <w:r w:rsidR="00F565B0" w:rsidRPr="0054775B">
        <w:rPr>
          <w:lang w:val="en-GB"/>
        </w:rPr>
        <w:t>. The highest quality and most comprehensive review for each outcome was used to summarise findings</w:t>
      </w:r>
      <w:r w:rsidR="00763BC3" w:rsidRPr="0054775B">
        <w:rPr>
          <w:lang w:val="en-GB"/>
        </w:rPr>
        <w:t xml:space="preserve"> (2</w:t>
      </w:r>
      <w:r w:rsidR="004824EB" w:rsidRPr="0054775B">
        <w:rPr>
          <w:lang w:val="en-GB"/>
        </w:rPr>
        <w:t>6</w:t>
      </w:r>
      <w:r w:rsidR="00763BC3" w:rsidRPr="0054775B">
        <w:rPr>
          <w:lang w:val="en-GB"/>
        </w:rPr>
        <w:t xml:space="preserve"> reviews)</w:t>
      </w:r>
      <w:r w:rsidR="00F565B0" w:rsidRPr="0054775B">
        <w:rPr>
          <w:lang w:val="en-GB"/>
        </w:rPr>
        <w:t xml:space="preserve">. </w:t>
      </w:r>
    </w:p>
    <w:p w14:paraId="08B50DED" w14:textId="77777777" w:rsidR="00A24D67" w:rsidRPr="0054775B" w:rsidRDefault="00A24D67" w:rsidP="009E6F7F">
      <w:pPr>
        <w:pStyle w:val="2024SMALLTITLENONUMBER"/>
      </w:pPr>
      <w:bookmarkStart w:id="6" w:name="_Toc111119248"/>
      <w:r w:rsidRPr="0054775B">
        <w:t>What were the main results of the review?</w:t>
      </w:r>
      <w:bookmarkEnd w:id="6"/>
    </w:p>
    <w:p w14:paraId="109D2D3E" w14:textId="6A7A0D5E" w:rsidR="002F1B1A" w:rsidRPr="0054775B" w:rsidRDefault="00182900" w:rsidP="00182900">
      <w:pPr>
        <w:rPr>
          <w:lang w:eastAsia="en-AU"/>
        </w:rPr>
      </w:pPr>
      <w:r w:rsidRPr="0054775B">
        <w:rPr>
          <w:lang w:eastAsia="en-AU"/>
        </w:rPr>
        <w:t>T</w:t>
      </w:r>
      <w:r w:rsidR="00277323" w:rsidRPr="0054775B">
        <w:rPr>
          <w:lang w:eastAsia="en-AU"/>
        </w:rPr>
        <w:t xml:space="preserve">he evidence provides moderate to low certainty that taking </w:t>
      </w:r>
      <w:r w:rsidRPr="0054775B">
        <w:rPr>
          <w:lang w:eastAsia="en-AU"/>
        </w:rPr>
        <w:t xml:space="preserve">nutritional supplements </w:t>
      </w:r>
      <w:r w:rsidR="000C0868" w:rsidRPr="0054775B">
        <w:rPr>
          <w:lang w:eastAsia="en-AU"/>
        </w:rPr>
        <w:t xml:space="preserve">is more effective than not taking supplements for some conditions in the overview. </w:t>
      </w:r>
      <w:r w:rsidR="001A2DED" w:rsidRPr="0054775B">
        <w:rPr>
          <w:lang w:eastAsia="en-AU"/>
        </w:rPr>
        <w:t xml:space="preserve">The evidence also provides </w:t>
      </w:r>
      <w:r w:rsidR="00C05173" w:rsidRPr="0054775B">
        <w:rPr>
          <w:lang w:eastAsia="en-AU"/>
        </w:rPr>
        <w:t>moderate</w:t>
      </w:r>
      <w:r w:rsidR="001A2DED" w:rsidRPr="0054775B">
        <w:rPr>
          <w:lang w:eastAsia="en-AU"/>
        </w:rPr>
        <w:t xml:space="preserve"> to </w:t>
      </w:r>
      <w:r w:rsidR="00C05173" w:rsidRPr="0054775B">
        <w:rPr>
          <w:lang w:eastAsia="en-AU"/>
        </w:rPr>
        <w:t xml:space="preserve">low certainty that </w:t>
      </w:r>
      <w:r w:rsidR="00012BB5" w:rsidRPr="0054775B">
        <w:rPr>
          <w:lang w:eastAsia="en-AU"/>
        </w:rPr>
        <w:t xml:space="preserve">nutritional supplements have </w:t>
      </w:r>
      <w:r w:rsidR="00ED3683" w:rsidRPr="0054775B">
        <w:rPr>
          <w:lang w:eastAsia="en-AU"/>
        </w:rPr>
        <w:t>little</w:t>
      </w:r>
      <w:r w:rsidR="00BB1A57" w:rsidRPr="0054775B">
        <w:rPr>
          <w:lang w:eastAsia="en-AU"/>
        </w:rPr>
        <w:t xml:space="preserve"> (or no) benefit </w:t>
      </w:r>
      <w:r w:rsidR="0014339F" w:rsidRPr="0054775B">
        <w:rPr>
          <w:lang w:eastAsia="en-AU"/>
        </w:rPr>
        <w:t xml:space="preserve">for some conditions assessed in this overview. </w:t>
      </w:r>
      <w:r w:rsidR="00ED3683" w:rsidRPr="0054775B">
        <w:rPr>
          <w:lang w:eastAsia="en-AU"/>
        </w:rPr>
        <w:t xml:space="preserve">There are some </w:t>
      </w:r>
      <w:r w:rsidR="00252317">
        <w:rPr>
          <w:lang w:val="en-GB"/>
        </w:rPr>
        <w:t>population-</w:t>
      </w:r>
      <w:r w:rsidR="00252317" w:rsidRPr="0054775B">
        <w:rPr>
          <w:lang w:val="en-GB"/>
        </w:rPr>
        <w:t xml:space="preserve">supplement </w:t>
      </w:r>
      <w:r w:rsidR="00ED3683" w:rsidRPr="0054775B">
        <w:rPr>
          <w:lang w:eastAsia="en-AU"/>
        </w:rPr>
        <w:t>pairs w</w:t>
      </w:r>
      <w:r w:rsidR="00570DE9" w:rsidRPr="0054775B">
        <w:rPr>
          <w:lang w:eastAsia="en-AU"/>
        </w:rPr>
        <w:t>h</w:t>
      </w:r>
      <w:r w:rsidR="00ED3683" w:rsidRPr="0054775B">
        <w:rPr>
          <w:lang w:eastAsia="en-AU"/>
        </w:rPr>
        <w:t>ere the effect of the supplement is unknown.</w:t>
      </w:r>
    </w:p>
    <w:p w14:paraId="7FBF9924" w14:textId="2124DDC0" w:rsidR="00182900" w:rsidRPr="0054775B" w:rsidRDefault="00372A45" w:rsidP="00182900">
      <w:pPr>
        <w:rPr>
          <w:lang w:eastAsia="en-AU"/>
        </w:rPr>
      </w:pPr>
      <w:r w:rsidRPr="0054775B">
        <w:rPr>
          <w:lang w:eastAsia="en-AU"/>
        </w:rPr>
        <w:t xml:space="preserve">The evidence provides </w:t>
      </w:r>
      <w:r w:rsidRPr="00DB12C9">
        <w:rPr>
          <w:b/>
          <w:bCs/>
          <w:lang w:eastAsia="en-AU"/>
        </w:rPr>
        <w:t>moderate</w:t>
      </w:r>
      <w:r w:rsidRPr="0054775B">
        <w:rPr>
          <w:lang w:eastAsia="en-AU"/>
        </w:rPr>
        <w:t xml:space="preserve"> </w:t>
      </w:r>
      <w:r w:rsidRPr="00643B09">
        <w:rPr>
          <w:b/>
          <w:bCs/>
          <w:lang w:eastAsia="en-AU"/>
        </w:rPr>
        <w:t>certainty</w:t>
      </w:r>
      <w:r w:rsidR="00F069F3" w:rsidRPr="0054775B">
        <w:rPr>
          <w:lang w:eastAsia="en-AU"/>
        </w:rPr>
        <w:t xml:space="preserve"> that nutritional supplements </w:t>
      </w:r>
      <w:r w:rsidR="00F069F3" w:rsidRPr="0019617D">
        <w:rPr>
          <w:lang w:eastAsia="en-AU"/>
        </w:rPr>
        <w:t>probably</w:t>
      </w:r>
      <w:r w:rsidR="00F069F3" w:rsidRPr="004A5FBB">
        <w:rPr>
          <w:b/>
          <w:bCs/>
          <w:lang w:eastAsia="en-AU"/>
        </w:rPr>
        <w:t xml:space="preserve"> improve</w:t>
      </w:r>
      <w:r w:rsidR="00F069F3" w:rsidRPr="0054775B">
        <w:rPr>
          <w:lang w:eastAsia="en-AU"/>
        </w:rPr>
        <w:t xml:space="preserve"> some key health outcomes </w:t>
      </w:r>
      <w:r w:rsidR="00F069F3">
        <w:rPr>
          <w:lang w:eastAsia="en-AU"/>
        </w:rPr>
        <w:t xml:space="preserve">for people with </w:t>
      </w:r>
      <w:r w:rsidR="00077B4E">
        <w:rPr>
          <w:lang w:eastAsia="en-AU"/>
        </w:rPr>
        <w:t>or</w:t>
      </w:r>
      <w:r w:rsidR="00F069F3">
        <w:rPr>
          <w:lang w:eastAsia="en-AU"/>
        </w:rPr>
        <w:t xml:space="preserve"> at-risk of four</w:t>
      </w:r>
      <w:r w:rsidR="00F069F3" w:rsidRPr="0054775B">
        <w:rPr>
          <w:lang w:eastAsia="en-AU"/>
        </w:rPr>
        <w:t xml:space="preserve"> </w:t>
      </w:r>
      <w:r w:rsidR="00F069F3" w:rsidRPr="0019617D">
        <w:rPr>
          <w:lang w:eastAsia="en-AU"/>
        </w:rPr>
        <w:t>conditions</w:t>
      </w:r>
      <w:r w:rsidR="00F069F3" w:rsidRPr="0054775B">
        <w:rPr>
          <w:lang w:eastAsia="en-AU"/>
        </w:rPr>
        <w:t>:</w:t>
      </w:r>
    </w:p>
    <w:p w14:paraId="356BBE47" w14:textId="35B18D59" w:rsidR="00123204" w:rsidRPr="0054775B" w:rsidRDefault="00123204" w:rsidP="00107BEE">
      <w:pPr>
        <w:pStyle w:val="ListParagraph"/>
        <w:numPr>
          <w:ilvl w:val="0"/>
          <w:numId w:val="21"/>
        </w:numPr>
        <w:ind w:left="426"/>
        <w:rPr>
          <w:lang w:eastAsia="en-AU"/>
        </w:rPr>
      </w:pPr>
      <w:r w:rsidRPr="0054775B">
        <w:t>Probiotics</w:t>
      </w:r>
      <w:r w:rsidRPr="0054775B">
        <w:rPr>
          <w:lang w:eastAsia="en-AU"/>
        </w:rPr>
        <w:t xml:space="preserve"> </w:t>
      </w:r>
      <w:r w:rsidRPr="00643B09">
        <w:rPr>
          <w:b/>
          <w:bCs/>
          <w:lang w:eastAsia="en-AU"/>
        </w:rPr>
        <w:t>probably</w:t>
      </w:r>
      <w:r>
        <w:rPr>
          <w:lang w:eastAsia="en-AU"/>
        </w:rPr>
        <w:t xml:space="preserve"> </w:t>
      </w:r>
      <w:r w:rsidRPr="00643B09">
        <w:rPr>
          <w:b/>
          <w:bCs/>
          <w:lang w:eastAsia="en-AU"/>
        </w:rPr>
        <w:t>improve</w:t>
      </w:r>
      <w:r w:rsidR="00121D06" w:rsidRPr="00643B09">
        <w:rPr>
          <w:b/>
          <w:bCs/>
          <w:lang w:eastAsia="en-AU"/>
        </w:rPr>
        <w:t>s</w:t>
      </w:r>
      <w:r w:rsidRPr="0054775B">
        <w:rPr>
          <w:lang w:eastAsia="en-AU"/>
        </w:rPr>
        <w:t xml:space="preserve"> </w:t>
      </w:r>
      <w:r>
        <w:rPr>
          <w:lang w:eastAsia="en-AU"/>
        </w:rPr>
        <w:t xml:space="preserve">the number of people with </w:t>
      </w:r>
      <w:r w:rsidRPr="0054775B">
        <w:rPr>
          <w:lang w:eastAsia="en-AU"/>
        </w:rPr>
        <w:t>global symptom</w:t>
      </w:r>
      <w:r>
        <w:rPr>
          <w:lang w:eastAsia="en-AU"/>
        </w:rPr>
        <w:t xml:space="preserve"> improvement</w:t>
      </w:r>
      <w:r w:rsidR="00D31EDA">
        <w:rPr>
          <w:lang w:eastAsia="en-AU"/>
        </w:rPr>
        <w:t xml:space="preserve"> for people with </w:t>
      </w:r>
      <w:r w:rsidR="004544F8">
        <w:rPr>
          <w:lang w:eastAsia="en-AU"/>
        </w:rPr>
        <w:t>irritable bowel syndrome (</w:t>
      </w:r>
      <w:r w:rsidR="00D31EDA">
        <w:rPr>
          <w:lang w:eastAsia="en-AU"/>
        </w:rPr>
        <w:t>IBS</w:t>
      </w:r>
      <w:r w:rsidR="004544F8">
        <w:rPr>
          <w:lang w:eastAsia="en-AU"/>
        </w:rPr>
        <w:t>)</w:t>
      </w:r>
      <w:r w:rsidR="002D3AFA">
        <w:rPr>
          <w:lang w:eastAsia="en-AU"/>
        </w:rPr>
        <w:t xml:space="preserve"> although </w:t>
      </w:r>
      <w:r w:rsidR="00FD7757">
        <w:t>p</w:t>
      </w:r>
      <w:r w:rsidR="002D3AFA" w:rsidRPr="0054775B">
        <w:t>robiotics</w:t>
      </w:r>
      <w:r w:rsidR="002D3AFA" w:rsidRPr="0054775B">
        <w:rPr>
          <w:lang w:eastAsia="en-AU"/>
        </w:rPr>
        <w:t xml:space="preserve"> </w:t>
      </w:r>
      <w:r w:rsidR="002D3AFA" w:rsidRPr="00643B09">
        <w:rPr>
          <w:b/>
          <w:bCs/>
          <w:lang w:eastAsia="en-AU"/>
        </w:rPr>
        <w:t>may have little to no effect</w:t>
      </w:r>
      <w:r w:rsidR="002D3AFA">
        <w:rPr>
          <w:lang w:eastAsia="en-AU"/>
        </w:rPr>
        <w:t xml:space="preserve"> on </w:t>
      </w:r>
      <w:r w:rsidR="002D3AFA" w:rsidRPr="0054775B">
        <w:t>global</w:t>
      </w:r>
      <w:r w:rsidR="002D3AFA">
        <w:t xml:space="preserve"> IBS </w:t>
      </w:r>
      <w:r w:rsidR="002D3AFA" w:rsidRPr="0054775B">
        <w:t xml:space="preserve">symptoms or response </w:t>
      </w:r>
      <w:r w:rsidR="00252F4A">
        <w:t>on average</w:t>
      </w:r>
      <w:r w:rsidR="00FD7757">
        <w:t>.</w:t>
      </w:r>
    </w:p>
    <w:p w14:paraId="016F691D" w14:textId="70B34912" w:rsidR="00123204" w:rsidRDefault="00123204" w:rsidP="00107BEE">
      <w:pPr>
        <w:pStyle w:val="ListParagraph"/>
        <w:numPr>
          <w:ilvl w:val="0"/>
          <w:numId w:val="21"/>
        </w:numPr>
        <w:ind w:left="426"/>
        <w:rPr>
          <w:lang w:eastAsia="en-AU"/>
        </w:rPr>
      </w:pPr>
      <w:r w:rsidRPr="0054775B">
        <w:rPr>
          <w:lang w:eastAsia="en-AU"/>
        </w:rPr>
        <w:t>Antioxidants</w:t>
      </w:r>
      <w:r w:rsidR="00103920">
        <w:rPr>
          <w:lang w:eastAsia="en-AU"/>
        </w:rPr>
        <w:t xml:space="preserve"> (</w:t>
      </w:r>
      <w:r w:rsidR="00926F1F" w:rsidRPr="0054775B">
        <w:rPr>
          <w:lang w:eastAsia="en-AU"/>
        </w:rPr>
        <w:t xml:space="preserve">specifically CoQ10 and </w:t>
      </w:r>
      <w:r w:rsidR="00C76897" w:rsidRPr="00C76897">
        <w:rPr>
          <w:lang w:eastAsia="en-AU"/>
        </w:rPr>
        <w:t>alpha-lipoic</w:t>
      </w:r>
      <w:r w:rsidR="00C76897">
        <w:rPr>
          <w:lang w:eastAsia="en-AU"/>
        </w:rPr>
        <w:t xml:space="preserve"> acid</w:t>
      </w:r>
      <w:r w:rsidR="0003711E">
        <w:rPr>
          <w:lang w:eastAsia="en-AU"/>
        </w:rPr>
        <w:t xml:space="preserve"> </w:t>
      </w:r>
      <w:r w:rsidR="00C76897">
        <w:rPr>
          <w:lang w:eastAsia="en-AU"/>
        </w:rPr>
        <w:t>(</w:t>
      </w:r>
      <w:r w:rsidR="00926F1F">
        <w:rPr>
          <w:lang w:eastAsia="en-AU"/>
        </w:rPr>
        <w:t>ALA</w:t>
      </w:r>
      <w:r w:rsidR="0003711E">
        <w:rPr>
          <w:lang w:eastAsia="en-AU"/>
        </w:rPr>
        <w:t>)</w:t>
      </w:r>
      <w:r w:rsidR="00926F1F" w:rsidRPr="0054775B">
        <w:rPr>
          <w:lang w:eastAsia="en-AU"/>
        </w:rPr>
        <w:t>)</w:t>
      </w:r>
      <w:r w:rsidRPr="0054775B">
        <w:rPr>
          <w:lang w:eastAsia="en-AU"/>
        </w:rPr>
        <w:t xml:space="preserve"> </w:t>
      </w:r>
      <w:r w:rsidRPr="00643B09">
        <w:rPr>
          <w:b/>
          <w:bCs/>
          <w:lang w:eastAsia="en-AU"/>
        </w:rPr>
        <w:t>probably</w:t>
      </w:r>
      <w:r w:rsidRPr="0054775B">
        <w:rPr>
          <w:lang w:eastAsia="en-AU"/>
        </w:rPr>
        <w:t xml:space="preserve"> </w:t>
      </w:r>
      <w:r w:rsidR="00D31EDA" w:rsidRPr="00643B09">
        <w:rPr>
          <w:b/>
          <w:bCs/>
          <w:lang w:eastAsia="en-AU"/>
        </w:rPr>
        <w:t>reduce</w:t>
      </w:r>
      <w:r w:rsidR="00D31EDA" w:rsidRPr="0054775B">
        <w:rPr>
          <w:lang w:eastAsia="en-AU"/>
        </w:rPr>
        <w:t xml:space="preserve"> </w:t>
      </w:r>
      <w:r>
        <w:rPr>
          <w:lang w:eastAsia="en-AU"/>
        </w:rPr>
        <w:t xml:space="preserve">global </w:t>
      </w:r>
      <w:r w:rsidRPr="0054775B">
        <w:rPr>
          <w:lang w:eastAsia="en-AU"/>
        </w:rPr>
        <w:t>fatigue severity/</w:t>
      </w:r>
      <w:r>
        <w:rPr>
          <w:lang w:eastAsia="en-AU"/>
        </w:rPr>
        <w:t>burden</w:t>
      </w:r>
      <w:r w:rsidR="00050027" w:rsidRPr="00050027">
        <w:rPr>
          <w:lang w:eastAsia="en-AU"/>
        </w:rPr>
        <w:t xml:space="preserve"> </w:t>
      </w:r>
      <w:r w:rsidR="00050027">
        <w:rPr>
          <w:lang w:eastAsia="en-AU"/>
        </w:rPr>
        <w:t xml:space="preserve">for people with </w:t>
      </w:r>
      <w:r w:rsidR="00050027" w:rsidRPr="0054775B">
        <w:rPr>
          <w:lang w:eastAsia="en-AU"/>
        </w:rPr>
        <w:t>fatigue</w:t>
      </w:r>
      <w:r w:rsidR="00050027">
        <w:rPr>
          <w:lang w:eastAsia="en-AU"/>
        </w:rPr>
        <w:t xml:space="preserve"> </w:t>
      </w:r>
      <w:r w:rsidR="00050027" w:rsidRPr="0054775B">
        <w:rPr>
          <w:lang w:eastAsia="en-AU"/>
        </w:rPr>
        <w:t xml:space="preserve">(including myalgic encephalomyelitis </w:t>
      </w:r>
      <w:r w:rsidR="00050027">
        <w:rPr>
          <w:lang w:eastAsia="en-AU"/>
        </w:rPr>
        <w:t xml:space="preserve">(ME) </w:t>
      </w:r>
      <w:r w:rsidR="00050027" w:rsidRPr="0054775B">
        <w:rPr>
          <w:lang w:eastAsia="en-AU"/>
        </w:rPr>
        <w:t>and Chronic Fatigue Syndrome</w:t>
      </w:r>
      <w:r w:rsidR="00050027">
        <w:rPr>
          <w:lang w:eastAsia="en-AU"/>
        </w:rPr>
        <w:t xml:space="preserve"> (CFS)</w:t>
      </w:r>
      <w:r w:rsidR="00050027" w:rsidRPr="0054775B">
        <w:rPr>
          <w:lang w:eastAsia="en-AU"/>
        </w:rPr>
        <w:t>)</w:t>
      </w:r>
      <w:r>
        <w:rPr>
          <w:lang w:eastAsia="en-AU"/>
        </w:rPr>
        <w:t>.</w:t>
      </w:r>
    </w:p>
    <w:p w14:paraId="76CA404D" w14:textId="7146A2A5" w:rsidR="00ED6D48" w:rsidRDefault="00ED6D48" w:rsidP="00107BEE">
      <w:pPr>
        <w:pStyle w:val="ListParagraph"/>
        <w:numPr>
          <w:ilvl w:val="0"/>
          <w:numId w:val="21"/>
        </w:numPr>
        <w:ind w:left="426"/>
        <w:rPr>
          <w:lang w:eastAsia="en-AU"/>
        </w:rPr>
      </w:pPr>
      <w:r>
        <w:rPr>
          <w:lang w:eastAsia="en-AU"/>
        </w:rPr>
        <w:t xml:space="preserve">Zinc </w:t>
      </w:r>
      <w:r w:rsidRPr="00643B09">
        <w:rPr>
          <w:b/>
          <w:bCs/>
          <w:lang w:eastAsia="en-AU"/>
        </w:rPr>
        <w:t>probably</w:t>
      </w:r>
      <w:r>
        <w:rPr>
          <w:lang w:eastAsia="en-AU"/>
        </w:rPr>
        <w:t xml:space="preserve"> </w:t>
      </w:r>
      <w:r w:rsidRPr="00643B09">
        <w:rPr>
          <w:b/>
          <w:bCs/>
          <w:lang w:eastAsia="en-AU"/>
        </w:rPr>
        <w:t>reduces</w:t>
      </w:r>
      <w:r w:rsidRPr="00ED6D48">
        <w:rPr>
          <w:lang w:eastAsia="en-AU"/>
        </w:rPr>
        <w:t xml:space="preserve"> </w:t>
      </w:r>
      <w:r w:rsidR="001F21B7">
        <w:rPr>
          <w:lang w:eastAsia="en-AU"/>
        </w:rPr>
        <w:t xml:space="preserve">recurrent infections when measured by </w:t>
      </w:r>
      <w:r w:rsidRPr="00ED6D48">
        <w:rPr>
          <w:lang w:eastAsia="en-AU"/>
        </w:rPr>
        <w:t xml:space="preserve">the number of episodes of infection per </w:t>
      </w:r>
      <w:r w:rsidR="001F21B7">
        <w:rPr>
          <w:lang w:eastAsia="en-AU"/>
        </w:rPr>
        <w:t>child</w:t>
      </w:r>
      <w:r w:rsidR="001F21B7" w:rsidRPr="00ED6D48">
        <w:rPr>
          <w:lang w:eastAsia="en-AU"/>
        </w:rPr>
        <w:t xml:space="preserve"> </w:t>
      </w:r>
      <w:r w:rsidRPr="00ED6D48">
        <w:rPr>
          <w:lang w:eastAsia="en-AU"/>
        </w:rPr>
        <w:t xml:space="preserve">per year </w:t>
      </w:r>
      <w:r w:rsidR="001F21B7">
        <w:rPr>
          <w:lang w:eastAsia="en-AU"/>
        </w:rPr>
        <w:t xml:space="preserve">in children with </w:t>
      </w:r>
      <w:r w:rsidRPr="00ED6D48">
        <w:rPr>
          <w:lang w:eastAsia="en-AU"/>
        </w:rPr>
        <w:t>otitis media</w:t>
      </w:r>
      <w:r w:rsidR="001F21B7">
        <w:rPr>
          <w:lang w:eastAsia="en-AU"/>
        </w:rPr>
        <w:t xml:space="preserve"> </w:t>
      </w:r>
      <w:r w:rsidR="00A826C6" w:rsidRPr="00A826C6">
        <w:rPr>
          <w:lang w:eastAsia="en-AU"/>
        </w:rPr>
        <w:t xml:space="preserve">(although when recurrence is measured by the number of children with at least one episode of infection during follow-up, zinc </w:t>
      </w:r>
      <w:r w:rsidR="00A826C6" w:rsidRPr="000632DF">
        <w:rPr>
          <w:b/>
          <w:lang w:eastAsia="en-AU"/>
        </w:rPr>
        <w:t>may have little to no effect</w:t>
      </w:r>
      <w:r w:rsidR="00A826C6" w:rsidRPr="00A826C6">
        <w:rPr>
          <w:lang w:eastAsia="en-AU"/>
        </w:rPr>
        <w:t xml:space="preserve"> on recurrent infections in children with otitis media</w:t>
      </w:r>
      <w:r w:rsidRPr="00ED6D48">
        <w:rPr>
          <w:lang w:eastAsia="en-AU"/>
        </w:rPr>
        <w:t>).</w:t>
      </w:r>
    </w:p>
    <w:p w14:paraId="2A201D4E" w14:textId="140BE895" w:rsidR="00123204" w:rsidRDefault="00123204" w:rsidP="00107BEE">
      <w:pPr>
        <w:pStyle w:val="ListParagraph"/>
        <w:numPr>
          <w:ilvl w:val="0"/>
          <w:numId w:val="21"/>
        </w:numPr>
        <w:ind w:left="426"/>
        <w:rPr>
          <w:lang w:eastAsia="en-AU"/>
        </w:rPr>
      </w:pPr>
      <w:r w:rsidRPr="0054775B">
        <w:rPr>
          <w:lang w:eastAsia="en-AU"/>
        </w:rPr>
        <w:t xml:space="preserve">Antioxidants </w:t>
      </w:r>
      <w:r w:rsidR="003D24F2" w:rsidRPr="0054775B">
        <w:rPr>
          <w:lang w:eastAsia="en-AU"/>
        </w:rPr>
        <w:t xml:space="preserve">(specifically CoQ10 and </w:t>
      </w:r>
      <w:r w:rsidR="003D24F2">
        <w:rPr>
          <w:lang w:eastAsia="en-AU"/>
        </w:rPr>
        <w:t>ALA</w:t>
      </w:r>
      <w:r w:rsidR="003D24F2" w:rsidRPr="0054775B">
        <w:rPr>
          <w:lang w:eastAsia="en-AU"/>
        </w:rPr>
        <w:t>)</w:t>
      </w:r>
      <w:r w:rsidR="003D24F2">
        <w:rPr>
          <w:lang w:eastAsia="en-AU"/>
        </w:rPr>
        <w:t xml:space="preserve"> </w:t>
      </w:r>
      <w:r w:rsidRPr="00643B09">
        <w:rPr>
          <w:b/>
          <w:bCs/>
          <w:lang w:eastAsia="en-AU"/>
        </w:rPr>
        <w:t>probably</w:t>
      </w:r>
      <w:r w:rsidRPr="0054775B">
        <w:rPr>
          <w:lang w:eastAsia="en-AU"/>
        </w:rPr>
        <w:t xml:space="preserve"> </w:t>
      </w:r>
      <w:r w:rsidRPr="00643B09">
        <w:rPr>
          <w:b/>
          <w:bCs/>
          <w:lang w:eastAsia="en-AU"/>
        </w:rPr>
        <w:t>improve</w:t>
      </w:r>
      <w:r w:rsidRPr="0054775B">
        <w:rPr>
          <w:lang w:eastAsia="en-AU"/>
        </w:rPr>
        <w:t xml:space="preserve"> </w:t>
      </w:r>
      <w:r>
        <w:rPr>
          <w:lang w:eastAsia="en-AU"/>
        </w:rPr>
        <w:t xml:space="preserve">fasting blood glucose and glycaemic control </w:t>
      </w:r>
      <w:r w:rsidR="00050027">
        <w:rPr>
          <w:lang w:eastAsia="en-AU"/>
        </w:rPr>
        <w:t xml:space="preserve">in </w:t>
      </w:r>
      <w:r>
        <w:rPr>
          <w:lang w:eastAsia="en-AU"/>
        </w:rPr>
        <w:t xml:space="preserve">people </w:t>
      </w:r>
      <w:r w:rsidR="009C0551">
        <w:rPr>
          <w:lang w:eastAsia="en-AU"/>
        </w:rPr>
        <w:t xml:space="preserve">with obesity </w:t>
      </w:r>
      <w:r>
        <w:rPr>
          <w:lang w:eastAsia="en-AU"/>
        </w:rPr>
        <w:t>at risk of Type II Diabetes Mellitus.</w:t>
      </w:r>
    </w:p>
    <w:p w14:paraId="6F6222CE" w14:textId="6CD81B93" w:rsidR="00724B94" w:rsidRPr="0054775B" w:rsidRDefault="000E33E4" w:rsidP="00D97A96">
      <w:pPr>
        <w:rPr>
          <w:lang w:eastAsia="en-AU"/>
        </w:rPr>
      </w:pPr>
      <w:r w:rsidRPr="0054775B">
        <w:rPr>
          <w:lang w:eastAsia="en-AU"/>
        </w:rPr>
        <w:t>The evi</w:t>
      </w:r>
      <w:r w:rsidR="0038735B" w:rsidRPr="0054775B">
        <w:rPr>
          <w:lang w:eastAsia="en-AU"/>
        </w:rPr>
        <w:t xml:space="preserve">dence provides </w:t>
      </w:r>
      <w:r w:rsidR="0038735B" w:rsidRPr="00643B09">
        <w:rPr>
          <w:b/>
          <w:bCs/>
          <w:lang w:eastAsia="en-AU"/>
        </w:rPr>
        <w:t>low</w:t>
      </w:r>
      <w:r w:rsidR="0038735B" w:rsidRPr="0054775B">
        <w:rPr>
          <w:lang w:eastAsia="en-AU"/>
        </w:rPr>
        <w:t xml:space="preserve"> </w:t>
      </w:r>
      <w:r w:rsidR="0038735B" w:rsidRPr="00643B09">
        <w:rPr>
          <w:b/>
          <w:bCs/>
          <w:lang w:eastAsia="en-AU"/>
        </w:rPr>
        <w:t>certainty</w:t>
      </w:r>
      <w:r w:rsidR="00D97A96" w:rsidRPr="00D97A96">
        <w:rPr>
          <w:lang w:eastAsia="en-AU"/>
        </w:rPr>
        <w:t xml:space="preserve"> </w:t>
      </w:r>
      <w:r w:rsidR="00D97A96" w:rsidRPr="0054775B">
        <w:rPr>
          <w:lang w:eastAsia="en-AU"/>
        </w:rPr>
        <w:t xml:space="preserve">that nutritional supplements </w:t>
      </w:r>
      <w:r w:rsidR="00D97A96">
        <w:rPr>
          <w:lang w:eastAsia="en-AU"/>
        </w:rPr>
        <w:t>may</w:t>
      </w:r>
      <w:r w:rsidR="00D97A96" w:rsidRPr="00353AA7">
        <w:rPr>
          <w:b/>
          <w:bCs/>
          <w:lang w:eastAsia="en-AU"/>
        </w:rPr>
        <w:t xml:space="preserve"> improve</w:t>
      </w:r>
      <w:r w:rsidR="00D97A96" w:rsidRPr="0054775B">
        <w:rPr>
          <w:lang w:eastAsia="en-AU"/>
        </w:rPr>
        <w:t xml:space="preserve"> some key health outcomes </w:t>
      </w:r>
      <w:r w:rsidR="00D97A96">
        <w:rPr>
          <w:lang w:eastAsia="en-AU"/>
        </w:rPr>
        <w:t xml:space="preserve">for people with </w:t>
      </w:r>
      <w:r w:rsidR="00D97A96" w:rsidRPr="004A5FBB">
        <w:rPr>
          <w:lang w:eastAsia="en-AU"/>
        </w:rPr>
        <w:t>four</w:t>
      </w:r>
      <w:r w:rsidR="00D97A96" w:rsidRPr="00EE4FA5">
        <w:rPr>
          <w:lang w:eastAsia="en-AU"/>
        </w:rPr>
        <w:t xml:space="preserve"> conditions</w:t>
      </w:r>
      <w:r w:rsidR="00D97A96" w:rsidRPr="0054775B">
        <w:rPr>
          <w:lang w:eastAsia="en-AU"/>
        </w:rPr>
        <w:t>:</w:t>
      </w:r>
    </w:p>
    <w:p w14:paraId="39B3170E" w14:textId="37FDF37F" w:rsidR="00123204" w:rsidRDefault="00123204" w:rsidP="00107BEE">
      <w:pPr>
        <w:pStyle w:val="ListParagraph"/>
        <w:numPr>
          <w:ilvl w:val="0"/>
          <w:numId w:val="21"/>
        </w:numPr>
        <w:ind w:left="426"/>
        <w:rPr>
          <w:lang w:eastAsia="en-AU"/>
        </w:rPr>
      </w:pPr>
      <w:r>
        <w:rPr>
          <w:lang w:eastAsia="en-AU"/>
        </w:rPr>
        <w:t>Magnesium</w:t>
      </w:r>
      <w:r w:rsidRPr="0054775B">
        <w:rPr>
          <w:lang w:eastAsia="en-AU"/>
        </w:rPr>
        <w:t xml:space="preserve"> </w:t>
      </w:r>
      <w:r>
        <w:rPr>
          <w:lang w:eastAsia="en-AU"/>
        </w:rPr>
        <w:t xml:space="preserve">+ a naturopathy co-intervention </w:t>
      </w:r>
      <w:r w:rsidRPr="00643B09">
        <w:rPr>
          <w:b/>
          <w:bCs/>
          <w:lang w:eastAsia="en-AU"/>
        </w:rPr>
        <w:t>may improve</w:t>
      </w:r>
      <w:r w:rsidRPr="0054775B">
        <w:rPr>
          <w:lang w:eastAsia="en-AU"/>
        </w:rPr>
        <w:t xml:space="preserve"> anxiety-related emotional functioning/mental health burden</w:t>
      </w:r>
      <w:r w:rsidR="00050027" w:rsidRPr="00050027">
        <w:rPr>
          <w:lang w:eastAsia="en-AU"/>
        </w:rPr>
        <w:t xml:space="preserve"> </w:t>
      </w:r>
      <w:r w:rsidR="00050027">
        <w:rPr>
          <w:lang w:eastAsia="en-AU"/>
        </w:rPr>
        <w:t>in people with anxiety</w:t>
      </w:r>
      <w:r>
        <w:rPr>
          <w:lang w:eastAsia="en-AU"/>
        </w:rPr>
        <w:t>.</w:t>
      </w:r>
      <w:r w:rsidR="00D85A76" w:rsidRPr="00D85A76">
        <w:t xml:space="preserve"> </w:t>
      </w:r>
    </w:p>
    <w:p w14:paraId="26883DF8" w14:textId="6BBB3422" w:rsidR="00123204" w:rsidRDefault="00123204" w:rsidP="00107BEE">
      <w:pPr>
        <w:pStyle w:val="ListParagraph"/>
        <w:numPr>
          <w:ilvl w:val="0"/>
          <w:numId w:val="21"/>
        </w:numPr>
        <w:ind w:left="426"/>
        <w:rPr>
          <w:lang w:eastAsia="en-AU"/>
        </w:rPr>
      </w:pPr>
      <w:r w:rsidRPr="0054775B">
        <w:rPr>
          <w:lang w:eastAsia="en-AU"/>
        </w:rPr>
        <w:t xml:space="preserve">Probiotics </w:t>
      </w:r>
      <w:r w:rsidRPr="00643B09">
        <w:rPr>
          <w:b/>
          <w:bCs/>
          <w:lang w:eastAsia="en-AU"/>
        </w:rPr>
        <w:t>may improve</w:t>
      </w:r>
      <w:r>
        <w:rPr>
          <w:lang w:eastAsia="en-AU"/>
        </w:rPr>
        <w:t xml:space="preserve"> stool consistency</w:t>
      </w:r>
      <w:r w:rsidR="001214C9">
        <w:rPr>
          <w:lang w:eastAsia="en-AU"/>
        </w:rPr>
        <w:t xml:space="preserve"> and health-related quality of life</w:t>
      </w:r>
      <w:r>
        <w:rPr>
          <w:lang w:eastAsia="en-AU"/>
        </w:rPr>
        <w:t xml:space="preserve">, and </w:t>
      </w:r>
      <w:r w:rsidRPr="00B61159">
        <w:rPr>
          <w:b/>
          <w:bCs/>
          <w:lang w:eastAsia="en-AU"/>
        </w:rPr>
        <w:t>slightly improve</w:t>
      </w:r>
      <w:r w:rsidRPr="0054775B">
        <w:rPr>
          <w:lang w:eastAsia="en-AU"/>
        </w:rPr>
        <w:t xml:space="preserve"> </w:t>
      </w:r>
      <w:r>
        <w:rPr>
          <w:lang w:eastAsia="en-AU"/>
        </w:rPr>
        <w:t>abdominal pain and stool frequency</w:t>
      </w:r>
      <w:r w:rsidR="00050027">
        <w:rPr>
          <w:lang w:eastAsia="en-AU"/>
        </w:rPr>
        <w:t xml:space="preserve"> in people with IBS</w:t>
      </w:r>
      <w:r>
        <w:rPr>
          <w:lang w:eastAsia="en-AU"/>
        </w:rPr>
        <w:t>.</w:t>
      </w:r>
    </w:p>
    <w:p w14:paraId="53BE0A51" w14:textId="36567265" w:rsidR="00123204" w:rsidRDefault="00123204" w:rsidP="00107BEE">
      <w:pPr>
        <w:pStyle w:val="ListParagraph"/>
        <w:numPr>
          <w:ilvl w:val="0"/>
          <w:numId w:val="21"/>
        </w:numPr>
        <w:ind w:left="426"/>
        <w:rPr>
          <w:lang w:eastAsia="en-AU"/>
        </w:rPr>
      </w:pPr>
      <w:r>
        <w:rPr>
          <w:lang w:eastAsia="en-AU"/>
        </w:rPr>
        <w:t xml:space="preserve">Magnesium </w:t>
      </w:r>
      <w:r w:rsidRPr="00643B09">
        <w:rPr>
          <w:b/>
          <w:bCs/>
          <w:lang w:eastAsia="en-AU"/>
        </w:rPr>
        <w:t>may reduce</w:t>
      </w:r>
      <w:r>
        <w:rPr>
          <w:lang w:eastAsia="en-AU"/>
        </w:rPr>
        <w:t xml:space="preserve"> headache frequency and the number of days with migraine</w:t>
      </w:r>
      <w:r w:rsidR="00050027" w:rsidRPr="00050027">
        <w:rPr>
          <w:lang w:eastAsia="en-AU"/>
        </w:rPr>
        <w:t xml:space="preserve"> </w:t>
      </w:r>
      <w:r w:rsidR="00050027">
        <w:rPr>
          <w:lang w:eastAsia="en-AU"/>
        </w:rPr>
        <w:t>for people with headache and migraine</w:t>
      </w:r>
      <w:r>
        <w:rPr>
          <w:lang w:eastAsia="en-AU"/>
        </w:rPr>
        <w:t>.</w:t>
      </w:r>
    </w:p>
    <w:p w14:paraId="3C9E9A3F" w14:textId="0A250B0C" w:rsidR="00123204" w:rsidRDefault="00123204" w:rsidP="00107BEE">
      <w:pPr>
        <w:pStyle w:val="ListParagraph"/>
        <w:numPr>
          <w:ilvl w:val="0"/>
          <w:numId w:val="21"/>
        </w:numPr>
        <w:ind w:left="426"/>
        <w:rPr>
          <w:lang w:eastAsia="en-AU"/>
        </w:rPr>
      </w:pPr>
      <w:r>
        <w:t xml:space="preserve">Omega-3 </w:t>
      </w:r>
      <w:r w:rsidR="001B5365">
        <w:t xml:space="preserve">fatty acids </w:t>
      </w:r>
      <w:r w:rsidRPr="00643B09">
        <w:rPr>
          <w:b/>
          <w:bCs/>
        </w:rPr>
        <w:t>may slightly improve</w:t>
      </w:r>
      <w:r>
        <w:t xml:space="preserve"> systolic blood pressure</w:t>
      </w:r>
      <w:r w:rsidR="00B61159">
        <w:t xml:space="preserve"> for people with hypertension</w:t>
      </w:r>
      <w:r>
        <w:t>.</w:t>
      </w:r>
    </w:p>
    <w:p w14:paraId="640BD9A6" w14:textId="1A418C8C" w:rsidR="002E2A56" w:rsidRDefault="002E2A56" w:rsidP="002E2A56">
      <w:pPr>
        <w:rPr>
          <w:lang w:eastAsia="en-AU"/>
        </w:rPr>
      </w:pPr>
      <w:r w:rsidRPr="0054775B">
        <w:rPr>
          <w:lang w:eastAsia="en-AU"/>
        </w:rPr>
        <w:t>The evidence</w:t>
      </w:r>
      <w:r w:rsidR="00F810AE">
        <w:rPr>
          <w:lang w:eastAsia="en-AU"/>
        </w:rPr>
        <w:t xml:space="preserve"> </w:t>
      </w:r>
      <w:r w:rsidRPr="0054775B">
        <w:rPr>
          <w:lang w:eastAsia="en-AU"/>
        </w:rPr>
        <w:t xml:space="preserve">provides </w:t>
      </w:r>
      <w:r w:rsidRPr="00DB12C9">
        <w:rPr>
          <w:b/>
          <w:bCs/>
          <w:lang w:eastAsia="en-AU"/>
        </w:rPr>
        <w:t>moderate</w:t>
      </w:r>
      <w:r w:rsidRPr="0054775B">
        <w:rPr>
          <w:lang w:eastAsia="en-AU"/>
        </w:rPr>
        <w:t xml:space="preserve"> </w:t>
      </w:r>
      <w:r w:rsidRPr="00643B09">
        <w:rPr>
          <w:b/>
          <w:bCs/>
          <w:lang w:eastAsia="en-AU"/>
        </w:rPr>
        <w:t>certainty</w:t>
      </w:r>
      <w:r w:rsidRPr="00CB6DB4">
        <w:rPr>
          <w:lang w:eastAsia="en-AU"/>
        </w:rPr>
        <w:t xml:space="preserve"> </w:t>
      </w:r>
      <w:r w:rsidRPr="0054775B">
        <w:rPr>
          <w:lang w:eastAsia="en-AU"/>
        </w:rPr>
        <w:t xml:space="preserve">that nutritional supplements </w:t>
      </w:r>
      <w:r w:rsidRPr="004A5FBB">
        <w:rPr>
          <w:lang w:eastAsia="en-AU"/>
        </w:rPr>
        <w:t>probably result in</w:t>
      </w:r>
      <w:r>
        <w:rPr>
          <w:b/>
          <w:bCs/>
          <w:lang w:eastAsia="en-AU"/>
        </w:rPr>
        <w:t xml:space="preserve"> little to no difference</w:t>
      </w:r>
      <w:r w:rsidRPr="0054775B">
        <w:rPr>
          <w:lang w:eastAsia="en-AU"/>
        </w:rPr>
        <w:t xml:space="preserve"> </w:t>
      </w:r>
      <w:r>
        <w:rPr>
          <w:lang w:eastAsia="en-AU"/>
        </w:rPr>
        <w:t xml:space="preserve">for </w:t>
      </w:r>
      <w:r w:rsidRPr="0054775B">
        <w:rPr>
          <w:lang w:eastAsia="en-AU"/>
        </w:rPr>
        <w:t xml:space="preserve">some key health outcomes </w:t>
      </w:r>
      <w:r>
        <w:rPr>
          <w:lang w:eastAsia="en-AU"/>
        </w:rPr>
        <w:t>for people with two</w:t>
      </w:r>
      <w:r w:rsidRPr="0054775B">
        <w:rPr>
          <w:lang w:eastAsia="en-AU"/>
        </w:rPr>
        <w:t xml:space="preserve"> </w:t>
      </w:r>
      <w:r w:rsidRPr="0019617D">
        <w:rPr>
          <w:lang w:eastAsia="en-AU"/>
        </w:rPr>
        <w:t>conditions</w:t>
      </w:r>
      <w:r w:rsidRPr="0054775B">
        <w:rPr>
          <w:lang w:eastAsia="en-AU"/>
        </w:rPr>
        <w:t>:</w:t>
      </w:r>
    </w:p>
    <w:p w14:paraId="35A9A327" w14:textId="77777777" w:rsidR="002E2A56" w:rsidRDefault="002E2A56" w:rsidP="002E2A56">
      <w:pPr>
        <w:pStyle w:val="ListParagraph"/>
        <w:numPr>
          <w:ilvl w:val="0"/>
          <w:numId w:val="21"/>
        </w:numPr>
        <w:ind w:left="426"/>
        <w:rPr>
          <w:lang w:eastAsia="en-AU"/>
        </w:rPr>
      </w:pPr>
      <w:r w:rsidRPr="0054775B">
        <w:rPr>
          <w:lang w:eastAsia="en-AU"/>
        </w:rPr>
        <w:t xml:space="preserve">Antioxidants </w:t>
      </w:r>
      <w:r w:rsidRPr="00643B09">
        <w:rPr>
          <w:b/>
          <w:bCs/>
          <w:lang w:eastAsia="en-AU"/>
        </w:rPr>
        <w:t>probably have</w:t>
      </w:r>
      <w:r>
        <w:rPr>
          <w:lang w:eastAsia="en-AU"/>
        </w:rPr>
        <w:t xml:space="preserve"> </w:t>
      </w:r>
      <w:r w:rsidRPr="00643B09">
        <w:rPr>
          <w:b/>
          <w:bCs/>
          <w:lang w:eastAsia="en-AU"/>
        </w:rPr>
        <w:t>little to no effect</w:t>
      </w:r>
      <w:r>
        <w:rPr>
          <w:lang w:eastAsia="en-AU"/>
        </w:rPr>
        <w:t xml:space="preserve"> on</w:t>
      </w:r>
      <w:r w:rsidRPr="0054775B">
        <w:rPr>
          <w:lang w:eastAsia="en-AU"/>
        </w:rPr>
        <w:t xml:space="preserve"> </w:t>
      </w:r>
      <w:r>
        <w:rPr>
          <w:lang w:eastAsia="en-AU"/>
        </w:rPr>
        <w:t>fasting blood glucose, glycaemic control, or diastolic blood pressure in people with Type II Diabetes Mellitus.</w:t>
      </w:r>
    </w:p>
    <w:p w14:paraId="47E4CD95" w14:textId="191F8D24" w:rsidR="002E2A56" w:rsidRDefault="002E2A56" w:rsidP="002E2A56">
      <w:pPr>
        <w:pStyle w:val="ListParagraph"/>
        <w:numPr>
          <w:ilvl w:val="0"/>
          <w:numId w:val="21"/>
        </w:numPr>
        <w:ind w:left="426"/>
        <w:rPr>
          <w:lang w:eastAsia="en-AU"/>
        </w:rPr>
      </w:pPr>
      <w:r>
        <w:t>Omega-3</w:t>
      </w:r>
      <w:r w:rsidR="001B5365" w:rsidRPr="001B5365">
        <w:t xml:space="preserve"> </w:t>
      </w:r>
      <w:r w:rsidR="001B5365">
        <w:t>fatty acids</w:t>
      </w:r>
      <w:r>
        <w:t xml:space="preserve"> </w:t>
      </w:r>
      <w:r w:rsidRPr="00643B09">
        <w:rPr>
          <w:b/>
          <w:bCs/>
        </w:rPr>
        <w:t>probably ha</w:t>
      </w:r>
      <w:r w:rsidR="00A11CBA">
        <w:rPr>
          <w:b/>
          <w:bCs/>
        </w:rPr>
        <w:t>ve</w:t>
      </w:r>
      <w:r>
        <w:t xml:space="preserve"> </w:t>
      </w:r>
      <w:r w:rsidRPr="00643B09">
        <w:rPr>
          <w:b/>
          <w:bCs/>
        </w:rPr>
        <w:t>little to no effect</w:t>
      </w:r>
      <w:r>
        <w:t xml:space="preserve"> on </w:t>
      </w:r>
      <w:r w:rsidRPr="00471A63">
        <w:t xml:space="preserve">depression-related emotional functioning/mental health burden </w:t>
      </w:r>
      <w:r>
        <w:t>in</w:t>
      </w:r>
      <w:r w:rsidRPr="00471A63">
        <w:t xml:space="preserve"> people a</w:t>
      </w:r>
      <w:r>
        <w:t>t-</w:t>
      </w:r>
      <w:r w:rsidRPr="00471A63">
        <w:t xml:space="preserve">risk of </w:t>
      </w:r>
      <w:r>
        <w:t xml:space="preserve">perinatal </w:t>
      </w:r>
      <w:r w:rsidRPr="00471A63">
        <w:t>depression</w:t>
      </w:r>
      <w:r>
        <w:t>.</w:t>
      </w:r>
    </w:p>
    <w:p w14:paraId="4D0E7357" w14:textId="49686639" w:rsidR="00643B09" w:rsidRDefault="00643B09" w:rsidP="00643B09">
      <w:pPr>
        <w:spacing w:before="0"/>
        <w:rPr>
          <w:lang w:eastAsia="en-AU"/>
        </w:rPr>
      </w:pPr>
      <w:r w:rsidRPr="0054775B">
        <w:rPr>
          <w:lang w:eastAsia="en-AU"/>
        </w:rPr>
        <w:lastRenderedPageBreak/>
        <w:t xml:space="preserve">The evidence provides </w:t>
      </w:r>
      <w:r w:rsidRPr="00643B09">
        <w:rPr>
          <w:b/>
          <w:bCs/>
          <w:lang w:eastAsia="en-AU"/>
        </w:rPr>
        <w:t>low</w:t>
      </w:r>
      <w:r w:rsidRPr="0054775B">
        <w:rPr>
          <w:lang w:eastAsia="en-AU"/>
        </w:rPr>
        <w:t xml:space="preserve"> </w:t>
      </w:r>
      <w:r w:rsidRPr="00643B09">
        <w:rPr>
          <w:b/>
          <w:bCs/>
          <w:lang w:eastAsia="en-AU"/>
        </w:rPr>
        <w:t>certainty</w:t>
      </w:r>
      <w:r w:rsidR="00CB6DB4" w:rsidRPr="00CB6DB4">
        <w:rPr>
          <w:lang w:eastAsia="en-AU"/>
        </w:rPr>
        <w:t xml:space="preserve"> </w:t>
      </w:r>
      <w:r w:rsidR="00CB6DB4" w:rsidRPr="0054775B">
        <w:rPr>
          <w:lang w:eastAsia="en-AU"/>
        </w:rPr>
        <w:t xml:space="preserve">that nutritional supplements </w:t>
      </w:r>
      <w:r w:rsidR="008A70CF">
        <w:rPr>
          <w:lang w:eastAsia="en-AU"/>
        </w:rPr>
        <w:t>may</w:t>
      </w:r>
      <w:r w:rsidR="00CB6DB4" w:rsidRPr="004A5FBB">
        <w:rPr>
          <w:lang w:eastAsia="en-AU"/>
        </w:rPr>
        <w:t xml:space="preserve"> result in</w:t>
      </w:r>
      <w:r w:rsidR="00CB6DB4">
        <w:rPr>
          <w:b/>
          <w:bCs/>
          <w:lang w:eastAsia="en-AU"/>
        </w:rPr>
        <w:t xml:space="preserve"> little to no difference</w:t>
      </w:r>
      <w:r w:rsidR="00CB6DB4" w:rsidRPr="0054775B">
        <w:rPr>
          <w:lang w:eastAsia="en-AU"/>
        </w:rPr>
        <w:t xml:space="preserve"> </w:t>
      </w:r>
      <w:r w:rsidR="00CB6DB4">
        <w:rPr>
          <w:lang w:eastAsia="en-AU"/>
        </w:rPr>
        <w:t xml:space="preserve">for </w:t>
      </w:r>
      <w:r w:rsidR="00CB6DB4" w:rsidRPr="0054775B">
        <w:rPr>
          <w:lang w:eastAsia="en-AU"/>
        </w:rPr>
        <w:t xml:space="preserve">some key health outcomes </w:t>
      </w:r>
      <w:r w:rsidR="00CB6DB4">
        <w:rPr>
          <w:lang w:eastAsia="en-AU"/>
        </w:rPr>
        <w:t xml:space="preserve">for people </w:t>
      </w:r>
      <w:r w:rsidR="00CB6DB4" w:rsidRPr="00EE4FA5">
        <w:rPr>
          <w:lang w:eastAsia="en-AU"/>
        </w:rPr>
        <w:t xml:space="preserve">with and at-risk of </w:t>
      </w:r>
      <w:r w:rsidR="00CB6DB4" w:rsidRPr="004A5FBB">
        <w:rPr>
          <w:lang w:eastAsia="en-AU"/>
        </w:rPr>
        <w:t>four</w:t>
      </w:r>
      <w:r w:rsidR="00CB6DB4" w:rsidRPr="00EE4FA5">
        <w:rPr>
          <w:lang w:eastAsia="en-AU"/>
        </w:rPr>
        <w:t xml:space="preserve"> conditions</w:t>
      </w:r>
      <w:r w:rsidR="00CB6DB4" w:rsidRPr="0054775B">
        <w:rPr>
          <w:lang w:eastAsia="en-AU"/>
        </w:rPr>
        <w:t>:</w:t>
      </w:r>
    </w:p>
    <w:p w14:paraId="1EE79348" w14:textId="6009EFA0" w:rsidR="00123204" w:rsidRDefault="00123204" w:rsidP="00107BEE">
      <w:pPr>
        <w:pStyle w:val="ListParagraph"/>
        <w:numPr>
          <w:ilvl w:val="0"/>
          <w:numId w:val="21"/>
        </w:numPr>
        <w:ind w:left="426"/>
        <w:rPr>
          <w:lang w:eastAsia="en-AU"/>
        </w:rPr>
      </w:pPr>
      <w:r>
        <w:t xml:space="preserve">Omega-3 </w:t>
      </w:r>
      <w:r w:rsidR="00E74196">
        <w:t xml:space="preserve">fatty acids </w:t>
      </w:r>
      <w:r w:rsidR="005F3D79" w:rsidRPr="00643B09">
        <w:rPr>
          <w:b/>
          <w:bCs/>
        </w:rPr>
        <w:t xml:space="preserve">may </w:t>
      </w:r>
      <w:r w:rsidRPr="00643B09">
        <w:rPr>
          <w:b/>
          <w:bCs/>
        </w:rPr>
        <w:t>ha</w:t>
      </w:r>
      <w:r w:rsidR="005F3D79" w:rsidRPr="00643B09">
        <w:rPr>
          <w:b/>
          <w:bCs/>
        </w:rPr>
        <w:t>ve</w:t>
      </w:r>
      <w:r w:rsidRPr="00643B09">
        <w:rPr>
          <w:b/>
          <w:bCs/>
        </w:rPr>
        <w:t xml:space="preserve"> little to no effect</w:t>
      </w:r>
      <w:r>
        <w:t xml:space="preserve"> on </w:t>
      </w:r>
      <w:r>
        <w:rPr>
          <w:lang w:eastAsia="en-AU"/>
        </w:rPr>
        <w:t>the number of people with response (50% improvement) or remission (no or low depression)</w:t>
      </w:r>
      <w:r w:rsidR="00050027" w:rsidRPr="00050027">
        <w:t xml:space="preserve"> </w:t>
      </w:r>
      <w:r w:rsidR="004E65AA">
        <w:t>i</w:t>
      </w:r>
      <w:r w:rsidR="00050027">
        <w:t>n people with depression.</w:t>
      </w:r>
    </w:p>
    <w:p w14:paraId="3509E71B" w14:textId="34596CBA" w:rsidR="00123204" w:rsidRDefault="00123204" w:rsidP="00107BEE">
      <w:pPr>
        <w:pStyle w:val="ListParagraph"/>
        <w:numPr>
          <w:ilvl w:val="0"/>
          <w:numId w:val="21"/>
        </w:numPr>
        <w:ind w:left="426"/>
        <w:rPr>
          <w:lang w:eastAsia="en-AU"/>
        </w:rPr>
      </w:pPr>
      <w:r>
        <w:t xml:space="preserve">Omega-3 </w:t>
      </w:r>
      <w:r w:rsidR="00E74196">
        <w:t xml:space="preserve">fatty acids </w:t>
      </w:r>
      <w:r w:rsidRPr="00643B09">
        <w:rPr>
          <w:b/>
          <w:bCs/>
        </w:rPr>
        <w:t>may have little to no effect</w:t>
      </w:r>
      <w:r>
        <w:t xml:space="preserve"> on diastolic blood pressure</w:t>
      </w:r>
      <w:r w:rsidR="00050027">
        <w:t xml:space="preserve"> in people with hypertension</w:t>
      </w:r>
      <w:r>
        <w:t>.</w:t>
      </w:r>
    </w:p>
    <w:p w14:paraId="2B42C4F7" w14:textId="42773EED" w:rsidR="00B31645" w:rsidRPr="0054775B" w:rsidRDefault="00F867E6" w:rsidP="008E3B92">
      <w:r w:rsidRPr="0054775B">
        <w:t xml:space="preserve">The </w:t>
      </w:r>
      <w:r w:rsidR="00045875" w:rsidRPr="0054775B">
        <w:t>over</w:t>
      </w:r>
      <w:r w:rsidRPr="0054775B">
        <w:t xml:space="preserve">view found </w:t>
      </w:r>
      <w:r w:rsidR="009250E8" w:rsidRPr="0054775B">
        <w:t xml:space="preserve">only </w:t>
      </w:r>
      <w:r w:rsidRPr="0054775B">
        <w:t xml:space="preserve">very low </w:t>
      </w:r>
      <w:r w:rsidR="009250E8" w:rsidRPr="0054775B">
        <w:t xml:space="preserve">certainty </w:t>
      </w:r>
      <w:r w:rsidRPr="0054775B">
        <w:t>evidence for</w:t>
      </w:r>
      <w:r w:rsidR="00C702B6">
        <w:t xml:space="preserve"> the </w:t>
      </w:r>
      <w:r w:rsidR="00D138E0">
        <w:t>following pairings</w:t>
      </w:r>
      <w:r w:rsidR="00C40BCD">
        <w:t xml:space="preserve">: </w:t>
      </w:r>
      <w:r w:rsidR="00E817CC">
        <w:t xml:space="preserve">magnesium </w:t>
      </w:r>
      <w:r w:rsidR="0056486D">
        <w:t xml:space="preserve">(alone) </w:t>
      </w:r>
      <w:r w:rsidR="00E817CC">
        <w:t xml:space="preserve">for anxiety, </w:t>
      </w:r>
      <w:r w:rsidR="00C40BCD">
        <w:t xml:space="preserve">magnesium for </w:t>
      </w:r>
      <w:r w:rsidR="007A2BD7" w:rsidRPr="0054775B">
        <w:t>insomnia</w:t>
      </w:r>
      <w:r w:rsidR="00045875" w:rsidRPr="0054775B">
        <w:rPr>
          <w:lang w:eastAsia="en-AU"/>
        </w:rPr>
        <w:t xml:space="preserve">/sleep disorders, </w:t>
      </w:r>
      <w:r w:rsidR="00C40BCD">
        <w:rPr>
          <w:lang w:eastAsia="en-AU"/>
        </w:rPr>
        <w:t xml:space="preserve">zinc for </w:t>
      </w:r>
      <w:r w:rsidR="00045875" w:rsidRPr="0054775B">
        <w:rPr>
          <w:lang w:eastAsia="en-AU"/>
        </w:rPr>
        <w:t xml:space="preserve">atopic disorders, and </w:t>
      </w:r>
      <w:r w:rsidR="00C40BCD">
        <w:t xml:space="preserve">magnesium for </w:t>
      </w:r>
      <w:r w:rsidR="00045875" w:rsidRPr="0054775B">
        <w:rPr>
          <w:lang w:eastAsia="en-AU"/>
        </w:rPr>
        <w:t xml:space="preserve">fibromyalgia, and for some priority outcomes </w:t>
      </w:r>
      <w:r w:rsidR="009250E8" w:rsidRPr="0054775B">
        <w:rPr>
          <w:lang w:eastAsia="en-AU"/>
        </w:rPr>
        <w:t xml:space="preserve">within the conditions listed </w:t>
      </w:r>
      <w:r w:rsidR="00BC0EBB" w:rsidRPr="0054775B">
        <w:rPr>
          <w:lang w:eastAsia="en-AU"/>
        </w:rPr>
        <w:t>above</w:t>
      </w:r>
      <w:r w:rsidR="009250E8" w:rsidRPr="0054775B">
        <w:rPr>
          <w:lang w:eastAsia="en-AU"/>
        </w:rPr>
        <w:t xml:space="preserve">.  </w:t>
      </w:r>
    </w:p>
    <w:p w14:paraId="4DC87B54" w14:textId="1E2C7724" w:rsidR="00F93D53" w:rsidRPr="0054775B" w:rsidRDefault="00F93D53" w:rsidP="00975F64">
      <w:pPr>
        <w:rPr>
          <w:lang w:eastAsia="en-AU"/>
        </w:rPr>
      </w:pPr>
      <w:r w:rsidRPr="0054775B">
        <w:t>No relevant reviews were identified for</w:t>
      </w:r>
      <w:r w:rsidR="00C40BCD">
        <w:t xml:space="preserve">: magnesium for </w:t>
      </w:r>
      <w:r w:rsidR="00882917">
        <w:t>s</w:t>
      </w:r>
      <w:r w:rsidRPr="0054775B">
        <w:t>tress (</w:t>
      </w:r>
      <w:r w:rsidRPr="0054775B">
        <w:rPr>
          <w:lang w:eastAsia="en-AU"/>
        </w:rPr>
        <w:t>perceived</w:t>
      </w:r>
      <w:r w:rsidRPr="0054775B">
        <w:t>, occupational)</w:t>
      </w:r>
      <w:r w:rsidR="001C7914">
        <w:t xml:space="preserve">, </w:t>
      </w:r>
      <w:r w:rsidRPr="0054775B">
        <w:t>cruciferous indoles</w:t>
      </w:r>
      <w:r w:rsidR="00C40BCD">
        <w:t xml:space="preserve"> for d</w:t>
      </w:r>
      <w:r w:rsidR="00C40BCD" w:rsidRPr="0054775B">
        <w:t>ysmenorrhea</w:t>
      </w:r>
      <w:r w:rsidR="001C7914">
        <w:t xml:space="preserve">, </w:t>
      </w:r>
      <w:r w:rsidR="00C40BCD" w:rsidRPr="0054775B">
        <w:t>cruciferous indoles</w:t>
      </w:r>
      <w:r w:rsidR="00C40BCD">
        <w:t xml:space="preserve"> for</w:t>
      </w:r>
      <w:r w:rsidR="001C7914">
        <w:t xml:space="preserve"> </w:t>
      </w:r>
      <w:r w:rsidR="00882917">
        <w:t>p</w:t>
      </w:r>
      <w:r w:rsidR="00131B04" w:rsidRPr="0054775B">
        <w:t>remenstrual syndrome (PMS)</w:t>
      </w:r>
      <w:r w:rsidR="00882917">
        <w:t>,</w:t>
      </w:r>
      <w:r w:rsidR="00975F64">
        <w:t xml:space="preserve"> and </w:t>
      </w:r>
      <w:r w:rsidR="00C40BCD">
        <w:t xml:space="preserve">magnesium for </w:t>
      </w:r>
      <w:r w:rsidR="00882917">
        <w:t>a</w:t>
      </w:r>
      <w:r w:rsidRPr="0054775B">
        <w:t>rthritis/osteoarthritis.</w:t>
      </w:r>
    </w:p>
    <w:p w14:paraId="7495353C" w14:textId="77777777" w:rsidR="00A24D67" w:rsidRPr="0054775B" w:rsidRDefault="00A24D67" w:rsidP="009E6F7F">
      <w:pPr>
        <w:pStyle w:val="2024SMALLTITLENONUMBER"/>
      </w:pPr>
      <w:bookmarkStart w:id="7" w:name="_Toc111119249"/>
      <w:r w:rsidRPr="0054775B">
        <w:t>Implications for health policy and research</w:t>
      </w:r>
      <w:bookmarkEnd w:id="7"/>
    </w:p>
    <w:p w14:paraId="1B2832A3" w14:textId="5FCE2049" w:rsidR="00A24D67" w:rsidRPr="0054775B" w:rsidRDefault="00A24D67" w:rsidP="009E6F7F">
      <w:pPr>
        <w:rPr>
          <w:color w:val="000000"/>
          <w:highlight w:val="yellow"/>
        </w:rPr>
      </w:pPr>
      <w:r w:rsidRPr="0054775B">
        <w:t xml:space="preserve">This review assessed the evidence of </w:t>
      </w:r>
      <w:r w:rsidR="00483A56" w:rsidRPr="0054775B">
        <w:t>selected nutritional supplements used for certain conditions</w:t>
      </w:r>
      <w:r w:rsidRPr="0054775B">
        <w:t xml:space="preserve"> in </w:t>
      </w:r>
      <w:r w:rsidR="00483A56" w:rsidRPr="0054775B">
        <w:t>naturopathic practice in Australia</w:t>
      </w:r>
      <w:r w:rsidRPr="0054775B">
        <w:t xml:space="preserve"> </w:t>
      </w:r>
      <w:r w:rsidRPr="0054775B">
        <w:rPr>
          <w:lang w:val="en-GB"/>
        </w:rPr>
        <w:t xml:space="preserve">to inform the Australian Government about health policy decisions for private health insurance rebates. </w:t>
      </w:r>
      <w:r w:rsidRPr="0054775B">
        <w:rPr>
          <w:color w:val="000000"/>
        </w:rPr>
        <w:t xml:space="preserve">The review is not designed to cover all the reasons that people use </w:t>
      </w:r>
      <w:r w:rsidR="00483A56" w:rsidRPr="0054775B">
        <w:rPr>
          <w:color w:val="000000"/>
        </w:rPr>
        <w:t>nutritional supplements</w:t>
      </w:r>
      <w:r w:rsidRPr="0054775B">
        <w:rPr>
          <w:color w:val="000000"/>
        </w:rPr>
        <w:t xml:space="preserve"> and is not intended to inform individual choices about </w:t>
      </w:r>
      <w:r w:rsidR="00483A56" w:rsidRPr="0054775B">
        <w:rPr>
          <w:color w:val="000000"/>
        </w:rPr>
        <w:t>their use</w:t>
      </w:r>
      <w:r w:rsidRPr="0054775B">
        <w:rPr>
          <w:color w:val="000000"/>
        </w:rPr>
        <w:t>.</w:t>
      </w:r>
    </w:p>
    <w:p w14:paraId="388071C7" w14:textId="79294F7D" w:rsidR="005E3112" w:rsidRDefault="005E3112" w:rsidP="005E3112">
      <w:pPr>
        <w:rPr>
          <w:lang w:eastAsia="en-AU"/>
        </w:rPr>
      </w:pPr>
      <w:bookmarkStart w:id="8" w:name="_Toc111119250"/>
      <w:r w:rsidRPr="0054775B">
        <w:t xml:space="preserve">The results of this overview indicate that </w:t>
      </w:r>
      <w:r w:rsidR="005D6FCE">
        <w:t>some of the</w:t>
      </w:r>
      <w:r w:rsidR="005D6FCE" w:rsidRPr="0054775B">
        <w:t xml:space="preserve"> </w:t>
      </w:r>
      <w:r w:rsidRPr="0054775B">
        <w:t>supplements considered</w:t>
      </w:r>
      <w:r w:rsidR="00F92324">
        <w:t>,</w:t>
      </w:r>
      <w:r w:rsidRPr="0054775B">
        <w:t xml:space="preserve"> probably or may result in improvements for some of the condition</w:t>
      </w:r>
      <w:r w:rsidR="005D6FCE">
        <w:t>s</w:t>
      </w:r>
      <w:r w:rsidRPr="0054775B">
        <w:t xml:space="preserve"> </w:t>
      </w:r>
      <w:r w:rsidR="00207077">
        <w:t xml:space="preserve">for which </w:t>
      </w:r>
      <w:r w:rsidR="005D6FCE">
        <w:t>they are prescribed</w:t>
      </w:r>
      <w:r w:rsidRPr="0054775B">
        <w:t xml:space="preserve">. However, </w:t>
      </w:r>
      <w:r w:rsidR="006A0E0E" w:rsidRPr="0054775B">
        <w:t xml:space="preserve">some </w:t>
      </w:r>
      <w:r w:rsidR="005D6FCE" w:rsidRPr="0054775B">
        <w:rPr>
          <w:lang w:val="en-GB"/>
        </w:rPr>
        <w:t>supplement</w:t>
      </w:r>
      <w:r w:rsidR="005D6FCE">
        <w:rPr>
          <w:lang w:val="en-GB"/>
        </w:rPr>
        <w:t>s</w:t>
      </w:r>
      <w:r w:rsidR="005D6FCE" w:rsidRPr="0054775B">
        <w:rPr>
          <w:lang w:val="en-GB"/>
        </w:rPr>
        <w:t xml:space="preserve"> </w:t>
      </w:r>
      <w:r w:rsidRPr="0054775B">
        <w:t xml:space="preserve">probably </w:t>
      </w:r>
      <w:r w:rsidR="00BD4CD6">
        <w:t xml:space="preserve">or may </w:t>
      </w:r>
      <w:r w:rsidR="00680B45">
        <w:t>have no effect on</w:t>
      </w:r>
      <w:r w:rsidRPr="0054775B">
        <w:t xml:space="preserve"> the outcomes </w:t>
      </w:r>
      <w:r w:rsidR="009C46AA">
        <w:t xml:space="preserve">considered for the conditions </w:t>
      </w:r>
      <w:r w:rsidR="00ED5D98">
        <w:t xml:space="preserve">for which </w:t>
      </w:r>
      <w:r w:rsidR="004F57EA">
        <w:t>they are prescribed</w:t>
      </w:r>
      <w:r w:rsidRPr="0054775B">
        <w:t xml:space="preserve">. For most of the </w:t>
      </w:r>
      <w:r w:rsidR="005D6FCE">
        <w:rPr>
          <w:lang w:val="en-GB"/>
        </w:rPr>
        <w:t>population-</w:t>
      </w:r>
      <w:r w:rsidR="005D6FCE" w:rsidRPr="0054775B">
        <w:rPr>
          <w:lang w:val="en-GB"/>
        </w:rPr>
        <w:t xml:space="preserve">supplement </w:t>
      </w:r>
      <w:r w:rsidR="004F57EA">
        <w:t>pairs</w:t>
      </w:r>
      <w:r w:rsidR="006A0E0E">
        <w:t xml:space="preserve"> examined, </w:t>
      </w:r>
      <w:r w:rsidRPr="0054775B">
        <w:t>t</w:t>
      </w:r>
      <w:r w:rsidRPr="0054775B">
        <w:rPr>
          <w:lang w:eastAsia="en-AU"/>
        </w:rPr>
        <w:t xml:space="preserve">he evidence </w:t>
      </w:r>
      <w:r w:rsidR="00841320">
        <w:rPr>
          <w:lang w:eastAsia="en-AU"/>
        </w:rPr>
        <w:t>has very low certainty</w:t>
      </w:r>
      <w:r w:rsidRPr="0054775B">
        <w:rPr>
          <w:lang w:eastAsia="en-AU"/>
        </w:rPr>
        <w:t>, and further research is needed.</w:t>
      </w:r>
    </w:p>
    <w:p w14:paraId="106ABEC4" w14:textId="301DACC1" w:rsidR="009E1B24" w:rsidRPr="0054775B" w:rsidRDefault="009E1B24" w:rsidP="005E3112">
      <w:r>
        <w:rPr>
          <w:lang w:val="en-GB"/>
        </w:rPr>
        <w:t>In considering the evidence on the overall effectiveness of naturopathy, t</w:t>
      </w:r>
      <w:r w:rsidRPr="00C90302">
        <w:rPr>
          <w:lang w:val="en-GB"/>
        </w:rPr>
        <w:t xml:space="preserve">his </w:t>
      </w:r>
      <w:r w:rsidR="00611367">
        <w:rPr>
          <w:lang w:val="en-GB"/>
        </w:rPr>
        <w:t>overview</w:t>
      </w:r>
      <w:r w:rsidRPr="00C90302">
        <w:rPr>
          <w:lang w:val="en-GB"/>
        </w:rPr>
        <w:t xml:space="preserve"> </w:t>
      </w:r>
      <w:r w:rsidR="000D5444">
        <w:rPr>
          <w:lang w:val="en-GB"/>
        </w:rPr>
        <w:t xml:space="preserve">should be considered in context with the </w:t>
      </w:r>
      <w:r w:rsidR="0003251D">
        <w:rPr>
          <w:lang w:val="en-GB"/>
        </w:rPr>
        <w:t xml:space="preserve">systematic </w:t>
      </w:r>
      <w:r w:rsidR="000D5444">
        <w:rPr>
          <w:lang w:val="en-GB"/>
        </w:rPr>
        <w:t xml:space="preserve">review of </w:t>
      </w:r>
      <w:r w:rsidR="0003251D">
        <w:t>whole-system naturopathic treatment (Naturopathy review A</w:t>
      </w:r>
      <w:r w:rsidR="008035D2">
        <w:t>;</w:t>
      </w:r>
      <w:r w:rsidR="0003251D">
        <w:t xml:space="preserve"> </w:t>
      </w:r>
      <w:r w:rsidR="008035D2" w:rsidRPr="0048617C">
        <w:rPr>
          <w:lang w:val="en-GB"/>
        </w:rPr>
        <w:t>PROSPERO</w:t>
      </w:r>
      <w:r w:rsidR="008035D2">
        <w:rPr>
          <w:lang w:val="en-GB"/>
        </w:rPr>
        <w:t xml:space="preserve"> </w:t>
      </w:r>
      <w:r w:rsidR="008035D2">
        <w:t xml:space="preserve">CRD42021266381) </w:t>
      </w:r>
      <w:r w:rsidR="008035D2">
        <w:rPr>
          <w:lang w:val="en-GB"/>
        </w:rPr>
        <w:t>and the</w:t>
      </w:r>
      <w:r>
        <w:rPr>
          <w:lang w:val="en-GB"/>
        </w:rPr>
        <w:t xml:space="preserve"> overview of systematic reviews </w:t>
      </w:r>
      <w:r w:rsidR="00206B1F">
        <w:rPr>
          <w:lang w:val="en-GB"/>
        </w:rPr>
        <w:t>to</w:t>
      </w:r>
      <w:r>
        <w:rPr>
          <w:lang w:val="en-GB"/>
        </w:rPr>
        <w:t xml:space="preserve"> assess the clinical effectiveness of </w:t>
      </w:r>
      <w:r w:rsidR="00AF5286">
        <w:rPr>
          <w:lang w:val="en-GB"/>
        </w:rPr>
        <w:t xml:space="preserve">Western </w:t>
      </w:r>
      <w:r>
        <w:rPr>
          <w:lang w:val="en-GB"/>
        </w:rPr>
        <w:t xml:space="preserve">herbal medicines for certain conditions and populations (PROSPERO </w:t>
      </w:r>
      <w:r w:rsidRPr="003461D0">
        <w:rPr>
          <w:lang w:val="en-GB"/>
        </w:rPr>
        <w:t>CRD42021243337</w:t>
      </w:r>
      <w:r>
        <w:rPr>
          <w:lang w:val="en-GB"/>
        </w:rPr>
        <w:t>).</w:t>
      </w:r>
    </w:p>
    <w:p w14:paraId="1E7C4DF6" w14:textId="48E50863" w:rsidR="00A24D67" w:rsidRPr="0054775B" w:rsidRDefault="00A24D67" w:rsidP="009E6F7F">
      <w:pPr>
        <w:pStyle w:val="2024SMALLTITLENONUMBER"/>
      </w:pPr>
      <w:r w:rsidRPr="0054775B">
        <w:t>How up to date is this review?</w:t>
      </w:r>
      <w:bookmarkEnd w:id="8"/>
    </w:p>
    <w:p w14:paraId="21C7AB1D" w14:textId="30C7D764" w:rsidR="00A24D67" w:rsidRPr="0054775B" w:rsidRDefault="00A24D67" w:rsidP="0099597B">
      <w:pPr>
        <w:rPr>
          <w:lang w:eastAsia="en-AU"/>
        </w:rPr>
      </w:pPr>
      <w:r w:rsidRPr="0054775B">
        <w:rPr>
          <w:lang w:eastAsia="en-AU"/>
        </w:rPr>
        <w:t>Searches were conducted from the earliest date included in the databases until May 202</w:t>
      </w:r>
      <w:r w:rsidR="003E2E4C" w:rsidRPr="0054775B">
        <w:rPr>
          <w:lang w:eastAsia="en-AU"/>
        </w:rPr>
        <w:t>3</w:t>
      </w:r>
      <w:r w:rsidRPr="0054775B">
        <w:rPr>
          <w:lang w:eastAsia="en-AU"/>
        </w:rPr>
        <w:t xml:space="preserve">. </w:t>
      </w:r>
      <w:r w:rsidR="00887E6B" w:rsidRPr="0054775B">
        <w:rPr>
          <w:lang w:eastAsia="en-AU"/>
        </w:rPr>
        <w:t>Reviews</w:t>
      </w:r>
      <w:r w:rsidRPr="0054775B">
        <w:rPr>
          <w:lang w:eastAsia="en-AU"/>
        </w:rPr>
        <w:t xml:space="preserve"> published after this date are not included in this </w:t>
      </w:r>
      <w:r w:rsidR="00912F03" w:rsidRPr="0054775B">
        <w:rPr>
          <w:lang w:eastAsia="en-AU"/>
        </w:rPr>
        <w:t>overview</w:t>
      </w:r>
      <w:r w:rsidRPr="0054775B">
        <w:rPr>
          <w:lang w:eastAsia="en-AU"/>
        </w:rPr>
        <w:t xml:space="preserve">. </w:t>
      </w:r>
    </w:p>
    <w:p w14:paraId="03FC3BB9" w14:textId="77777777" w:rsidR="00A24D67" w:rsidRPr="0054775B" w:rsidRDefault="00A24D67" w:rsidP="009E6F7F">
      <w:pPr>
        <w:pStyle w:val="CommentText"/>
      </w:pPr>
      <w:r w:rsidRPr="0054775B">
        <w:br w:type="page"/>
      </w:r>
    </w:p>
    <w:p w14:paraId="7E8BE6EB" w14:textId="77777777" w:rsidR="00A24D67" w:rsidRPr="0054775B" w:rsidRDefault="00A24D67" w:rsidP="00A81E6A">
      <w:pPr>
        <w:pStyle w:val="2024HEADER1"/>
        <w:numPr>
          <w:ilvl w:val="0"/>
          <w:numId w:val="0"/>
        </w:numPr>
        <w:ind w:left="851" w:hanging="851"/>
      </w:pPr>
      <w:bookmarkStart w:id="9" w:name="_Toc111119251"/>
      <w:bookmarkStart w:id="10" w:name="_Toc179379602"/>
      <w:r w:rsidRPr="0054775B">
        <w:lastRenderedPageBreak/>
        <w:t>Executive Summary</w:t>
      </w:r>
      <w:bookmarkEnd w:id="9"/>
      <w:bookmarkEnd w:id="10"/>
    </w:p>
    <w:p w14:paraId="5826C6D9" w14:textId="77777777" w:rsidR="00A24D67" w:rsidRPr="0054775B" w:rsidRDefault="00A24D67" w:rsidP="009E6F7F">
      <w:pPr>
        <w:pStyle w:val="2024SMALLTITLENONUMBER"/>
      </w:pPr>
      <w:bookmarkStart w:id="11" w:name="_Toc111119252"/>
      <w:r w:rsidRPr="0054775B">
        <w:t>Background</w:t>
      </w:r>
      <w:bookmarkEnd w:id="11"/>
    </w:p>
    <w:p w14:paraId="78DC7FF1" w14:textId="77777777" w:rsidR="00B6344D" w:rsidRPr="0054775B" w:rsidRDefault="008F340E" w:rsidP="001B6444">
      <w:r w:rsidRPr="0054775B">
        <w:t xml:space="preserve">Naturopathic practice encompasses a variety of treatment methods, including nutritional supplementation. </w:t>
      </w:r>
      <w:r w:rsidR="006B62AE" w:rsidRPr="0054775B">
        <w:t xml:space="preserve">Naturopaths prescribe nutritional supplements to restore balance, to detoxify, and/or to treat or prevent </w:t>
      </w:r>
      <w:r w:rsidR="00D200DD" w:rsidRPr="0054775B">
        <w:t xml:space="preserve">a wide range of </w:t>
      </w:r>
      <w:r w:rsidR="006B62AE" w:rsidRPr="0054775B">
        <w:t>illnesses and disease.</w:t>
      </w:r>
      <w:r w:rsidR="00D200DD" w:rsidRPr="0054775B">
        <w:t xml:space="preserve"> </w:t>
      </w:r>
    </w:p>
    <w:p w14:paraId="3FDCCC21" w14:textId="47197541" w:rsidR="001B6444" w:rsidRPr="0054775B" w:rsidRDefault="00C131F1" w:rsidP="001B6444">
      <w:r w:rsidRPr="0054775B">
        <w:t xml:space="preserve">In 2015, an overview of systematic reviews of naturopathy, as a health service, conducted for the Australian Government found no reliable evidence demonstrating its effectiveness in treating any clinical condition. </w:t>
      </w:r>
      <w:r w:rsidR="006C4865" w:rsidRPr="0054775B">
        <w:t xml:space="preserve">This overview is a companion review to the systematic review </w:t>
      </w:r>
      <w:r w:rsidR="006C4865" w:rsidRPr="0054775B">
        <w:rPr>
          <w:rFonts w:eastAsia="Cambria"/>
        </w:rPr>
        <w:t>of primary studies on the effects of whole system, multi-modal or single modal interventions delivered in the context of naturopathic practice, for preventing and treating health conditions</w:t>
      </w:r>
      <w:r w:rsidR="006C4865">
        <w:rPr>
          <w:rFonts w:eastAsia="Cambria"/>
        </w:rPr>
        <w:t xml:space="preserve">. </w:t>
      </w:r>
      <w:r w:rsidR="00585DB0" w:rsidRPr="0054775B">
        <w:t>Th</w:t>
      </w:r>
      <w:r w:rsidR="00EC073F">
        <w:t>is</w:t>
      </w:r>
      <w:r w:rsidR="00585DB0" w:rsidRPr="0054775B">
        <w:t xml:space="preserve"> </w:t>
      </w:r>
      <w:r w:rsidR="00FB0EC0" w:rsidRPr="0054775B">
        <w:t>o</w:t>
      </w:r>
      <w:r w:rsidR="006844E8" w:rsidRPr="0054775B">
        <w:t>ve</w:t>
      </w:r>
      <w:r w:rsidRPr="0054775B">
        <w:t xml:space="preserve">rview </w:t>
      </w:r>
      <w:r w:rsidR="00B23BBD" w:rsidRPr="0054775B">
        <w:t xml:space="preserve">provides a </w:t>
      </w:r>
      <w:r w:rsidR="00D200DD" w:rsidRPr="0054775B">
        <w:t xml:space="preserve">synthesis of evidence for the efficacy of nutritional supplements </w:t>
      </w:r>
      <w:r w:rsidR="0080355B" w:rsidRPr="0054775B">
        <w:t>in naturopathy</w:t>
      </w:r>
      <w:r w:rsidR="00C65266" w:rsidRPr="0054775B">
        <w:t xml:space="preserve"> </w:t>
      </w:r>
      <w:r w:rsidR="00CE3DA5">
        <w:t>based on</w:t>
      </w:r>
      <w:r w:rsidR="00CE3DA5" w:rsidRPr="0054775B">
        <w:t xml:space="preserve"> assess</w:t>
      </w:r>
      <w:r w:rsidR="00CE3DA5">
        <w:t>ing</w:t>
      </w:r>
      <w:r w:rsidR="00CE3DA5" w:rsidRPr="0054775B">
        <w:t xml:space="preserve"> </w:t>
      </w:r>
      <w:r w:rsidR="00E971F3" w:rsidRPr="0054775B">
        <w:t>the best available</w:t>
      </w:r>
      <w:r w:rsidR="00E971F3">
        <w:t xml:space="preserve"> </w:t>
      </w:r>
      <w:r w:rsidR="00CE3DA5">
        <w:t xml:space="preserve">systematic </w:t>
      </w:r>
      <w:r w:rsidR="00141BC7">
        <w:t>review</w:t>
      </w:r>
      <w:r w:rsidR="00CE3DA5">
        <w:t>s</w:t>
      </w:r>
      <w:r w:rsidR="00141BC7" w:rsidRPr="0054775B">
        <w:t xml:space="preserve"> </w:t>
      </w:r>
      <w:r w:rsidR="00E971F3" w:rsidRPr="0054775B">
        <w:t xml:space="preserve">for </w:t>
      </w:r>
      <w:r w:rsidR="00C65266" w:rsidRPr="0054775B">
        <w:t>the use of certain nutritional supplements for conditions that are commonly seen by naturopaths in Australia</w:t>
      </w:r>
      <w:r w:rsidR="00D25E89" w:rsidRPr="0054775B">
        <w:rPr>
          <w:rFonts w:eastAsia="Cambria"/>
        </w:rPr>
        <w:t>.</w:t>
      </w:r>
      <w:r w:rsidR="008F65A9" w:rsidRPr="0054775B">
        <w:t xml:space="preserve"> </w:t>
      </w:r>
    </w:p>
    <w:p w14:paraId="66080DFB" w14:textId="77777777" w:rsidR="00A24D67" w:rsidRPr="0054775B" w:rsidRDefault="00A24D67" w:rsidP="009E6F7F">
      <w:pPr>
        <w:pStyle w:val="2024SMALLTITLENONUMBER"/>
      </w:pPr>
      <w:bookmarkStart w:id="12" w:name="_Toc111119253"/>
      <w:r w:rsidRPr="0054775B">
        <w:t>Objective</w:t>
      </w:r>
      <w:bookmarkEnd w:id="12"/>
    </w:p>
    <w:p w14:paraId="3F398815" w14:textId="5F915F11" w:rsidR="00FD42D1" w:rsidRPr="0054775B" w:rsidRDefault="006B62AE" w:rsidP="001A6708">
      <w:bookmarkStart w:id="13" w:name="_Toc111119254"/>
      <w:r w:rsidRPr="0054775B">
        <w:t xml:space="preserve">The objective of this </w:t>
      </w:r>
      <w:r w:rsidR="00FB0EC0" w:rsidRPr="0054775B">
        <w:t>o</w:t>
      </w:r>
      <w:r w:rsidRPr="0054775B">
        <w:t xml:space="preserve">verview was to </w:t>
      </w:r>
      <w:r w:rsidR="00284247" w:rsidRPr="0054775B">
        <w:t xml:space="preserve">summarise </w:t>
      </w:r>
      <w:r w:rsidR="00B36FC6">
        <w:t xml:space="preserve">and interpret </w:t>
      </w:r>
      <w:r w:rsidRPr="0054775B">
        <w:t>the evidence from systematic reviews that examine the clinical effectiveness of selected nutritional supplements (</w:t>
      </w:r>
      <w:r w:rsidR="008B479D" w:rsidRPr="0054775B">
        <w:t xml:space="preserve">commonly </w:t>
      </w:r>
      <w:r w:rsidRPr="0054775B">
        <w:t xml:space="preserve">prescribed in the context of naturopathic practice) in preventing and/or treating injury, disease, medical conditions, or pre-clinical conditions. </w:t>
      </w:r>
      <w:r w:rsidR="00EF21D7" w:rsidRPr="0054775B">
        <w:t>This information will be used by the Australian Government</w:t>
      </w:r>
      <w:r w:rsidR="00AC4389">
        <w:t>, in combination with the companion reviews,</w:t>
      </w:r>
      <w:r w:rsidR="00EF21D7" w:rsidRPr="0054775B">
        <w:t xml:space="preserve"> to inform its decision about whether to </w:t>
      </w:r>
      <w:r w:rsidR="000D7E4F">
        <w:t>reinstate</w:t>
      </w:r>
      <w:r w:rsidR="000D7E4F" w:rsidRPr="0054775B">
        <w:t xml:space="preserve"> </w:t>
      </w:r>
      <w:r w:rsidR="00EF21D7" w:rsidRPr="0054775B">
        <w:t xml:space="preserve">naturopathy as eligible for private health insurance rebates after naturopathy was excluded in 2019. This review was not designed to </w:t>
      </w:r>
      <w:r w:rsidR="00553E38" w:rsidRPr="0054775B">
        <w:t>assess</w:t>
      </w:r>
      <w:r w:rsidR="00EF21D7" w:rsidRPr="0054775B">
        <w:t xml:space="preserve"> all the reasons that people use</w:t>
      </w:r>
      <w:r w:rsidR="006B74B0">
        <w:t xml:space="preserve"> supplements</w:t>
      </w:r>
      <w:r w:rsidR="008E6C80">
        <w:t xml:space="preserve"> used by</w:t>
      </w:r>
      <w:r w:rsidR="00EF21D7" w:rsidRPr="0054775B">
        <w:t xml:space="preserve"> </w:t>
      </w:r>
      <w:r w:rsidR="008E6C80" w:rsidRPr="0054775B">
        <w:t>naturopath</w:t>
      </w:r>
      <w:r w:rsidR="008E6C80">
        <w:t>s</w:t>
      </w:r>
      <w:r w:rsidR="00EF21D7" w:rsidRPr="0054775B">
        <w:t xml:space="preserve">, or the reasons practitioners </w:t>
      </w:r>
      <w:r w:rsidR="006F6313" w:rsidRPr="0054775B">
        <w:t>prescribe</w:t>
      </w:r>
      <w:r w:rsidR="00EF21D7" w:rsidRPr="0054775B">
        <w:t xml:space="preserve"> naturopathy and </w:t>
      </w:r>
      <w:r w:rsidR="00465388" w:rsidRPr="0054775B">
        <w:t>is</w:t>
      </w:r>
      <w:r w:rsidR="00EF21D7" w:rsidRPr="0054775B">
        <w:t xml:space="preserve"> not intended to inform decisions about whether an individual should use naturopathy or a practitioner practise naturopathy. </w:t>
      </w:r>
    </w:p>
    <w:p w14:paraId="3DE3863A" w14:textId="77777777" w:rsidR="00A24D67" w:rsidRPr="0054775B" w:rsidRDefault="00A24D67" w:rsidP="009E6F7F">
      <w:pPr>
        <w:pStyle w:val="2024SMALLTITLENONUMBER"/>
      </w:pPr>
      <w:r w:rsidRPr="0054775B">
        <w:t>Search methods</w:t>
      </w:r>
      <w:bookmarkEnd w:id="13"/>
    </w:p>
    <w:p w14:paraId="5CA13B28" w14:textId="66D5CCC9" w:rsidR="00A24D67" w:rsidRPr="0054775B" w:rsidRDefault="00A24D67" w:rsidP="009E6F7F">
      <w:pPr>
        <w:rPr>
          <w:highlight w:val="yellow"/>
          <w:lang w:eastAsia="en-AU"/>
        </w:rPr>
      </w:pPr>
      <w:r w:rsidRPr="0054775B">
        <w:t>Literature searches</w:t>
      </w:r>
      <w:r w:rsidR="008628DE" w:rsidRPr="0054775B">
        <w:t xml:space="preserve"> </w:t>
      </w:r>
      <w:r w:rsidR="008628DE" w:rsidRPr="0054775B" w:rsidDel="005066E9">
        <w:t>for each priority population-</w:t>
      </w:r>
      <w:r w:rsidR="00E76DBC">
        <w:t>supplement</w:t>
      </w:r>
      <w:r w:rsidR="00E76DBC" w:rsidRPr="0054775B" w:rsidDel="005066E9">
        <w:t xml:space="preserve"> </w:t>
      </w:r>
      <w:r w:rsidR="008628DE" w:rsidRPr="0054775B" w:rsidDel="005066E9">
        <w:t>combination</w:t>
      </w:r>
      <w:r w:rsidRPr="0054775B" w:rsidDel="005066E9">
        <w:t xml:space="preserve"> </w:t>
      </w:r>
      <w:r w:rsidRPr="0054775B">
        <w:t xml:space="preserve">were conducted in </w:t>
      </w:r>
      <w:r w:rsidR="005561AD" w:rsidRPr="0054775B">
        <w:t>Epistemonikos (which includes Cochrane, PubMed, Embase, CINAHL, PsycINFO, Campbell, JBI), AMED</w:t>
      </w:r>
      <w:r w:rsidR="0076597D">
        <w:t xml:space="preserve"> (OVID)</w:t>
      </w:r>
      <w:r w:rsidR="005561AD" w:rsidRPr="0054775B">
        <w:t>, Emcare</w:t>
      </w:r>
      <w:r w:rsidR="005C69E0">
        <w:t xml:space="preserve"> (OVID)</w:t>
      </w:r>
      <w:r w:rsidR="005561AD" w:rsidRPr="0054775B">
        <w:t>, Natural Medicines Comprehensive Database, and PROSPERO</w:t>
      </w:r>
      <w:r w:rsidR="005561AD" w:rsidRPr="0054775B">
        <w:rPr>
          <w:lang w:val="en-GB"/>
        </w:rPr>
        <w:t xml:space="preserve"> </w:t>
      </w:r>
      <w:r w:rsidRPr="0054775B">
        <w:rPr>
          <w:lang w:val="en-GB"/>
        </w:rPr>
        <w:t>from database inception to May 202</w:t>
      </w:r>
      <w:r w:rsidR="003E2E4C" w:rsidRPr="0054775B">
        <w:rPr>
          <w:lang w:val="en-GB"/>
        </w:rPr>
        <w:t>3</w:t>
      </w:r>
      <w:r w:rsidRPr="0054775B">
        <w:rPr>
          <w:lang w:val="en-GB"/>
        </w:rPr>
        <w:t xml:space="preserve">. </w:t>
      </w:r>
      <w:r w:rsidR="00365F05" w:rsidRPr="0054775B">
        <w:rPr>
          <w:lang w:val="en-GB"/>
        </w:rPr>
        <w:t xml:space="preserve">The public was also invited by the Department of Health and Aged Care to submit references for published research evidence. </w:t>
      </w:r>
      <w:r w:rsidRPr="0054775B">
        <w:rPr>
          <w:lang w:val="en-GB"/>
        </w:rPr>
        <w:t>There were no limits on language or date of publication in the search</w:t>
      </w:r>
      <w:r w:rsidR="006B2FBB" w:rsidRPr="0054775B" w:rsidDel="008D6740">
        <w:rPr>
          <w:lang w:val="en-GB"/>
        </w:rPr>
        <w:t>es</w:t>
      </w:r>
      <w:r w:rsidR="006B2FBB" w:rsidRPr="0054775B">
        <w:rPr>
          <w:lang w:val="en-GB"/>
        </w:rPr>
        <w:t>.</w:t>
      </w:r>
      <w:r w:rsidRPr="0054775B">
        <w:rPr>
          <w:lang w:val="en-GB"/>
        </w:rPr>
        <w:t xml:space="preserve"> </w:t>
      </w:r>
    </w:p>
    <w:p w14:paraId="30675070" w14:textId="77777777" w:rsidR="00A24D67" w:rsidRPr="0054775B" w:rsidRDefault="00A24D67" w:rsidP="005561AD">
      <w:pPr>
        <w:pStyle w:val="2024SMALLTITLENONUMBER"/>
      </w:pPr>
      <w:bookmarkStart w:id="14" w:name="_Toc111119255"/>
      <w:r w:rsidRPr="0054775B">
        <w:t>Selection criteria</w:t>
      </w:r>
      <w:bookmarkEnd w:id="14"/>
    </w:p>
    <w:p w14:paraId="3A70D288" w14:textId="26CCCDAD" w:rsidR="00C914C0" w:rsidRPr="0054775B" w:rsidRDefault="00C914C0" w:rsidP="00F24F04">
      <w:r w:rsidRPr="0054775B">
        <w:t xml:space="preserve">The </w:t>
      </w:r>
      <w:r w:rsidR="00FB0EC0" w:rsidRPr="0054775B">
        <w:t>o</w:t>
      </w:r>
      <w:r w:rsidRPr="0054775B">
        <w:t>verview prioritised 15 conditions/populations which are commonly seen by naturopaths in Australia</w:t>
      </w:r>
      <w:r w:rsidR="001311D5" w:rsidRPr="0054775B">
        <w:t xml:space="preserve">, based on </w:t>
      </w:r>
      <w:r w:rsidR="00C011FB" w:rsidRPr="0054775B">
        <w:t xml:space="preserve">Australian </w:t>
      </w:r>
      <w:r w:rsidR="001311D5" w:rsidRPr="0054775B">
        <w:t>survey data</w:t>
      </w:r>
      <w:r w:rsidRPr="0054775B">
        <w:t xml:space="preserve">. The 15 conditions were paired with nutritional supplements </w:t>
      </w:r>
      <w:r w:rsidR="00F20370" w:rsidRPr="0054775B">
        <w:t>for</w:t>
      </w:r>
      <w:r w:rsidRPr="0054775B">
        <w:t xml:space="preserve"> those conditions</w:t>
      </w:r>
      <w:r w:rsidR="00F20370" w:rsidRPr="0054775B">
        <w:t xml:space="preserve">, based on </w:t>
      </w:r>
      <w:r w:rsidR="00055E89" w:rsidRPr="0054775B">
        <w:t>courses on naturopathy taught in Australia</w:t>
      </w:r>
      <w:r w:rsidR="00C011FB" w:rsidRPr="0054775B">
        <w:t xml:space="preserve">. These are </w:t>
      </w:r>
      <w:r w:rsidRPr="0054775B">
        <w:t>termed “priority population-</w:t>
      </w:r>
      <w:r w:rsidR="0064186C">
        <w:t>supplement</w:t>
      </w:r>
      <w:r w:rsidR="0064186C" w:rsidRPr="0054775B">
        <w:t xml:space="preserve"> </w:t>
      </w:r>
      <w:r w:rsidR="00752D96">
        <w:t>pairs</w:t>
      </w:r>
      <w:r w:rsidRPr="0054775B">
        <w:t xml:space="preserve">” throughout the </w:t>
      </w:r>
      <w:r w:rsidR="00912F03" w:rsidRPr="0054775B">
        <w:t>overview</w:t>
      </w:r>
      <w:r w:rsidRPr="0054775B">
        <w:t xml:space="preserve">. </w:t>
      </w:r>
      <w:r w:rsidR="00FA37DB" w:rsidRPr="0054775B">
        <w:t>Prioritisation was conducted by NTWC with input from NTREAP</w:t>
      </w:r>
      <w:r w:rsidR="00F83617" w:rsidRPr="0054775B">
        <w:t xml:space="preserve"> as part of scoping and</w:t>
      </w:r>
      <w:r w:rsidR="00FA37DB" w:rsidRPr="0054775B">
        <w:t xml:space="preserve"> before the protocol was fina</w:t>
      </w:r>
      <w:r w:rsidR="00F83617" w:rsidRPr="0054775B">
        <w:t xml:space="preserve">lised. </w:t>
      </w:r>
    </w:p>
    <w:p w14:paraId="490406DB" w14:textId="1DFC16B1" w:rsidR="005B77AD" w:rsidRPr="0054775B" w:rsidRDefault="00110FC8" w:rsidP="00FB0EC0">
      <w:r w:rsidRPr="0054775B">
        <w:t>S</w:t>
      </w:r>
      <w:r w:rsidR="00766F95" w:rsidRPr="0054775B">
        <w:t>ystematic reviews of</w:t>
      </w:r>
      <w:r w:rsidR="00042FAF" w:rsidRPr="0054775B">
        <w:t xml:space="preserve"> </w:t>
      </w:r>
      <w:r w:rsidR="008628DE" w:rsidRPr="0054775B">
        <w:t xml:space="preserve">randomised </w:t>
      </w:r>
      <w:r w:rsidR="00E56437" w:rsidRPr="0054775B">
        <w:t xml:space="preserve">controlled trials </w:t>
      </w:r>
      <w:r w:rsidR="008628DE" w:rsidRPr="0054775B">
        <w:t>(RCTs) or quasi-randomised trials</w:t>
      </w:r>
      <w:r w:rsidR="00B71A75" w:rsidRPr="0054775B">
        <w:t xml:space="preserve"> that examined </w:t>
      </w:r>
      <w:r w:rsidR="007D2C08" w:rsidRPr="0054775B">
        <w:t xml:space="preserve">the clinical effectiveness of </w:t>
      </w:r>
      <w:r w:rsidR="00DA2D49" w:rsidRPr="0054775B">
        <w:t>any of the</w:t>
      </w:r>
      <w:r w:rsidR="00CA173C" w:rsidRPr="0054775B">
        <w:t xml:space="preserve"> </w:t>
      </w:r>
      <w:r w:rsidR="00752D96" w:rsidRPr="00752D96">
        <w:t>priority population-supplement pairs</w:t>
      </w:r>
      <w:r w:rsidR="00752D96">
        <w:t xml:space="preserve"> </w:t>
      </w:r>
      <w:r w:rsidR="00CA173C" w:rsidRPr="0054775B">
        <w:t xml:space="preserve">were </w:t>
      </w:r>
      <w:r w:rsidR="00CA173C" w:rsidRPr="0054775B">
        <w:lastRenderedPageBreak/>
        <w:t>eligible for inclusion</w:t>
      </w:r>
      <w:r w:rsidR="00CC0874" w:rsidRPr="0054775B">
        <w:t xml:space="preserve">. This included </w:t>
      </w:r>
      <w:r w:rsidR="00766F95" w:rsidRPr="0054775B">
        <w:t>both (a) treatment for populations with a confirmed diagnosis of a condition</w:t>
      </w:r>
      <w:r w:rsidR="00CC0874" w:rsidRPr="0054775B">
        <w:t xml:space="preserve"> of interest</w:t>
      </w:r>
      <w:r w:rsidR="00766F95" w:rsidRPr="0054775B">
        <w:t>, and (b) disease prevention in at-risk healthy populations</w:t>
      </w:r>
      <w:r w:rsidR="008628DE" w:rsidRPr="0054775B">
        <w:t xml:space="preserve">. </w:t>
      </w:r>
      <w:r w:rsidR="00CC0874" w:rsidRPr="0054775B">
        <w:t xml:space="preserve">Eligible interventions were those that contained either the supplement of interest alone or with other ingredients (given nutritional supplements often have co-supplementation, e.g. </w:t>
      </w:r>
      <w:r w:rsidR="00091494" w:rsidRPr="0054775B">
        <w:t>multivitamins</w:t>
      </w:r>
      <w:r w:rsidR="00CC0874" w:rsidRPr="0054775B">
        <w:t xml:space="preserve">). </w:t>
      </w:r>
      <w:r w:rsidR="008628DE" w:rsidRPr="0054775B">
        <w:t>Reviews were only included if they met a set of minimum quality criteria</w:t>
      </w:r>
      <w:r w:rsidR="00CC0874" w:rsidRPr="0054775B">
        <w:t xml:space="preserve"> (i.e. were systematic).</w:t>
      </w:r>
      <w:r w:rsidR="008628DE" w:rsidRPr="0054775B">
        <w:t xml:space="preserve"> </w:t>
      </w:r>
      <w:r w:rsidR="00AC78AA" w:rsidRPr="0054775B">
        <w:t xml:space="preserve">Two review authors independently conducted </w:t>
      </w:r>
      <w:r w:rsidR="00AC78AA">
        <w:t>review</w:t>
      </w:r>
      <w:r w:rsidR="00AC78AA" w:rsidRPr="0054775B">
        <w:t xml:space="preserve"> screening and eligibility checking.</w:t>
      </w:r>
      <w:r w:rsidR="009568EB">
        <w:t xml:space="preserve"> </w:t>
      </w:r>
    </w:p>
    <w:p w14:paraId="50C5C63C" w14:textId="23077ED3" w:rsidR="00A24D67" w:rsidRPr="0054775B" w:rsidRDefault="00A24D67" w:rsidP="002E180B">
      <w:pPr>
        <w:pStyle w:val="2024SMALLTITLENONUMBER"/>
      </w:pPr>
      <w:bookmarkStart w:id="15" w:name="_Toc111119256"/>
      <w:r w:rsidRPr="0054775B">
        <w:t>Data collection and analysis</w:t>
      </w:r>
      <w:bookmarkEnd w:id="15"/>
    </w:p>
    <w:p w14:paraId="7655CB33" w14:textId="33B1AE00" w:rsidR="00AA6D35" w:rsidRPr="0054775B" w:rsidRDefault="00AA6D35" w:rsidP="00AA6D35">
      <w:r w:rsidRPr="0054775B">
        <w:t xml:space="preserve">A summarising (as opposed to re-analysis) approach was used for synthesis of findings, which </w:t>
      </w:r>
      <w:r w:rsidR="00A901DB">
        <w:t xml:space="preserve">involves extracting data </w:t>
      </w:r>
      <w:r w:rsidR="00A901DB" w:rsidRPr="00D47343">
        <w:t>as they were reported in the underlying systematic reviews and then reformatt</w:t>
      </w:r>
      <w:r w:rsidR="00D47343" w:rsidRPr="00D47343">
        <w:t>ing</w:t>
      </w:r>
      <w:r w:rsidR="00A901DB" w:rsidRPr="00D47343">
        <w:t xml:space="preserve"> and </w:t>
      </w:r>
      <w:r w:rsidR="00D47343" w:rsidRPr="00D47343">
        <w:t>presenting</w:t>
      </w:r>
      <w:r w:rsidR="00A901DB" w:rsidRPr="00D47343">
        <w:t xml:space="preserve"> in text, tables and/or figures, as appropriate.</w:t>
      </w:r>
      <w:r w:rsidR="00D47343" w:rsidRPr="00D47343">
        <w:t xml:space="preserve"> </w:t>
      </w:r>
      <w:r w:rsidR="00D47343">
        <w:t>Per this approach, a</w:t>
      </w:r>
      <w:r w:rsidRPr="0054775B">
        <w:t xml:space="preserve">dditional analysis or re-assessment of primary study </w:t>
      </w:r>
      <w:r w:rsidR="00DB7C0E">
        <w:t>risk of bias</w:t>
      </w:r>
      <w:r w:rsidRPr="0054775B">
        <w:t xml:space="preserve"> was not conducted. Presentation of results was divided according to type of population: those “with condition” and those “at risk of condition”, and type of intervention: “supplement only” and “supplement + naturopathy co-intervention”.</w:t>
      </w:r>
      <w:r w:rsidR="005E6C43">
        <w:t xml:space="preserve"> </w:t>
      </w:r>
    </w:p>
    <w:p w14:paraId="4255F278" w14:textId="41D648DD" w:rsidR="00525990" w:rsidRDefault="00085BF6" w:rsidP="00FB0EC0">
      <w:r>
        <w:t>A</w:t>
      </w:r>
      <w:r w:rsidR="00DD0E0E" w:rsidRPr="0054775B">
        <w:t xml:space="preserve"> blinded outcome prioritisation process was undertaken by NTWC (with input from NTREAP). The outcome prioritisation </w:t>
      </w:r>
      <w:r w:rsidR="00C31B93" w:rsidRPr="0054775B">
        <w:t xml:space="preserve">process was based </w:t>
      </w:r>
      <w:r w:rsidR="00DD0E0E" w:rsidRPr="0054775B">
        <w:t>on published core outcome sets</w:t>
      </w:r>
      <w:r w:rsidR="005549E1">
        <w:t xml:space="preserve">, </w:t>
      </w:r>
      <w:r w:rsidR="00DD0E0E" w:rsidRPr="0054775B">
        <w:t>systematic reviews in the priority populations,</w:t>
      </w:r>
      <w:r w:rsidR="005549E1">
        <w:t xml:space="preserve"> and relevant Cochrane reviews</w:t>
      </w:r>
      <w:r w:rsidR="00DD0E0E" w:rsidRPr="0054775B">
        <w:t xml:space="preserve">. As part of the process NTWC (with advice from NTREAP) </w:t>
      </w:r>
      <w:r w:rsidR="000C2E0C" w:rsidRPr="0054775B">
        <w:t>were</w:t>
      </w:r>
      <w:r w:rsidR="00DD0E0E" w:rsidRPr="0054775B">
        <w:t xml:space="preserve"> asked to specify up to seven ‘critical’ or ‘important’ outcome domains for inclusion in the analysis and synthesis of the </w:t>
      </w:r>
      <w:r w:rsidR="00DF6A65">
        <w:t>over</w:t>
      </w:r>
      <w:r w:rsidR="00DF6A65" w:rsidRPr="0054775B">
        <w:t>view</w:t>
      </w:r>
      <w:r w:rsidR="00DD0E0E" w:rsidRPr="0054775B">
        <w:t xml:space="preserve">. For outcome domains, the NTWC applied the GRADE scoring of 0 (of limited importance for decision making) to 9 (critical for decision making). </w:t>
      </w:r>
      <w:r w:rsidR="00DA4D22">
        <w:t>Adverse events</w:t>
      </w:r>
      <w:r w:rsidR="00DA4D22" w:rsidRPr="0054775B">
        <w:t xml:space="preserve"> </w:t>
      </w:r>
      <w:r w:rsidR="00DD0E0E" w:rsidRPr="0054775B">
        <w:t>and cost-effectiveness measures were out of scope.</w:t>
      </w:r>
    </w:p>
    <w:p w14:paraId="02454E22" w14:textId="5A0A743C" w:rsidR="006733D2" w:rsidRPr="0054775B" w:rsidRDefault="006733D2" w:rsidP="00FB0EC0">
      <w:r w:rsidRPr="0054775B">
        <w:t xml:space="preserve">Where </w:t>
      </w:r>
      <w:r>
        <w:t>there were no reviews</w:t>
      </w:r>
      <w:r w:rsidRPr="0054775B">
        <w:t xml:space="preserve"> </w:t>
      </w:r>
      <w:r>
        <w:t>which reported</w:t>
      </w:r>
      <w:r w:rsidRPr="0054775B">
        <w:t xml:space="preserve"> a prioritised outcome for </w:t>
      </w:r>
      <w:r>
        <w:t>a</w:t>
      </w:r>
      <w:r w:rsidRPr="0054775B">
        <w:t xml:space="preserve"> </w:t>
      </w:r>
      <w:r w:rsidRPr="00467521">
        <w:rPr>
          <w:lang w:val="en-GB"/>
        </w:rPr>
        <w:t>population-supplement pairing</w:t>
      </w:r>
      <w:r w:rsidRPr="0054775B">
        <w:t xml:space="preserve">, this was noted as an evidence gap in the </w:t>
      </w:r>
      <w:r>
        <w:t>overview</w:t>
      </w:r>
      <w:r w:rsidRPr="0054775B">
        <w:t>.</w:t>
      </w:r>
    </w:p>
    <w:p w14:paraId="3B9CFD01" w14:textId="6B0A83A8" w:rsidR="00C42959" w:rsidRDefault="00A24D67" w:rsidP="00DD0E0E">
      <w:r w:rsidRPr="0054775B">
        <w:t xml:space="preserve">Data </w:t>
      </w:r>
      <w:r w:rsidR="00B467C0">
        <w:t>were</w:t>
      </w:r>
      <w:r w:rsidR="00B467C0" w:rsidRPr="0054775B">
        <w:t xml:space="preserve"> </w:t>
      </w:r>
      <w:r w:rsidRPr="0054775B">
        <w:t xml:space="preserve">collected into Endnote, Covidence and Excel. </w:t>
      </w:r>
      <w:r w:rsidR="00BA0534" w:rsidRPr="0054775B">
        <w:t>Review</w:t>
      </w:r>
      <w:r w:rsidRPr="0054775B">
        <w:t xml:space="preserve"> characteristics and </w:t>
      </w:r>
      <w:r w:rsidR="00BA0534" w:rsidRPr="0054775B">
        <w:t>results for each outcome</w:t>
      </w:r>
      <w:r w:rsidRPr="0054775B">
        <w:t xml:space="preserve"> were extracted. </w:t>
      </w:r>
      <w:r w:rsidR="00857383" w:rsidRPr="0054775B">
        <w:t>Reviews</w:t>
      </w:r>
      <w:r w:rsidRPr="0054775B">
        <w:t xml:space="preserve"> were assessed for </w:t>
      </w:r>
      <w:r w:rsidRPr="00315ED5">
        <w:t xml:space="preserve">risk of bias using the </w:t>
      </w:r>
      <w:r w:rsidR="00857383" w:rsidRPr="00315ED5">
        <w:t>ROBIS</w:t>
      </w:r>
      <w:r w:rsidRPr="00315ED5">
        <w:t xml:space="preserve"> tool</w:t>
      </w:r>
      <w:r w:rsidRPr="0054775B">
        <w:t xml:space="preserve">. </w:t>
      </w:r>
      <w:r w:rsidR="00830350" w:rsidRPr="0054775B">
        <w:t>One reviewer completed data extraction and risk of bias assessment</w:t>
      </w:r>
      <w:r w:rsidR="00830350">
        <w:t xml:space="preserve"> of reviews</w:t>
      </w:r>
      <w:r w:rsidR="00830350" w:rsidRPr="0054775B">
        <w:t>, which was independently confirmed by another reviewer.</w:t>
      </w:r>
    </w:p>
    <w:p w14:paraId="33D9F804" w14:textId="5F87EBD0" w:rsidR="00DE6E54" w:rsidRPr="0054775B" w:rsidRDefault="00DE6E54" w:rsidP="00DD0E0E">
      <w:r>
        <w:t>Results from the</w:t>
      </w:r>
      <w:r w:rsidRPr="0054775B">
        <w:t xml:space="preserve"> </w:t>
      </w:r>
      <w:r>
        <w:t xml:space="preserve">systematic review that provided the </w:t>
      </w:r>
      <w:r w:rsidRPr="0054775B">
        <w:t xml:space="preserve">“best” evidence </w:t>
      </w:r>
      <w:r>
        <w:t>for each outcome in each population-supplement pair were</w:t>
      </w:r>
      <w:r w:rsidRPr="0054775B">
        <w:t xml:space="preserve"> </w:t>
      </w:r>
      <w:r>
        <w:t xml:space="preserve">presented; these were termed “preferred reviews”. The preferred review was </w:t>
      </w:r>
      <w:r w:rsidRPr="0054775B">
        <w:t xml:space="preserve">determined based on </w:t>
      </w:r>
      <w:r>
        <w:t xml:space="preserve">review </w:t>
      </w:r>
      <w:r w:rsidR="00DB7C0E">
        <w:t>risk of bias</w:t>
      </w:r>
      <w:r>
        <w:t>,</w:t>
      </w:r>
      <w:r w:rsidRPr="0054775B">
        <w:t xml:space="preserve"> comprehensiveness and recency</w:t>
      </w:r>
      <w:r>
        <w:t>.</w:t>
      </w:r>
    </w:p>
    <w:p w14:paraId="1653ED7C" w14:textId="5B68A206" w:rsidR="0038252B" w:rsidRPr="0054775B" w:rsidRDefault="00A24D67" w:rsidP="0038252B">
      <w:pPr>
        <w:pStyle w:val="2024SMALLTITLENONUMBER"/>
      </w:pPr>
      <w:bookmarkStart w:id="16" w:name="_Toc111119257"/>
      <w:r w:rsidRPr="0054775B">
        <w:t>Main results</w:t>
      </w:r>
      <w:bookmarkEnd w:id="16"/>
    </w:p>
    <w:p w14:paraId="7780180B" w14:textId="155B3590" w:rsidR="0028594F" w:rsidRPr="0054775B" w:rsidRDefault="00C2720E" w:rsidP="0073372B">
      <w:r>
        <w:t xml:space="preserve">Across all </w:t>
      </w:r>
      <w:r w:rsidR="00D21DE2">
        <w:t xml:space="preserve">15 </w:t>
      </w:r>
      <w:r>
        <w:t>population-</w:t>
      </w:r>
      <w:r w:rsidR="00817A4A">
        <w:t>supplement</w:t>
      </w:r>
      <w:r>
        <w:t xml:space="preserve"> pairs, w</w:t>
      </w:r>
      <w:r w:rsidRPr="0054775B">
        <w:t xml:space="preserve">e </w:t>
      </w:r>
      <w:r w:rsidR="00484929" w:rsidRPr="0054775B">
        <w:t>identified 7</w:t>
      </w:r>
      <w:r w:rsidR="00AB006F" w:rsidRPr="0054775B">
        <w:t>,</w:t>
      </w:r>
      <w:r w:rsidR="00484929" w:rsidRPr="0054775B">
        <w:t xml:space="preserve">335 unique articles via database searching, and 437 articles were </w:t>
      </w:r>
      <w:r w:rsidR="00B74D9F" w:rsidRPr="0054775B">
        <w:t xml:space="preserve">submitted </w:t>
      </w:r>
      <w:r w:rsidR="00484929" w:rsidRPr="0054775B">
        <w:t xml:space="preserve">through the Department’s public call for evidence. </w:t>
      </w:r>
      <w:r w:rsidR="00550D7D" w:rsidRPr="0054775B">
        <w:t>In total,</w:t>
      </w:r>
      <w:r w:rsidR="00926733" w:rsidRPr="0054775B">
        <w:t xml:space="preserve"> 4</w:t>
      </w:r>
      <w:r w:rsidR="00763BC3" w:rsidRPr="0054775B">
        <w:t>80</w:t>
      </w:r>
      <w:r w:rsidR="00926733" w:rsidRPr="0054775B">
        <w:t xml:space="preserve"> reviews were sought for full-text assessment.</w:t>
      </w:r>
      <w:r w:rsidR="00550D7D" w:rsidRPr="0054775B">
        <w:t xml:space="preserve"> </w:t>
      </w:r>
      <w:r w:rsidR="00926733" w:rsidRPr="0054775B">
        <w:t xml:space="preserve">A </w:t>
      </w:r>
      <w:r w:rsidR="00A45C0F" w:rsidRPr="0054775B">
        <w:t xml:space="preserve">total of </w:t>
      </w:r>
      <w:r w:rsidR="00763BC3" w:rsidRPr="0054775B">
        <w:t>9</w:t>
      </w:r>
      <w:r w:rsidR="004824EB" w:rsidRPr="0054775B">
        <w:t>7</w:t>
      </w:r>
      <w:r w:rsidR="00763BC3" w:rsidRPr="0054775B">
        <w:t xml:space="preserve"> </w:t>
      </w:r>
      <w:r w:rsidR="00550D7D" w:rsidRPr="0054775B">
        <w:t xml:space="preserve">systematic reviews </w:t>
      </w:r>
      <w:r w:rsidR="00955BF7" w:rsidRPr="0054775B">
        <w:t>met criteria for inclusion</w:t>
      </w:r>
      <w:r w:rsidR="001944A0" w:rsidRPr="0054775B">
        <w:t xml:space="preserve"> in this </w:t>
      </w:r>
      <w:r w:rsidR="00912F03" w:rsidRPr="0054775B">
        <w:t>overview</w:t>
      </w:r>
      <w:r w:rsidR="00955BF7" w:rsidRPr="0054775B">
        <w:t xml:space="preserve"> and underwent data extraction</w:t>
      </w:r>
      <w:r w:rsidR="00D7632B" w:rsidRPr="0054775B">
        <w:t>. R</w:t>
      </w:r>
      <w:r w:rsidR="00550D7D" w:rsidRPr="0054775B">
        <w:t xml:space="preserve">esults from the </w:t>
      </w:r>
      <w:r w:rsidR="00484929" w:rsidRPr="0054775B">
        <w:t>highest quality, and most</w:t>
      </w:r>
      <w:r w:rsidR="00550D7D" w:rsidRPr="0054775B">
        <w:t xml:space="preserve"> r</w:t>
      </w:r>
      <w:r w:rsidR="00484929" w:rsidRPr="0054775B">
        <w:t xml:space="preserve">elevant and </w:t>
      </w:r>
      <w:r w:rsidR="00550D7D" w:rsidRPr="0054775B">
        <w:t xml:space="preserve">comprehensive </w:t>
      </w:r>
      <w:r w:rsidR="0022208D" w:rsidRPr="0054775B">
        <w:t xml:space="preserve">review </w:t>
      </w:r>
      <w:r w:rsidR="00A22C03">
        <w:t xml:space="preserve">(“preferred” reviews) </w:t>
      </w:r>
      <w:r w:rsidR="0022208D" w:rsidRPr="0054775B">
        <w:t xml:space="preserve">for each outcome </w:t>
      </w:r>
      <w:r w:rsidR="00D7632B" w:rsidRPr="0054775B">
        <w:t xml:space="preserve">were </w:t>
      </w:r>
      <w:r w:rsidR="0022208D" w:rsidRPr="0054775B">
        <w:t>presented (</w:t>
      </w:r>
      <w:r w:rsidR="00763BC3" w:rsidRPr="0054775B">
        <w:t>2</w:t>
      </w:r>
      <w:r w:rsidR="004824EB" w:rsidRPr="0054775B">
        <w:t>6</w:t>
      </w:r>
      <w:r w:rsidR="00550D7D" w:rsidRPr="0054775B">
        <w:t xml:space="preserve"> reviews</w:t>
      </w:r>
      <w:r w:rsidR="00054D5D" w:rsidRPr="00054D5D">
        <w:t xml:space="preserve"> </w:t>
      </w:r>
      <w:r w:rsidR="00054D5D" w:rsidRPr="0054775B">
        <w:t>contributing</w:t>
      </w:r>
      <w:r w:rsidR="0022208D" w:rsidRPr="0054775B">
        <w:t>)</w:t>
      </w:r>
      <w:r w:rsidR="00550D7D" w:rsidRPr="0054775B">
        <w:t>.</w:t>
      </w:r>
      <w:r w:rsidR="0073372B" w:rsidRPr="0054775B">
        <w:t xml:space="preserve"> </w:t>
      </w:r>
    </w:p>
    <w:p w14:paraId="58F87A89" w14:textId="3A99AC5C" w:rsidR="00034635" w:rsidRPr="0054775B" w:rsidRDefault="00417802" w:rsidP="004B067D">
      <w:r>
        <w:t>Findings</w:t>
      </w:r>
      <w:r w:rsidRPr="0054775B">
        <w:t xml:space="preserve"> </w:t>
      </w:r>
      <w:r w:rsidR="00034635" w:rsidRPr="0054775B">
        <w:t>were assessed using the GRADE framework</w:t>
      </w:r>
      <w:r w:rsidR="0018110A">
        <w:t xml:space="preserve"> for each outcome</w:t>
      </w:r>
      <w:r w:rsidR="00E71229">
        <w:t xml:space="preserve"> (Grading of Recommendations Assessment, Development and Evaluation)</w:t>
      </w:r>
      <w:r w:rsidR="00034635" w:rsidRPr="0054775B">
        <w:t xml:space="preserve">. GRADE combines information to assess overall how certain systematic review authors can be that the estimates of the effect (reported across a study/s for each critical or important outcome) are correct. High certainty means the authors have a lot of confidence that the true effect is similar to the estimated effect. </w:t>
      </w:r>
      <w:r w:rsidR="00034635" w:rsidRPr="0054775B">
        <w:lastRenderedPageBreak/>
        <w:t>Moderate certainty means that the true effect is probably close to the estimated effect. Low certainty means the true effect might be markedly different from the estimated effect. Very low certainty means the true effect is probably markedly different from the estimated effect.</w:t>
      </w:r>
    </w:p>
    <w:p w14:paraId="28ADDB7F" w14:textId="069CAE7E" w:rsidR="00635D0F" w:rsidRPr="0054775B" w:rsidRDefault="00635D0F" w:rsidP="00A04D2B">
      <w:pPr>
        <w:pStyle w:val="Bulletintro"/>
        <w:spacing w:after="0"/>
        <w:rPr>
          <w:rFonts w:ascii="Aptos" w:hAnsi="Aptos"/>
        </w:rPr>
      </w:pPr>
      <w:r w:rsidRPr="0054775B">
        <w:rPr>
          <w:rFonts w:ascii="Aptos" w:hAnsi="Aptos"/>
        </w:rPr>
        <w:t xml:space="preserve">This review evaluated 15 prioritised </w:t>
      </w:r>
      <w:r w:rsidR="003E488D">
        <w:rPr>
          <w:rFonts w:ascii="Aptos" w:hAnsi="Aptos"/>
        </w:rPr>
        <w:t>population-supplement pair</w:t>
      </w:r>
      <w:r w:rsidR="00EB5EAB" w:rsidRPr="0054775B">
        <w:rPr>
          <w:rFonts w:ascii="Aptos" w:hAnsi="Aptos"/>
        </w:rPr>
        <w:t>s</w:t>
      </w:r>
      <w:r w:rsidRPr="0054775B">
        <w:rPr>
          <w:rFonts w:ascii="Aptos" w:hAnsi="Aptos"/>
        </w:rPr>
        <w:t xml:space="preserve"> </w:t>
      </w:r>
      <w:r w:rsidR="007A348D" w:rsidRPr="0054775B">
        <w:rPr>
          <w:rFonts w:ascii="Aptos" w:hAnsi="Aptos"/>
        </w:rPr>
        <w:t>relevant to</w:t>
      </w:r>
      <w:r w:rsidRPr="0054775B">
        <w:rPr>
          <w:rFonts w:ascii="Aptos" w:hAnsi="Aptos"/>
        </w:rPr>
        <w:t xml:space="preserve"> naturopathy </w:t>
      </w:r>
      <w:r w:rsidR="007A348D" w:rsidRPr="0054775B">
        <w:rPr>
          <w:rFonts w:ascii="Aptos" w:hAnsi="Aptos"/>
        </w:rPr>
        <w:t xml:space="preserve">in Australia </w:t>
      </w:r>
      <w:r w:rsidRPr="0054775B">
        <w:rPr>
          <w:rFonts w:ascii="Aptos" w:hAnsi="Aptos"/>
        </w:rPr>
        <w:t>on an outcome considered critical or important by NTWC.</w:t>
      </w:r>
    </w:p>
    <w:p w14:paraId="0A671A23" w14:textId="3BC9F12E" w:rsidR="00B17EAB" w:rsidRPr="0054775B" w:rsidRDefault="00B17EAB" w:rsidP="00B17EAB">
      <w:pPr>
        <w:rPr>
          <w:lang w:eastAsia="en-AU"/>
        </w:rPr>
      </w:pPr>
      <w:bookmarkStart w:id="17" w:name="_Toc111119258"/>
      <w:r w:rsidRPr="0054775B">
        <w:rPr>
          <w:lang w:eastAsia="en-AU"/>
        </w:rPr>
        <w:t xml:space="preserve">There was </w:t>
      </w:r>
      <w:r w:rsidRPr="004A5FBB">
        <w:rPr>
          <w:b/>
          <w:bCs/>
          <w:lang w:eastAsia="en-AU"/>
        </w:rPr>
        <w:t xml:space="preserve">moderate certainty </w:t>
      </w:r>
      <w:r w:rsidRPr="0019617D">
        <w:rPr>
          <w:lang w:eastAsia="en-AU"/>
        </w:rPr>
        <w:t>evidence</w:t>
      </w:r>
      <w:r w:rsidRPr="0054775B">
        <w:rPr>
          <w:lang w:eastAsia="en-AU"/>
        </w:rPr>
        <w:t xml:space="preserve"> that nutritional supplements </w:t>
      </w:r>
      <w:r w:rsidRPr="0019617D">
        <w:rPr>
          <w:lang w:eastAsia="en-AU"/>
        </w:rPr>
        <w:t>probably</w:t>
      </w:r>
      <w:r w:rsidRPr="004A5FBB">
        <w:rPr>
          <w:b/>
          <w:bCs/>
          <w:lang w:eastAsia="en-AU"/>
        </w:rPr>
        <w:t xml:space="preserve"> improve</w:t>
      </w:r>
      <w:r w:rsidRPr="0054775B">
        <w:rPr>
          <w:lang w:eastAsia="en-AU"/>
        </w:rPr>
        <w:t xml:space="preserve"> some key health outcomes </w:t>
      </w:r>
      <w:r>
        <w:rPr>
          <w:lang w:eastAsia="en-AU"/>
        </w:rPr>
        <w:t xml:space="preserve">for people with and at-risk of </w:t>
      </w:r>
      <w:r w:rsidR="00F241AE">
        <w:rPr>
          <w:lang w:eastAsia="en-AU"/>
        </w:rPr>
        <w:t>four</w:t>
      </w:r>
      <w:r w:rsidRPr="0054775B">
        <w:rPr>
          <w:lang w:eastAsia="en-AU"/>
        </w:rPr>
        <w:t xml:space="preserve"> </w:t>
      </w:r>
      <w:r w:rsidRPr="0019617D">
        <w:rPr>
          <w:lang w:eastAsia="en-AU"/>
        </w:rPr>
        <w:t>conditions</w:t>
      </w:r>
      <w:r w:rsidRPr="0054775B">
        <w:rPr>
          <w:lang w:eastAsia="en-AU"/>
        </w:rPr>
        <w:t>:</w:t>
      </w:r>
    </w:p>
    <w:p w14:paraId="3F3B4C58" w14:textId="122AB479" w:rsidR="00786F69" w:rsidRDefault="00B17EAB" w:rsidP="00FF1C25">
      <w:pPr>
        <w:pStyle w:val="ListParagraph"/>
        <w:numPr>
          <w:ilvl w:val="0"/>
          <w:numId w:val="21"/>
        </w:numPr>
        <w:ind w:left="426"/>
        <w:rPr>
          <w:lang w:eastAsia="en-AU"/>
        </w:rPr>
      </w:pPr>
      <w:r w:rsidRPr="0054775B">
        <w:t>Probiotics</w:t>
      </w:r>
      <w:r w:rsidRPr="0054775B">
        <w:rPr>
          <w:lang w:eastAsia="en-AU"/>
        </w:rPr>
        <w:t xml:space="preserve"> probably</w:t>
      </w:r>
      <w:r>
        <w:rPr>
          <w:lang w:eastAsia="en-AU"/>
        </w:rPr>
        <w:t xml:space="preserve"> </w:t>
      </w:r>
      <w:r w:rsidR="00F8346D">
        <w:rPr>
          <w:lang w:eastAsia="en-AU"/>
        </w:rPr>
        <w:t xml:space="preserve">increases </w:t>
      </w:r>
      <w:r>
        <w:rPr>
          <w:lang w:eastAsia="en-AU"/>
        </w:rPr>
        <w:t xml:space="preserve">the number of people with </w:t>
      </w:r>
      <w:r w:rsidRPr="0054775B">
        <w:rPr>
          <w:lang w:eastAsia="en-AU"/>
        </w:rPr>
        <w:t>global symptom</w:t>
      </w:r>
      <w:r>
        <w:rPr>
          <w:lang w:eastAsia="en-AU"/>
        </w:rPr>
        <w:t xml:space="preserve"> improvement</w:t>
      </w:r>
      <w:r w:rsidR="00D31EDA">
        <w:rPr>
          <w:lang w:eastAsia="en-AU"/>
        </w:rPr>
        <w:t xml:space="preserve"> </w:t>
      </w:r>
      <w:r w:rsidR="00FF466E">
        <w:rPr>
          <w:lang w:eastAsia="en-AU"/>
        </w:rPr>
        <w:t>of 10-50%</w:t>
      </w:r>
      <w:r w:rsidR="00D31EDA" w:rsidRPr="0054775B" w:rsidDel="00D37F7E">
        <w:rPr>
          <w:lang w:eastAsia="en-AU"/>
        </w:rPr>
        <w:t xml:space="preserve"> </w:t>
      </w:r>
      <w:r w:rsidR="00E82847">
        <w:rPr>
          <w:lang w:eastAsia="en-AU"/>
        </w:rPr>
        <w:t xml:space="preserve">when assessed </w:t>
      </w:r>
      <w:r w:rsidR="00D31EDA" w:rsidRPr="0054775B" w:rsidDel="00D37F7E">
        <w:rPr>
          <w:lang w:eastAsia="en-AU"/>
        </w:rPr>
        <w:t>as a dichotomous outcome</w:t>
      </w:r>
      <w:r w:rsidR="00D31EDA" w:rsidRPr="0054775B">
        <w:rPr>
          <w:lang w:eastAsia="en-AU"/>
        </w:rPr>
        <w:t xml:space="preserve"> for </w:t>
      </w:r>
      <w:r w:rsidR="00D31EDA">
        <w:rPr>
          <w:lang w:eastAsia="en-AU"/>
        </w:rPr>
        <w:t xml:space="preserve">people with </w:t>
      </w:r>
      <w:r w:rsidR="00DF3D5B">
        <w:rPr>
          <w:lang w:eastAsia="en-AU"/>
        </w:rPr>
        <w:t>irritable bowel syndrome (</w:t>
      </w:r>
      <w:r w:rsidR="00D31EDA" w:rsidRPr="0054775B">
        <w:rPr>
          <w:lang w:eastAsia="en-AU"/>
        </w:rPr>
        <w:t>IBS</w:t>
      </w:r>
      <w:r w:rsidR="00DF3D5B">
        <w:rPr>
          <w:lang w:eastAsia="en-AU"/>
        </w:rPr>
        <w:t>)</w:t>
      </w:r>
      <w:r w:rsidR="00F8346D">
        <w:rPr>
          <w:lang w:eastAsia="en-AU"/>
        </w:rPr>
        <w:t>,</w:t>
      </w:r>
      <w:r w:rsidR="00D37F7E" w:rsidRPr="00D37F7E">
        <w:t xml:space="preserve"> </w:t>
      </w:r>
      <w:r w:rsidR="00D37F7E">
        <w:rPr>
          <w:lang w:eastAsia="en-AU"/>
        </w:rPr>
        <w:t xml:space="preserve">although </w:t>
      </w:r>
      <w:r w:rsidR="00D37F7E">
        <w:t>p</w:t>
      </w:r>
      <w:r w:rsidR="00D37F7E" w:rsidRPr="0054775B">
        <w:t>robiotics</w:t>
      </w:r>
      <w:r w:rsidR="00D37F7E" w:rsidRPr="0054775B">
        <w:rPr>
          <w:lang w:eastAsia="en-AU"/>
        </w:rPr>
        <w:t xml:space="preserve"> </w:t>
      </w:r>
      <w:r w:rsidR="00D37F7E" w:rsidRPr="00643B09">
        <w:rPr>
          <w:b/>
          <w:bCs/>
          <w:lang w:eastAsia="en-AU"/>
        </w:rPr>
        <w:t>may have little to no effect</w:t>
      </w:r>
      <w:r w:rsidR="00D37F7E">
        <w:rPr>
          <w:lang w:eastAsia="en-AU"/>
        </w:rPr>
        <w:t xml:space="preserve"> on </w:t>
      </w:r>
      <w:r w:rsidR="00D37F7E" w:rsidRPr="0054775B">
        <w:t>global</w:t>
      </w:r>
      <w:r w:rsidR="00D37F7E">
        <w:t xml:space="preserve"> IBS </w:t>
      </w:r>
      <w:r w:rsidR="00D37F7E" w:rsidRPr="0054775B">
        <w:t xml:space="preserve">symptoms or response </w:t>
      </w:r>
      <w:r w:rsidR="00D37F7E">
        <w:t>on average</w:t>
      </w:r>
      <w:r w:rsidR="007E4739">
        <w:t xml:space="preserve"> (continuous scale)</w:t>
      </w:r>
      <w:r w:rsidR="00046DBC">
        <w:t>.</w:t>
      </w:r>
    </w:p>
    <w:p w14:paraId="4CEEF7D7" w14:textId="482608E6" w:rsidR="00B17EAB" w:rsidRDefault="00B17EAB" w:rsidP="00FF1C25">
      <w:pPr>
        <w:pStyle w:val="ListParagraph"/>
        <w:numPr>
          <w:ilvl w:val="0"/>
          <w:numId w:val="21"/>
        </w:numPr>
        <w:ind w:left="426"/>
        <w:rPr>
          <w:lang w:eastAsia="en-AU"/>
        </w:rPr>
      </w:pPr>
      <w:r w:rsidRPr="0054775B">
        <w:rPr>
          <w:lang w:eastAsia="en-AU"/>
        </w:rPr>
        <w:t>Antioxida</w:t>
      </w:r>
      <w:r w:rsidR="00D31EDA">
        <w:rPr>
          <w:lang w:eastAsia="en-AU"/>
        </w:rPr>
        <w:t>n</w:t>
      </w:r>
      <w:r w:rsidRPr="0054775B">
        <w:rPr>
          <w:lang w:eastAsia="en-AU"/>
        </w:rPr>
        <w:t xml:space="preserve">ts (specifically CoQ10 and </w:t>
      </w:r>
      <w:r w:rsidR="00A14057" w:rsidRPr="00A14057">
        <w:rPr>
          <w:lang w:eastAsia="en-AU"/>
        </w:rPr>
        <w:t xml:space="preserve">alpha-lipoic </w:t>
      </w:r>
      <w:r w:rsidR="00A14057">
        <w:rPr>
          <w:lang w:eastAsia="en-AU"/>
        </w:rPr>
        <w:t>(</w:t>
      </w:r>
      <w:r>
        <w:rPr>
          <w:lang w:eastAsia="en-AU"/>
        </w:rPr>
        <w:t>ALA</w:t>
      </w:r>
      <w:r w:rsidR="00A14057">
        <w:rPr>
          <w:lang w:eastAsia="en-AU"/>
        </w:rPr>
        <w:t>)</w:t>
      </w:r>
      <w:r w:rsidRPr="0054775B">
        <w:rPr>
          <w:lang w:eastAsia="en-AU"/>
        </w:rPr>
        <w:t xml:space="preserve">) probably </w:t>
      </w:r>
      <w:r w:rsidR="00D31EDA">
        <w:rPr>
          <w:lang w:eastAsia="en-AU"/>
        </w:rPr>
        <w:t>reduce</w:t>
      </w:r>
      <w:r w:rsidR="00D31EDA" w:rsidRPr="0054775B">
        <w:rPr>
          <w:lang w:eastAsia="en-AU"/>
        </w:rPr>
        <w:t xml:space="preserve"> </w:t>
      </w:r>
      <w:r>
        <w:rPr>
          <w:lang w:eastAsia="en-AU"/>
        </w:rPr>
        <w:t xml:space="preserve">global </w:t>
      </w:r>
      <w:r w:rsidRPr="0054775B">
        <w:rPr>
          <w:lang w:eastAsia="en-AU"/>
        </w:rPr>
        <w:t>fatigue severity/</w:t>
      </w:r>
      <w:r>
        <w:rPr>
          <w:lang w:eastAsia="en-AU"/>
        </w:rPr>
        <w:t>burden</w:t>
      </w:r>
      <w:r w:rsidR="00050027" w:rsidRPr="00050027">
        <w:rPr>
          <w:lang w:eastAsia="en-AU"/>
        </w:rPr>
        <w:t xml:space="preserve"> </w:t>
      </w:r>
      <w:r w:rsidR="00050027">
        <w:rPr>
          <w:lang w:eastAsia="en-AU"/>
        </w:rPr>
        <w:t xml:space="preserve">in people with </w:t>
      </w:r>
      <w:r w:rsidR="00050027" w:rsidRPr="0054775B">
        <w:rPr>
          <w:lang w:eastAsia="en-AU"/>
        </w:rPr>
        <w:t>fatigue</w:t>
      </w:r>
      <w:r w:rsidR="00050027">
        <w:rPr>
          <w:lang w:eastAsia="en-AU"/>
        </w:rPr>
        <w:t xml:space="preserve"> </w:t>
      </w:r>
      <w:r w:rsidR="00050027" w:rsidRPr="0054775B">
        <w:rPr>
          <w:lang w:eastAsia="en-AU"/>
        </w:rPr>
        <w:t>(including myalgic encephalomyelitis and Chronic Fatigue Syndrome</w:t>
      </w:r>
      <w:r w:rsidR="00542D44" w:rsidRPr="0054775B" w:rsidDel="00000F4A">
        <w:rPr>
          <w:lang w:eastAsia="en-AU"/>
        </w:rPr>
        <w:t>)</w:t>
      </w:r>
      <w:r>
        <w:rPr>
          <w:lang w:eastAsia="en-AU"/>
        </w:rPr>
        <w:t>.</w:t>
      </w:r>
    </w:p>
    <w:p w14:paraId="770BCF67" w14:textId="37989AA0" w:rsidR="001F4E5F" w:rsidRDefault="001F4E5F" w:rsidP="00107BEE">
      <w:pPr>
        <w:pStyle w:val="ListParagraph"/>
        <w:numPr>
          <w:ilvl w:val="0"/>
          <w:numId w:val="21"/>
        </w:numPr>
        <w:ind w:left="426"/>
        <w:rPr>
          <w:lang w:eastAsia="en-AU"/>
        </w:rPr>
      </w:pPr>
      <w:r>
        <w:rPr>
          <w:lang w:eastAsia="en-AU"/>
        </w:rPr>
        <w:t>Zinc probably reduces</w:t>
      </w:r>
      <w:r w:rsidRPr="00ED6D48">
        <w:rPr>
          <w:lang w:eastAsia="en-AU"/>
        </w:rPr>
        <w:t xml:space="preserve"> </w:t>
      </w:r>
      <w:r w:rsidR="00830270" w:rsidRPr="00830270">
        <w:rPr>
          <w:lang w:eastAsia="en-AU"/>
        </w:rPr>
        <w:t xml:space="preserve">recurrent infections when measured by </w:t>
      </w:r>
      <w:r w:rsidRPr="00ED6D48">
        <w:rPr>
          <w:lang w:eastAsia="en-AU"/>
        </w:rPr>
        <w:t xml:space="preserve">the number of episodes of definite infection per </w:t>
      </w:r>
      <w:r w:rsidR="00010225">
        <w:rPr>
          <w:lang w:eastAsia="en-AU"/>
        </w:rPr>
        <w:t>child</w:t>
      </w:r>
      <w:r w:rsidR="00010225" w:rsidRPr="00ED6D48">
        <w:rPr>
          <w:lang w:eastAsia="en-AU"/>
        </w:rPr>
        <w:t xml:space="preserve"> </w:t>
      </w:r>
      <w:r w:rsidRPr="00ED6D48">
        <w:rPr>
          <w:lang w:eastAsia="en-AU"/>
        </w:rPr>
        <w:t xml:space="preserve">per year </w:t>
      </w:r>
      <w:r w:rsidR="00010225">
        <w:rPr>
          <w:lang w:eastAsia="en-AU"/>
        </w:rPr>
        <w:t xml:space="preserve">in children with </w:t>
      </w:r>
      <w:r w:rsidRPr="00ED6D48">
        <w:rPr>
          <w:lang w:eastAsia="en-AU"/>
        </w:rPr>
        <w:t>otitis media</w:t>
      </w:r>
      <w:r w:rsidR="00010225">
        <w:rPr>
          <w:lang w:eastAsia="en-AU"/>
        </w:rPr>
        <w:t xml:space="preserve"> (</w:t>
      </w:r>
      <w:r w:rsidR="00010225" w:rsidRPr="00010225">
        <w:rPr>
          <w:lang w:eastAsia="en-AU"/>
        </w:rPr>
        <w:t>although when recurrence is measured by the number of children with at least one episode of infection during follow-up, zinc may have little to no effect on recurrent infections in children with otitis media</w:t>
      </w:r>
      <w:r w:rsidRPr="00ED6D48">
        <w:rPr>
          <w:rFonts w:eastAsiaTheme="minorHAnsi"/>
          <w:lang w:eastAsia="en-AU"/>
        </w:rPr>
        <w:t>)</w:t>
      </w:r>
      <w:r w:rsidRPr="00ED6D48">
        <w:rPr>
          <w:lang w:eastAsia="en-AU"/>
        </w:rPr>
        <w:t>.</w:t>
      </w:r>
    </w:p>
    <w:p w14:paraId="06A6C289" w14:textId="427370AC" w:rsidR="00B17EAB" w:rsidRDefault="00B17EAB" w:rsidP="00107BEE">
      <w:pPr>
        <w:pStyle w:val="ListParagraph"/>
        <w:numPr>
          <w:ilvl w:val="0"/>
          <w:numId w:val="21"/>
        </w:numPr>
        <w:ind w:left="426"/>
        <w:rPr>
          <w:lang w:eastAsia="en-AU"/>
        </w:rPr>
      </w:pPr>
      <w:r w:rsidRPr="0054775B">
        <w:rPr>
          <w:lang w:eastAsia="en-AU"/>
        </w:rPr>
        <w:t xml:space="preserve">Antioxidants (specifically CoQ10 and </w:t>
      </w:r>
      <w:r>
        <w:rPr>
          <w:lang w:eastAsia="en-AU"/>
        </w:rPr>
        <w:t>ALA</w:t>
      </w:r>
      <w:r w:rsidRPr="0054775B">
        <w:rPr>
          <w:lang w:eastAsia="en-AU"/>
        </w:rPr>
        <w:t>) probably improve</w:t>
      </w:r>
      <w:r w:rsidR="003C6851">
        <w:rPr>
          <w:lang w:eastAsia="en-AU"/>
        </w:rPr>
        <w:t>s</w:t>
      </w:r>
      <w:r w:rsidRPr="0054775B">
        <w:rPr>
          <w:lang w:eastAsia="en-AU"/>
        </w:rPr>
        <w:t xml:space="preserve"> </w:t>
      </w:r>
      <w:r>
        <w:rPr>
          <w:lang w:eastAsia="en-AU"/>
        </w:rPr>
        <w:t>fasting blood glucose</w:t>
      </w:r>
      <w:r w:rsidDel="00E378FB">
        <w:rPr>
          <w:color w:val="000000" w:themeColor="text1"/>
        </w:rPr>
        <w:t xml:space="preserve"> </w:t>
      </w:r>
      <w:r>
        <w:rPr>
          <w:lang w:eastAsia="en-AU"/>
        </w:rPr>
        <w:t xml:space="preserve">and HOMA-IR (glycaemic control) </w:t>
      </w:r>
      <w:r w:rsidR="00050027">
        <w:rPr>
          <w:lang w:eastAsia="en-AU"/>
        </w:rPr>
        <w:t xml:space="preserve">in </w:t>
      </w:r>
      <w:r>
        <w:rPr>
          <w:lang w:eastAsia="en-AU"/>
        </w:rPr>
        <w:t>people at risk of Type II Diabetes Mellitus</w:t>
      </w:r>
      <w:r w:rsidR="00454D78">
        <w:rPr>
          <w:lang w:eastAsia="en-AU"/>
        </w:rPr>
        <w:t xml:space="preserve"> </w:t>
      </w:r>
      <w:r w:rsidR="00775352">
        <w:rPr>
          <w:lang w:eastAsia="en-AU"/>
        </w:rPr>
        <w:t>due to obesity</w:t>
      </w:r>
      <w:r>
        <w:rPr>
          <w:lang w:eastAsia="en-AU"/>
        </w:rPr>
        <w:t>.</w:t>
      </w:r>
    </w:p>
    <w:p w14:paraId="58E20E0D" w14:textId="46FAD660" w:rsidR="00B17EAB" w:rsidRDefault="00B17EAB" w:rsidP="00B17EAB">
      <w:pPr>
        <w:rPr>
          <w:lang w:eastAsia="en-AU"/>
        </w:rPr>
      </w:pPr>
      <w:r w:rsidRPr="0054775B">
        <w:rPr>
          <w:lang w:eastAsia="en-AU"/>
        </w:rPr>
        <w:t xml:space="preserve">There was </w:t>
      </w:r>
      <w:r>
        <w:rPr>
          <w:b/>
          <w:bCs/>
          <w:lang w:eastAsia="en-AU"/>
        </w:rPr>
        <w:t>low</w:t>
      </w:r>
      <w:r w:rsidRPr="00353AA7">
        <w:rPr>
          <w:b/>
          <w:bCs/>
          <w:lang w:eastAsia="en-AU"/>
        </w:rPr>
        <w:t xml:space="preserve"> certainty </w:t>
      </w:r>
      <w:r w:rsidRPr="0019617D">
        <w:rPr>
          <w:lang w:eastAsia="en-AU"/>
        </w:rPr>
        <w:t>evidence</w:t>
      </w:r>
      <w:r w:rsidRPr="0054775B">
        <w:rPr>
          <w:lang w:eastAsia="en-AU"/>
        </w:rPr>
        <w:t xml:space="preserve"> that nutritional supplements </w:t>
      </w:r>
      <w:r>
        <w:rPr>
          <w:lang w:eastAsia="en-AU"/>
        </w:rPr>
        <w:t>may</w:t>
      </w:r>
      <w:r w:rsidRPr="00353AA7">
        <w:rPr>
          <w:b/>
          <w:bCs/>
          <w:lang w:eastAsia="en-AU"/>
        </w:rPr>
        <w:t xml:space="preserve"> improve</w:t>
      </w:r>
      <w:r w:rsidRPr="0054775B">
        <w:rPr>
          <w:lang w:eastAsia="en-AU"/>
        </w:rPr>
        <w:t xml:space="preserve"> some key health outcomes </w:t>
      </w:r>
      <w:r>
        <w:rPr>
          <w:lang w:eastAsia="en-AU"/>
        </w:rPr>
        <w:t xml:space="preserve">for people with and at-risk of </w:t>
      </w:r>
      <w:r w:rsidRPr="004A5FBB">
        <w:rPr>
          <w:lang w:eastAsia="en-AU"/>
        </w:rPr>
        <w:t>four</w:t>
      </w:r>
      <w:r w:rsidRPr="00EE4FA5">
        <w:rPr>
          <w:lang w:eastAsia="en-AU"/>
        </w:rPr>
        <w:t xml:space="preserve"> conditions</w:t>
      </w:r>
      <w:r w:rsidRPr="0054775B">
        <w:rPr>
          <w:lang w:eastAsia="en-AU"/>
        </w:rPr>
        <w:t>:</w:t>
      </w:r>
    </w:p>
    <w:p w14:paraId="7341F4EB" w14:textId="3B7939EB" w:rsidR="00B17EAB" w:rsidRDefault="00B17EAB" w:rsidP="00107BEE">
      <w:pPr>
        <w:pStyle w:val="ListParagraph"/>
        <w:numPr>
          <w:ilvl w:val="0"/>
          <w:numId w:val="21"/>
        </w:numPr>
        <w:ind w:left="426"/>
        <w:rPr>
          <w:lang w:eastAsia="en-AU"/>
        </w:rPr>
      </w:pPr>
      <w:r>
        <w:rPr>
          <w:lang w:eastAsia="en-AU"/>
        </w:rPr>
        <w:t>Magnesium</w:t>
      </w:r>
      <w:r w:rsidRPr="0054775B">
        <w:rPr>
          <w:lang w:eastAsia="en-AU"/>
        </w:rPr>
        <w:t xml:space="preserve"> </w:t>
      </w:r>
      <w:r>
        <w:rPr>
          <w:lang w:eastAsia="en-AU"/>
        </w:rPr>
        <w:t xml:space="preserve">+ a naturopathy co-intervention may </w:t>
      </w:r>
      <w:r w:rsidRPr="0054775B">
        <w:rPr>
          <w:lang w:eastAsia="en-AU"/>
        </w:rPr>
        <w:t>improve anxiety-related emotional functioning/mental health burden</w:t>
      </w:r>
      <w:r w:rsidR="00050027" w:rsidRPr="00050027">
        <w:rPr>
          <w:lang w:eastAsia="en-AU"/>
        </w:rPr>
        <w:t xml:space="preserve"> </w:t>
      </w:r>
      <w:r w:rsidR="00050027">
        <w:rPr>
          <w:lang w:eastAsia="en-AU"/>
        </w:rPr>
        <w:t>in people with anxiety</w:t>
      </w:r>
      <w:r>
        <w:rPr>
          <w:lang w:eastAsia="en-AU"/>
        </w:rPr>
        <w:t>.</w:t>
      </w:r>
    </w:p>
    <w:p w14:paraId="3516EACD" w14:textId="70E8E8A5" w:rsidR="00A70DA1" w:rsidRDefault="00B17EAB" w:rsidP="00107BEE">
      <w:pPr>
        <w:pStyle w:val="ListParagraph"/>
        <w:numPr>
          <w:ilvl w:val="0"/>
          <w:numId w:val="21"/>
        </w:numPr>
        <w:ind w:left="426"/>
        <w:rPr>
          <w:lang w:eastAsia="en-AU"/>
        </w:rPr>
      </w:pPr>
      <w:r w:rsidRPr="0054775B">
        <w:rPr>
          <w:lang w:eastAsia="en-AU"/>
        </w:rPr>
        <w:t xml:space="preserve">Probiotics </w:t>
      </w:r>
      <w:r>
        <w:rPr>
          <w:lang w:eastAsia="en-AU"/>
        </w:rPr>
        <w:t>may improve stool consistency</w:t>
      </w:r>
      <w:r w:rsidR="00344EB9">
        <w:rPr>
          <w:lang w:eastAsia="en-AU"/>
        </w:rPr>
        <w:t xml:space="preserve"> </w:t>
      </w:r>
      <w:r w:rsidR="001214C9">
        <w:rPr>
          <w:lang w:eastAsia="en-AU"/>
        </w:rPr>
        <w:t>and health-related quality of life</w:t>
      </w:r>
      <w:r>
        <w:rPr>
          <w:lang w:eastAsia="en-AU"/>
        </w:rPr>
        <w:t xml:space="preserve">, and slightly </w:t>
      </w:r>
      <w:r w:rsidRPr="0054775B">
        <w:rPr>
          <w:lang w:eastAsia="en-AU"/>
        </w:rPr>
        <w:t xml:space="preserve">improve </w:t>
      </w:r>
      <w:r>
        <w:rPr>
          <w:lang w:eastAsia="en-AU"/>
        </w:rPr>
        <w:t>abdominal pain</w:t>
      </w:r>
      <w:r w:rsidR="00C169D2">
        <w:t xml:space="preserve"> </w:t>
      </w:r>
      <w:r>
        <w:rPr>
          <w:lang w:eastAsia="en-AU"/>
        </w:rPr>
        <w:t>and stool frequency</w:t>
      </w:r>
      <w:r w:rsidR="00050027" w:rsidRPr="00050027">
        <w:rPr>
          <w:lang w:eastAsia="en-AU"/>
        </w:rPr>
        <w:t xml:space="preserve"> </w:t>
      </w:r>
      <w:r w:rsidR="00050027">
        <w:rPr>
          <w:lang w:eastAsia="en-AU"/>
        </w:rPr>
        <w:t>in people with</w:t>
      </w:r>
      <w:r w:rsidR="00050027" w:rsidRPr="0054775B">
        <w:rPr>
          <w:lang w:eastAsia="en-AU"/>
        </w:rPr>
        <w:t xml:space="preserve"> </w:t>
      </w:r>
      <w:r w:rsidR="00050027">
        <w:rPr>
          <w:lang w:eastAsia="en-AU"/>
        </w:rPr>
        <w:t>IBS</w:t>
      </w:r>
      <w:r>
        <w:rPr>
          <w:lang w:eastAsia="en-AU"/>
        </w:rPr>
        <w:t>.</w:t>
      </w:r>
    </w:p>
    <w:p w14:paraId="5BA71739" w14:textId="592B6307" w:rsidR="00B17EAB" w:rsidRDefault="00B17EAB" w:rsidP="00107BEE">
      <w:pPr>
        <w:pStyle w:val="ListParagraph"/>
        <w:numPr>
          <w:ilvl w:val="0"/>
          <w:numId w:val="21"/>
        </w:numPr>
        <w:ind w:left="426"/>
        <w:rPr>
          <w:lang w:eastAsia="en-AU"/>
        </w:rPr>
      </w:pPr>
      <w:r>
        <w:rPr>
          <w:lang w:eastAsia="en-AU"/>
        </w:rPr>
        <w:t>Magnesium may reduce headache pain frequency</w:t>
      </w:r>
      <w:r w:rsidR="00A70DA1">
        <w:rPr>
          <w:lang w:eastAsia="en-AU"/>
        </w:rPr>
        <w:t xml:space="preserve"> </w:t>
      </w:r>
      <w:r>
        <w:rPr>
          <w:lang w:eastAsia="en-AU"/>
        </w:rPr>
        <w:t>and the number of days with migraine</w:t>
      </w:r>
      <w:r w:rsidR="00341C8F" w:rsidRPr="00341C8F">
        <w:rPr>
          <w:lang w:eastAsia="en-AU"/>
        </w:rPr>
        <w:t xml:space="preserve"> </w:t>
      </w:r>
      <w:r w:rsidR="00050027">
        <w:rPr>
          <w:lang w:eastAsia="en-AU"/>
        </w:rPr>
        <w:t>in</w:t>
      </w:r>
      <w:r w:rsidR="00341C8F">
        <w:rPr>
          <w:lang w:eastAsia="en-AU"/>
        </w:rPr>
        <w:t xml:space="preserve"> people with headache and migraine</w:t>
      </w:r>
      <w:r>
        <w:rPr>
          <w:lang w:eastAsia="en-AU"/>
        </w:rPr>
        <w:t>.</w:t>
      </w:r>
    </w:p>
    <w:p w14:paraId="3432C9F6" w14:textId="6C1E357E" w:rsidR="00B17EAB" w:rsidRDefault="00B17EAB" w:rsidP="00107BEE">
      <w:pPr>
        <w:pStyle w:val="ListParagraph"/>
        <w:numPr>
          <w:ilvl w:val="0"/>
          <w:numId w:val="21"/>
        </w:numPr>
        <w:ind w:left="426"/>
        <w:rPr>
          <w:lang w:eastAsia="en-AU"/>
        </w:rPr>
      </w:pPr>
      <w:r>
        <w:t xml:space="preserve">Omega-3 </w:t>
      </w:r>
      <w:r w:rsidR="00E74196">
        <w:t xml:space="preserve">fatty acids </w:t>
      </w:r>
      <w:r>
        <w:t>may slightly improve systolic blood pressure</w:t>
      </w:r>
      <w:r w:rsidR="00341C8F" w:rsidRPr="00341C8F">
        <w:t xml:space="preserve"> </w:t>
      </w:r>
      <w:r w:rsidR="00050027">
        <w:t>in</w:t>
      </w:r>
      <w:r w:rsidR="00341C8F">
        <w:t xml:space="preserve"> people with hypertension</w:t>
      </w:r>
      <w:r>
        <w:t>.</w:t>
      </w:r>
    </w:p>
    <w:p w14:paraId="0B77BAFF" w14:textId="77777777" w:rsidR="00297442" w:rsidRPr="0054775B" w:rsidRDefault="00297442" w:rsidP="00297442">
      <w:pPr>
        <w:rPr>
          <w:lang w:eastAsia="en-AU"/>
        </w:rPr>
      </w:pPr>
      <w:r w:rsidRPr="0054775B">
        <w:rPr>
          <w:lang w:eastAsia="en-AU"/>
        </w:rPr>
        <w:t xml:space="preserve">There was </w:t>
      </w:r>
      <w:r w:rsidRPr="00253756">
        <w:rPr>
          <w:b/>
          <w:bCs/>
          <w:lang w:eastAsia="en-AU"/>
        </w:rPr>
        <w:t xml:space="preserve">moderate certainty </w:t>
      </w:r>
      <w:r w:rsidRPr="004A5FBB">
        <w:rPr>
          <w:lang w:eastAsia="en-AU"/>
        </w:rPr>
        <w:t>evidence</w:t>
      </w:r>
      <w:r w:rsidRPr="0054775B">
        <w:rPr>
          <w:lang w:eastAsia="en-AU"/>
        </w:rPr>
        <w:t xml:space="preserve"> that nutritional supplements </w:t>
      </w:r>
      <w:r w:rsidRPr="004A5FBB">
        <w:rPr>
          <w:lang w:eastAsia="en-AU"/>
        </w:rPr>
        <w:t>probably result in</w:t>
      </w:r>
      <w:r>
        <w:rPr>
          <w:b/>
          <w:bCs/>
          <w:lang w:eastAsia="en-AU"/>
        </w:rPr>
        <w:t xml:space="preserve"> little to no difference</w:t>
      </w:r>
      <w:r w:rsidRPr="0054775B">
        <w:rPr>
          <w:lang w:eastAsia="en-AU"/>
        </w:rPr>
        <w:t xml:space="preserve"> </w:t>
      </w:r>
      <w:r>
        <w:rPr>
          <w:lang w:eastAsia="en-AU"/>
        </w:rPr>
        <w:t xml:space="preserve">for </w:t>
      </w:r>
      <w:r w:rsidRPr="0054775B">
        <w:rPr>
          <w:lang w:eastAsia="en-AU"/>
        </w:rPr>
        <w:t xml:space="preserve">some key health outcomes </w:t>
      </w:r>
      <w:r>
        <w:rPr>
          <w:lang w:eastAsia="en-AU"/>
        </w:rPr>
        <w:t>for people with and at-risk of two</w:t>
      </w:r>
      <w:r w:rsidRPr="0054775B">
        <w:rPr>
          <w:lang w:eastAsia="en-AU"/>
        </w:rPr>
        <w:t xml:space="preserve"> </w:t>
      </w:r>
      <w:r w:rsidRPr="0019617D">
        <w:rPr>
          <w:lang w:eastAsia="en-AU"/>
        </w:rPr>
        <w:t>conditions</w:t>
      </w:r>
      <w:r w:rsidRPr="0054775B">
        <w:rPr>
          <w:lang w:eastAsia="en-AU"/>
        </w:rPr>
        <w:t>:</w:t>
      </w:r>
    </w:p>
    <w:p w14:paraId="507E679B" w14:textId="07280706" w:rsidR="00D03671" w:rsidRDefault="00D03671" w:rsidP="00107BEE">
      <w:pPr>
        <w:pStyle w:val="ListParagraph"/>
        <w:numPr>
          <w:ilvl w:val="0"/>
          <w:numId w:val="21"/>
        </w:numPr>
        <w:ind w:left="426"/>
        <w:rPr>
          <w:lang w:eastAsia="en-AU"/>
        </w:rPr>
      </w:pPr>
      <w:r>
        <w:t xml:space="preserve">Omega-3 </w:t>
      </w:r>
      <w:r w:rsidR="00E74196">
        <w:t xml:space="preserve">fatty acids </w:t>
      </w:r>
      <w:r>
        <w:t>probably ha</w:t>
      </w:r>
      <w:r w:rsidR="00370B0E">
        <w:t>v</w:t>
      </w:r>
      <w:r w:rsidR="00A905BD">
        <w:t>e</w:t>
      </w:r>
      <w:r>
        <w:t xml:space="preserve"> little to no effect on </w:t>
      </w:r>
      <w:r w:rsidRPr="00471A63">
        <w:t xml:space="preserve">depression-related emotional functioning/mental health burden </w:t>
      </w:r>
      <w:r>
        <w:t>in</w:t>
      </w:r>
      <w:r w:rsidRPr="00471A63">
        <w:t xml:space="preserve"> people a</w:t>
      </w:r>
      <w:r>
        <w:t>t-</w:t>
      </w:r>
      <w:r w:rsidRPr="00471A63">
        <w:t xml:space="preserve">risk of </w:t>
      </w:r>
      <w:r>
        <w:t xml:space="preserve">perinatal </w:t>
      </w:r>
      <w:r w:rsidRPr="00471A63">
        <w:t>depression</w:t>
      </w:r>
      <w:r>
        <w:t>.</w:t>
      </w:r>
    </w:p>
    <w:p w14:paraId="0B4D724D" w14:textId="039E10C0" w:rsidR="00297442" w:rsidRDefault="00297442" w:rsidP="00107BEE">
      <w:pPr>
        <w:pStyle w:val="ListParagraph"/>
        <w:numPr>
          <w:ilvl w:val="0"/>
          <w:numId w:val="21"/>
        </w:numPr>
        <w:ind w:left="426"/>
        <w:rPr>
          <w:lang w:eastAsia="en-AU"/>
        </w:rPr>
      </w:pPr>
      <w:r w:rsidRPr="0054775B">
        <w:rPr>
          <w:lang w:eastAsia="en-AU"/>
        </w:rPr>
        <w:t xml:space="preserve">Antioxidants (specifically CoQ10 and </w:t>
      </w:r>
      <w:r>
        <w:rPr>
          <w:lang w:eastAsia="en-AU"/>
        </w:rPr>
        <w:t>ALA</w:t>
      </w:r>
      <w:r w:rsidRPr="0054775B">
        <w:rPr>
          <w:lang w:eastAsia="en-AU"/>
        </w:rPr>
        <w:t xml:space="preserve">) probably </w:t>
      </w:r>
      <w:r>
        <w:rPr>
          <w:lang w:eastAsia="en-AU"/>
        </w:rPr>
        <w:t>have little to no effect on</w:t>
      </w:r>
      <w:r w:rsidRPr="0054775B">
        <w:rPr>
          <w:lang w:eastAsia="en-AU"/>
        </w:rPr>
        <w:t xml:space="preserve"> </w:t>
      </w:r>
      <w:r>
        <w:rPr>
          <w:lang w:eastAsia="en-AU"/>
        </w:rPr>
        <w:t>fasting blood glucose</w:t>
      </w:r>
      <w:r w:rsidR="00D03671">
        <w:t xml:space="preserve"> </w:t>
      </w:r>
      <w:r>
        <w:rPr>
          <w:lang w:eastAsia="en-AU"/>
        </w:rPr>
        <w:t>and Hb1AC levels (glycaemic control), or diastolic blood pressure</w:t>
      </w:r>
      <w:r w:rsidR="003E38E7">
        <w:t xml:space="preserve"> </w:t>
      </w:r>
      <w:r>
        <w:rPr>
          <w:lang w:eastAsia="en-AU"/>
        </w:rPr>
        <w:t>in people with Type II Diabetes.</w:t>
      </w:r>
    </w:p>
    <w:p w14:paraId="1B7ABD8F" w14:textId="77FB0D91" w:rsidR="00B17EAB" w:rsidRPr="0054775B" w:rsidRDefault="00B17EAB" w:rsidP="00B17EAB">
      <w:pPr>
        <w:rPr>
          <w:lang w:eastAsia="en-AU"/>
        </w:rPr>
      </w:pPr>
      <w:r w:rsidRPr="0054775B">
        <w:rPr>
          <w:lang w:eastAsia="en-AU"/>
        </w:rPr>
        <w:t xml:space="preserve">There was </w:t>
      </w:r>
      <w:r>
        <w:rPr>
          <w:b/>
          <w:bCs/>
          <w:lang w:eastAsia="en-AU"/>
        </w:rPr>
        <w:t>low</w:t>
      </w:r>
      <w:r w:rsidRPr="00253756">
        <w:rPr>
          <w:b/>
          <w:bCs/>
          <w:lang w:eastAsia="en-AU"/>
        </w:rPr>
        <w:t xml:space="preserve"> certainty </w:t>
      </w:r>
      <w:r w:rsidRPr="004A5FBB">
        <w:rPr>
          <w:lang w:eastAsia="en-AU"/>
        </w:rPr>
        <w:t>evidence</w:t>
      </w:r>
      <w:r w:rsidRPr="0054775B">
        <w:rPr>
          <w:lang w:eastAsia="en-AU"/>
        </w:rPr>
        <w:t xml:space="preserve"> that nutritional supplements </w:t>
      </w:r>
      <w:r w:rsidRPr="004A5FBB">
        <w:rPr>
          <w:lang w:eastAsia="en-AU"/>
        </w:rPr>
        <w:t>probably result in</w:t>
      </w:r>
      <w:r>
        <w:rPr>
          <w:b/>
          <w:bCs/>
          <w:lang w:eastAsia="en-AU"/>
        </w:rPr>
        <w:t xml:space="preserve"> little to no difference</w:t>
      </w:r>
      <w:r w:rsidRPr="0054775B">
        <w:rPr>
          <w:lang w:eastAsia="en-AU"/>
        </w:rPr>
        <w:t xml:space="preserve"> </w:t>
      </w:r>
      <w:r>
        <w:rPr>
          <w:lang w:eastAsia="en-AU"/>
        </w:rPr>
        <w:t xml:space="preserve">for </w:t>
      </w:r>
      <w:r w:rsidRPr="0054775B">
        <w:rPr>
          <w:lang w:eastAsia="en-AU"/>
        </w:rPr>
        <w:t xml:space="preserve">some key health outcomes </w:t>
      </w:r>
      <w:r>
        <w:rPr>
          <w:lang w:eastAsia="en-AU"/>
        </w:rPr>
        <w:t xml:space="preserve">for people </w:t>
      </w:r>
      <w:r w:rsidRPr="00EE4FA5">
        <w:rPr>
          <w:lang w:eastAsia="en-AU"/>
        </w:rPr>
        <w:t xml:space="preserve">with and at-risk of </w:t>
      </w:r>
      <w:r w:rsidRPr="004A5FBB">
        <w:rPr>
          <w:lang w:eastAsia="en-AU"/>
        </w:rPr>
        <w:t>four</w:t>
      </w:r>
      <w:r w:rsidRPr="00EE4FA5">
        <w:rPr>
          <w:lang w:eastAsia="en-AU"/>
        </w:rPr>
        <w:t xml:space="preserve"> conditions</w:t>
      </w:r>
      <w:r w:rsidRPr="0054775B">
        <w:rPr>
          <w:lang w:eastAsia="en-AU"/>
        </w:rPr>
        <w:t>:</w:t>
      </w:r>
    </w:p>
    <w:p w14:paraId="3BA3E585" w14:textId="280C96BA" w:rsidR="00B17EAB" w:rsidRDefault="00B17EAB" w:rsidP="00A03CD2">
      <w:pPr>
        <w:pStyle w:val="ListParagraph"/>
        <w:numPr>
          <w:ilvl w:val="0"/>
          <w:numId w:val="21"/>
        </w:numPr>
        <w:ind w:left="426"/>
        <w:rPr>
          <w:lang w:eastAsia="en-AU"/>
        </w:rPr>
      </w:pPr>
      <w:r>
        <w:t xml:space="preserve">Omega-3 </w:t>
      </w:r>
      <w:r w:rsidR="00E74196">
        <w:t xml:space="preserve">fatty acids </w:t>
      </w:r>
      <w:r w:rsidR="00297442">
        <w:t xml:space="preserve">may </w:t>
      </w:r>
      <w:r>
        <w:t>ha</w:t>
      </w:r>
      <w:r w:rsidR="00E30252">
        <w:t>ve</w:t>
      </w:r>
      <w:r>
        <w:t xml:space="preserve"> little to no effect on </w:t>
      </w:r>
      <w:r>
        <w:rPr>
          <w:lang w:eastAsia="en-AU"/>
        </w:rPr>
        <w:t>the number of people with response (50% improvement)</w:t>
      </w:r>
      <w:r w:rsidR="00C27B0D">
        <w:rPr>
          <w:lang w:eastAsia="en-AU"/>
        </w:rPr>
        <w:t xml:space="preserve"> </w:t>
      </w:r>
      <w:r>
        <w:rPr>
          <w:lang w:eastAsia="en-AU"/>
        </w:rPr>
        <w:t>or remission (no or low depression)</w:t>
      </w:r>
      <w:r w:rsidR="00556D62">
        <w:rPr>
          <w:lang w:eastAsia="en-AU"/>
        </w:rPr>
        <w:t xml:space="preserve"> </w:t>
      </w:r>
      <w:r w:rsidR="00297442">
        <w:rPr>
          <w:lang w:eastAsia="en-AU"/>
        </w:rPr>
        <w:t>i</w:t>
      </w:r>
      <w:r w:rsidR="00297442">
        <w:t xml:space="preserve">n people </w:t>
      </w:r>
      <w:r w:rsidR="00297442">
        <w:rPr>
          <w:lang w:eastAsia="en-AU"/>
        </w:rPr>
        <w:t>with</w:t>
      </w:r>
      <w:r w:rsidR="00297442">
        <w:t xml:space="preserve"> depression.</w:t>
      </w:r>
    </w:p>
    <w:p w14:paraId="19A8F44A" w14:textId="27F4411F" w:rsidR="00B17EAB" w:rsidRDefault="00B17EAB" w:rsidP="00107BEE">
      <w:pPr>
        <w:pStyle w:val="ListParagraph"/>
        <w:numPr>
          <w:ilvl w:val="0"/>
          <w:numId w:val="21"/>
        </w:numPr>
        <w:ind w:left="426"/>
        <w:rPr>
          <w:lang w:eastAsia="en-AU"/>
        </w:rPr>
      </w:pPr>
      <w:r>
        <w:t xml:space="preserve">Omega-3 </w:t>
      </w:r>
      <w:r w:rsidR="00E74196">
        <w:t xml:space="preserve">fatty acids </w:t>
      </w:r>
      <w:r>
        <w:t>may have little to no effect on diastolic blood pressure</w:t>
      </w:r>
      <w:r w:rsidR="00297442" w:rsidRPr="00297442">
        <w:t xml:space="preserve"> </w:t>
      </w:r>
      <w:r w:rsidR="00297442">
        <w:t>in people with hypertension</w:t>
      </w:r>
      <w:r>
        <w:t>.</w:t>
      </w:r>
    </w:p>
    <w:p w14:paraId="1FE46F95" w14:textId="1EC391A0" w:rsidR="008A366D" w:rsidRPr="0054775B" w:rsidRDefault="008A366D" w:rsidP="008A366D">
      <w:r w:rsidRPr="0054775B">
        <w:lastRenderedPageBreak/>
        <w:t>The overview found only very low certainty evidence for</w:t>
      </w:r>
      <w:r w:rsidR="000A52F6">
        <w:t xml:space="preserve"> the following pairings</w:t>
      </w:r>
      <w:r>
        <w:t xml:space="preserve">: </w:t>
      </w:r>
      <w:r w:rsidR="00B93AD5">
        <w:t xml:space="preserve">magnesium </w:t>
      </w:r>
      <w:r w:rsidR="00433FAE">
        <w:t>(alone)</w:t>
      </w:r>
      <w:r w:rsidR="00B93AD5">
        <w:t xml:space="preserve"> for anxiety, </w:t>
      </w:r>
      <w:r>
        <w:t xml:space="preserve">magnesium for </w:t>
      </w:r>
      <w:r w:rsidRPr="0054775B">
        <w:t>insomnia</w:t>
      </w:r>
      <w:r w:rsidRPr="0054775B">
        <w:rPr>
          <w:lang w:eastAsia="en-AU"/>
        </w:rPr>
        <w:t xml:space="preserve">/sleeping disorders, </w:t>
      </w:r>
      <w:r>
        <w:rPr>
          <w:lang w:eastAsia="en-AU"/>
        </w:rPr>
        <w:t xml:space="preserve">zinc for </w:t>
      </w:r>
      <w:r w:rsidRPr="0054775B">
        <w:rPr>
          <w:lang w:eastAsia="en-AU"/>
        </w:rPr>
        <w:t xml:space="preserve">atopic disorders, </w:t>
      </w:r>
      <w:r>
        <w:t xml:space="preserve">magnesium for </w:t>
      </w:r>
      <w:r w:rsidRPr="0054775B">
        <w:rPr>
          <w:lang w:eastAsia="en-AU"/>
        </w:rPr>
        <w:t xml:space="preserve">fibromyalgia, and for some priority outcomes within the conditions listed above.  </w:t>
      </w:r>
    </w:p>
    <w:p w14:paraId="19995B95" w14:textId="0456C30A" w:rsidR="008A366D" w:rsidRPr="0054775B" w:rsidRDefault="008A366D" w:rsidP="008A366D">
      <w:pPr>
        <w:rPr>
          <w:lang w:eastAsia="en-AU"/>
        </w:rPr>
      </w:pPr>
      <w:r w:rsidRPr="0054775B">
        <w:t>No relevant reviews were identified for</w:t>
      </w:r>
      <w:r>
        <w:t>: magnesium for s</w:t>
      </w:r>
      <w:r w:rsidRPr="0054775B">
        <w:t>tress (</w:t>
      </w:r>
      <w:r w:rsidRPr="0054775B">
        <w:rPr>
          <w:lang w:eastAsia="en-AU"/>
        </w:rPr>
        <w:t>perceived</w:t>
      </w:r>
      <w:r w:rsidRPr="0054775B">
        <w:t>, occupational)</w:t>
      </w:r>
      <w:r>
        <w:t xml:space="preserve">, </w:t>
      </w:r>
      <w:r w:rsidRPr="0054775B">
        <w:t>cruciferous indoles</w:t>
      </w:r>
      <w:r>
        <w:t xml:space="preserve"> for d</w:t>
      </w:r>
      <w:r w:rsidRPr="0054775B">
        <w:t>ysmenorrhea</w:t>
      </w:r>
      <w:r>
        <w:t xml:space="preserve">, </w:t>
      </w:r>
      <w:r w:rsidRPr="0054775B">
        <w:t>cruciferous indoles</w:t>
      </w:r>
      <w:r>
        <w:t xml:space="preserve"> for p</w:t>
      </w:r>
      <w:r w:rsidRPr="0054775B">
        <w:t>remenstrual syndrome (PMS)</w:t>
      </w:r>
      <w:r>
        <w:t>, and magnesium for a</w:t>
      </w:r>
      <w:r w:rsidRPr="0054775B">
        <w:t>rthritis/osteoarthritis.</w:t>
      </w:r>
    </w:p>
    <w:p w14:paraId="7E53AC90" w14:textId="2913C1D2" w:rsidR="00A66F22" w:rsidRPr="0054775B" w:rsidRDefault="008B2A85" w:rsidP="008B2A85">
      <w:pPr>
        <w:pStyle w:val="BodyText"/>
        <w:rPr>
          <w:rFonts w:ascii="Aptos" w:hAnsi="Aptos"/>
        </w:rPr>
      </w:pPr>
      <w:r w:rsidRPr="0054775B">
        <w:rPr>
          <w:rFonts w:ascii="Aptos" w:hAnsi="Aptos"/>
        </w:rPr>
        <w:t xml:space="preserve">A summary of harms of </w:t>
      </w:r>
      <w:r w:rsidR="001B6937">
        <w:rPr>
          <w:rFonts w:ascii="Aptos" w:hAnsi="Aptos"/>
        </w:rPr>
        <w:t xml:space="preserve">supplements used in </w:t>
      </w:r>
      <w:r w:rsidRPr="0054775B">
        <w:rPr>
          <w:rFonts w:ascii="Aptos" w:hAnsi="Aptos"/>
        </w:rPr>
        <w:t>naturopathy is not possible, as it was out of scope of this review to assess adverse outcomes related to the practice of naturopathy.</w:t>
      </w:r>
    </w:p>
    <w:p w14:paraId="68B1F487" w14:textId="77777777" w:rsidR="00A24D67" w:rsidRPr="0054775B" w:rsidRDefault="00A24D67" w:rsidP="009E6F7F">
      <w:pPr>
        <w:pStyle w:val="2024SMALLTITLENONUMBER"/>
      </w:pPr>
      <w:r w:rsidRPr="0054775B">
        <w:t>Limitations</w:t>
      </w:r>
      <w:bookmarkEnd w:id="17"/>
    </w:p>
    <w:p w14:paraId="03B874D1" w14:textId="465B53C4" w:rsidR="00173B2F" w:rsidRPr="006816F2" w:rsidRDefault="00173B2F" w:rsidP="006816F2">
      <w:pPr>
        <w:rPr>
          <w:lang w:eastAsia="en-AU"/>
        </w:rPr>
      </w:pPr>
      <w:bookmarkStart w:id="18" w:name="_Toc111119259"/>
      <w:r w:rsidRPr="006816F2">
        <w:rPr>
          <w:lang w:eastAsia="en-AU"/>
        </w:rPr>
        <w:t>NTWC considered that the available evidence for naturopathy as a whole-system treatment is likely limited and sought two companion reviews to accompany the totality of the evidence for naturopathy for Government decision</w:t>
      </w:r>
      <w:r w:rsidR="00473744">
        <w:rPr>
          <w:lang w:eastAsia="en-AU"/>
        </w:rPr>
        <w:t>-</w:t>
      </w:r>
      <w:r w:rsidRPr="006816F2">
        <w:rPr>
          <w:lang w:eastAsia="en-AU"/>
        </w:rPr>
        <w:t xml:space="preserve">making. This </w:t>
      </w:r>
      <w:r w:rsidR="005A5BAA">
        <w:rPr>
          <w:lang w:eastAsia="en-AU"/>
        </w:rPr>
        <w:t xml:space="preserve">overview </w:t>
      </w:r>
      <w:r w:rsidRPr="006816F2">
        <w:rPr>
          <w:lang w:eastAsia="en-AU"/>
        </w:rPr>
        <w:t xml:space="preserve">is the companion review on clinical effectiveness of certain nutritional supplements commonly utilised in naturopathic practice. </w:t>
      </w:r>
    </w:p>
    <w:p w14:paraId="696A5CC5" w14:textId="66F3F287" w:rsidR="00544A8B" w:rsidRPr="0054775B" w:rsidRDefault="00E860C9" w:rsidP="009F7C46">
      <w:pPr>
        <w:rPr>
          <w:lang w:eastAsia="en-AU"/>
        </w:rPr>
      </w:pPr>
      <w:r w:rsidRPr="0054775B">
        <w:rPr>
          <w:lang w:eastAsia="en-AU"/>
        </w:rPr>
        <w:t xml:space="preserve">This overview is limited to the analysis of </w:t>
      </w:r>
      <w:r w:rsidR="00544A8B" w:rsidRPr="0054775B">
        <w:rPr>
          <w:lang w:eastAsia="en-AU"/>
        </w:rPr>
        <w:t xml:space="preserve">the 15 </w:t>
      </w:r>
      <w:r w:rsidR="0058307C" w:rsidRPr="0054775B">
        <w:rPr>
          <w:lang w:eastAsia="en-AU"/>
        </w:rPr>
        <w:t>population-</w:t>
      </w:r>
      <w:r w:rsidR="003E488D">
        <w:rPr>
          <w:lang w:eastAsia="en-AU"/>
        </w:rPr>
        <w:t>supplement pair</w:t>
      </w:r>
      <w:r w:rsidR="0058307C" w:rsidRPr="0054775B">
        <w:rPr>
          <w:lang w:eastAsia="en-AU"/>
        </w:rPr>
        <w:t>s</w:t>
      </w:r>
      <w:r w:rsidR="00544A8B" w:rsidRPr="0054775B">
        <w:rPr>
          <w:lang w:eastAsia="en-AU"/>
        </w:rPr>
        <w:t xml:space="preserve"> prioritised by NTWC</w:t>
      </w:r>
      <w:r w:rsidR="005B0DD7" w:rsidRPr="0054775B">
        <w:rPr>
          <w:lang w:eastAsia="en-AU"/>
        </w:rPr>
        <w:t xml:space="preserve"> and therefore this report may not cover all the reasons why people </w:t>
      </w:r>
      <w:r w:rsidR="00B472CE" w:rsidRPr="0054775B">
        <w:rPr>
          <w:lang w:eastAsia="en-AU"/>
        </w:rPr>
        <w:t>use</w:t>
      </w:r>
      <w:r w:rsidR="005B0DD7" w:rsidRPr="0054775B">
        <w:rPr>
          <w:lang w:eastAsia="en-AU"/>
        </w:rPr>
        <w:t xml:space="preserve"> or prescribe </w:t>
      </w:r>
      <w:r w:rsidR="00B472CE" w:rsidRPr="0054775B">
        <w:rPr>
          <w:lang w:eastAsia="en-AU"/>
        </w:rPr>
        <w:t xml:space="preserve">supplements in a </w:t>
      </w:r>
      <w:r w:rsidR="005B0DD7" w:rsidRPr="0054775B">
        <w:rPr>
          <w:lang w:eastAsia="en-AU"/>
        </w:rPr>
        <w:t>naturopath</w:t>
      </w:r>
      <w:r w:rsidR="00B472CE" w:rsidRPr="0054775B">
        <w:rPr>
          <w:lang w:eastAsia="en-AU"/>
        </w:rPr>
        <w:t>ic context</w:t>
      </w:r>
      <w:r w:rsidR="005B0DD7" w:rsidRPr="0054775B">
        <w:rPr>
          <w:lang w:eastAsia="en-AU"/>
        </w:rPr>
        <w:t xml:space="preserve">. </w:t>
      </w:r>
      <w:r w:rsidR="008A5240" w:rsidRPr="0054775B">
        <w:rPr>
          <w:lang w:eastAsia="en-AU"/>
        </w:rPr>
        <w:t xml:space="preserve">Given </w:t>
      </w:r>
      <w:r w:rsidR="00473744">
        <w:rPr>
          <w:lang w:eastAsia="en-AU"/>
        </w:rPr>
        <w:t xml:space="preserve">that </w:t>
      </w:r>
      <w:r w:rsidR="008A5240" w:rsidRPr="0054775B">
        <w:rPr>
          <w:lang w:eastAsia="en-AU"/>
        </w:rPr>
        <w:t xml:space="preserve">the aim of this </w:t>
      </w:r>
      <w:r w:rsidR="00912F03" w:rsidRPr="0054775B">
        <w:rPr>
          <w:lang w:eastAsia="en-AU"/>
        </w:rPr>
        <w:t>overview</w:t>
      </w:r>
      <w:r w:rsidR="008A5240" w:rsidRPr="0054775B">
        <w:rPr>
          <w:lang w:eastAsia="en-AU"/>
        </w:rPr>
        <w:t xml:space="preserve"> was to provide a broad summary of the </w:t>
      </w:r>
      <w:r w:rsidR="006545DF" w:rsidRPr="0054775B">
        <w:rPr>
          <w:lang w:eastAsia="en-AU"/>
        </w:rPr>
        <w:t xml:space="preserve">15 </w:t>
      </w:r>
      <w:r w:rsidR="00210DC9" w:rsidRPr="0054775B">
        <w:rPr>
          <w:lang w:eastAsia="en-AU"/>
        </w:rPr>
        <w:t>pop</w:t>
      </w:r>
      <w:r w:rsidR="006545DF" w:rsidRPr="0054775B">
        <w:rPr>
          <w:lang w:eastAsia="en-AU"/>
        </w:rPr>
        <w:t>ulation-</w:t>
      </w:r>
      <w:r w:rsidR="003E488D">
        <w:rPr>
          <w:lang w:eastAsia="en-AU"/>
        </w:rPr>
        <w:t>supplement pair</w:t>
      </w:r>
      <w:r w:rsidR="006545DF" w:rsidRPr="0054775B">
        <w:rPr>
          <w:lang w:eastAsia="en-AU"/>
        </w:rPr>
        <w:t>s</w:t>
      </w:r>
      <w:r w:rsidR="008A5240" w:rsidRPr="0054775B">
        <w:rPr>
          <w:lang w:eastAsia="en-AU"/>
        </w:rPr>
        <w:t>, results were presented exactly as they were reported in reviews. Additional analysis and assessment of risk of bias in primary studies was not conducted.</w:t>
      </w:r>
    </w:p>
    <w:p w14:paraId="3DFE8D7B" w14:textId="1A522090" w:rsidR="0085154D" w:rsidRPr="0054775B" w:rsidRDefault="005F4F59" w:rsidP="009F7C46">
      <w:pPr>
        <w:rPr>
          <w:lang w:eastAsia="en-AU"/>
        </w:rPr>
      </w:pPr>
      <w:r w:rsidRPr="0054775B">
        <w:rPr>
          <w:lang w:eastAsia="en-AU"/>
        </w:rPr>
        <w:t xml:space="preserve">The </w:t>
      </w:r>
      <w:r w:rsidR="00912F03" w:rsidRPr="0054775B">
        <w:rPr>
          <w:lang w:eastAsia="en-AU"/>
        </w:rPr>
        <w:t>overview</w:t>
      </w:r>
      <w:r w:rsidRPr="0054775B">
        <w:rPr>
          <w:lang w:eastAsia="en-AU"/>
        </w:rPr>
        <w:t xml:space="preserve"> did not find evidence for many outcomes identified as important for decision-making</w:t>
      </w:r>
      <w:r w:rsidR="009F7C46" w:rsidRPr="0054775B">
        <w:rPr>
          <w:lang w:eastAsia="en-AU"/>
        </w:rPr>
        <w:t xml:space="preserve">. </w:t>
      </w:r>
    </w:p>
    <w:p w14:paraId="5B295309" w14:textId="3B1DFBAC" w:rsidR="00A24D67" w:rsidRPr="0054775B" w:rsidRDefault="00A24D67" w:rsidP="009E6F7F">
      <w:pPr>
        <w:pStyle w:val="2024SMALLTITLENONUMBER"/>
      </w:pPr>
      <w:r w:rsidRPr="0054775B">
        <w:t>Conclusions</w:t>
      </w:r>
      <w:bookmarkEnd w:id="18"/>
    </w:p>
    <w:p w14:paraId="22D07587" w14:textId="174D8BDB" w:rsidR="00781A03" w:rsidRPr="0054775B" w:rsidRDefault="00781A03" w:rsidP="00781A03">
      <w:pPr>
        <w:rPr>
          <w:lang w:eastAsia="en-AU"/>
        </w:rPr>
      </w:pPr>
      <w:r w:rsidRPr="0054775B">
        <w:rPr>
          <w:lang w:eastAsia="en-AU"/>
        </w:rPr>
        <w:t xml:space="preserve">The evidence provides moderate to low certainty that taking nutritional supplements is more effective than not taking supplements for some </w:t>
      </w:r>
      <w:r w:rsidR="00525BA8" w:rsidRPr="0054775B">
        <w:rPr>
          <w:lang w:eastAsia="en-AU"/>
        </w:rPr>
        <w:t>population-</w:t>
      </w:r>
      <w:r w:rsidR="003E488D">
        <w:rPr>
          <w:lang w:eastAsia="en-AU"/>
        </w:rPr>
        <w:t>supplement pair</w:t>
      </w:r>
      <w:r w:rsidR="00C8118D" w:rsidRPr="0054775B">
        <w:rPr>
          <w:lang w:eastAsia="en-AU"/>
        </w:rPr>
        <w:t>s assessed</w:t>
      </w:r>
      <w:r w:rsidRPr="0054775B">
        <w:rPr>
          <w:lang w:eastAsia="en-AU"/>
        </w:rPr>
        <w:t xml:space="preserve"> in the overview. The evidence also provides moderate to low certainty that nutritional supplements have little (or no) benefit for some </w:t>
      </w:r>
      <w:r w:rsidR="00525BA8" w:rsidRPr="0054775B">
        <w:rPr>
          <w:lang w:eastAsia="en-AU"/>
        </w:rPr>
        <w:t>population-</w:t>
      </w:r>
      <w:r w:rsidR="003E488D">
        <w:rPr>
          <w:lang w:eastAsia="en-AU"/>
        </w:rPr>
        <w:t>supplement pair</w:t>
      </w:r>
      <w:r w:rsidR="00C8118D" w:rsidRPr="0054775B">
        <w:rPr>
          <w:lang w:eastAsia="en-AU"/>
        </w:rPr>
        <w:t>s</w:t>
      </w:r>
      <w:r w:rsidRPr="0054775B">
        <w:rPr>
          <w:lang w:eastAsia="en-AU"/>
        </w:rPr>
        <w:t xml:space="preserve"> assessed in this overview. There are some </w:t>
      </w:r>
      <w:r w:rsidR="00525BA8" w:rsidRPr="0054775B">
        <w:rPr>
          <w:lang w:eastAsia="en-AU"/>
        </w:rPr>
        <w:t xml:space="preserve">population-intervention </w:t>
      </w:r>
      <w:r w:rsidRPr="0054775B">
        <w:rPr>
          <w:lang w:eastAsia="en-AU"/>
        </w:rPr>
        <w:t>pairs where the effect of the supplement is unknown.</w:t>
      </w:r>
    </w:p>
    <w:p w14:paraId="115BC99E" w14:textId="4F858EA9" w:rsidR="000F4559" w:rsidRDefault="00BE56FC" w:rsidP="009E6F7F">
      <w:pPr>
        <w:rPr>
          <w:lang w:eastAsia="en-AU"/>
        </w:rPr>
      </w:pPr>
      <w:r w:rsidRPr="0054775B">
        <w:rPr>
          <w:lang w:eastAsia="en-AU"/>
        </w:rPr>
        <w:t>Given the paucity of evidence across many outcomes important for decision</w:t>
      </w:r>
      <w:r w:rsidR="00B5560E">
        <w:rPr>
          <w:lang w:eastAsia="en-AU"/>
        </w:rPr>
        <w:t>-</w:t>
      </w:r>
      <w:r w:rsidRPr="0054775B">
        <w:rPr>
          <w:lang w:eastAsia="en-AU"/>
        </w:rPr>
        <w:t xml:space="preserve">making in this </w:t>
      </w:r>
      <w:r w:rsidR="00912F03" w:rsidRPr="0054775B">
        <w:rPr>
          <w:lang w:eastAsia="en-AU"/>
        </w:rPr>
        <w:t>overview</w:t>
      </w:r>
      <w:r w:rsidRPr="0054775B">
        <w:rPr>
          <w:lang w:eastAsia="en-AU"/>
        </w:rPr>
        <w:t>, f</w:t>
      </w:r>
      <w:r w:rsidR="00483D82" w:rsidRPr="0054775B">
        <w:rPr>
          <w:lang w:eastAsia="en-AU"/>
        </w:rPr>
        <w:t xml:space="preserve">uture work </w:t>
      </w:r>
      <w:r w:rsidRPr="0054775B">
        <w:rPr>
          <w:lang w:eastAsia="en-AU"/>
        </w:rPr>
        <w:t>is needed. In addition,</w:t>
      </w:r>
      <w:r w:rsidR="00483D82" w:rsidRPr="0054775B">
        <w:rPr>
          <w:lang w:eastAsia="en-AU"/>
        </w:rPr>
        <w:t xml:space="preserve"> </w:t>
      </w:r>
      <w:r w:rsidR="00B13E4D" w:rsidRPr="0054775B">
        <w:rPr>
          <w:lang w:eastAsia="en-AU"/>
        </w:rPr>
        <w:t xml:space="preserve">reviewing </w:t>
      </w:r>
      <w:r w:rsidR="00483D82" w:rsidRPr="0054775B">
        <w:rPr>
          <w:lang w:eastAsia="en-AU"/>
        </w:rPr>
        <w:t>the most efficacious combinations of ingredients in promising interventions</w:t>
      </w:r>
      <w:r w:rsidR="00B13E4D" w:rsidRPr="0054775B">
        <w:rPr>
          <w:lang w:eastAsia="en-AU"/>
        </w:rPr>
        <w:t xml:space="preserve"> may be </w:t>
      </w:r>
      <w:r w:rsidR="004C6403" w:rsidRPr="0054775B">
        <w:rPr>
          <w:lang w:eastAsia="en-AU"/>
        </w:rPr>
        <w:t>useful</w:t>
      </w:r>
      <w:r w:rsidR="00483D82" w:rsidRPr="0054775B">
        <w:rPr>
          <w:lang w:eastAsia="en-AU"/>
        </w:rPr>
        <w:t xml:space="preserve">. </w:t>
      </w:r>
    </w:p>
    <w:p w14:paraId="3CAA6328" w14:textId="77777777" w:rsidR="000F4559" w:rsidRDefault="000F4559">
      <w:pPr>
        <w:spacing w:before="0" w:after="160" w:line="259" w:lineRule="auto"/>
        <w:rPr>
          <w:lang w:eastAsia="en-AU"/>
        </w:rPr>
      </w:pPr>
      <w:r>
        <w:rPr>
          <w:lang w:eastAsia="en-AU"/>
        </w:rPr>
        <w:br w:type="page"/>
      </w:r>
    </w:p>
    <w:bookmarkStart w:id="19" w:name="_Toc179379603" w:displacedByCustomXml="next"/>
    <w:sdt>
      <w:sdtPr>
        <w:rPr>
          <w:b w:val="0"/>
          <w:bCs w:val="0"/>
          <w:color w:val="auto"/>
          <w:sz w:val="21"/>
          <w:szCs w:val="21"/>
        </w:rPr>
        <w:id w:val="649329509"/>
        <w:docPartObj>
          <w:docPartGallery w:val="Table of Contents"/>
          <w:docPartUnique/>
        </w:docPartObj>
      </w:sdtPr>
      <w:sdtEndPr>
        <w:rPr>
          <w:noProof/>
          <w:sz w:val="22"/>
          <w:szCs w:val="22"/>
        </w:rPr>
      </w:sdtEndPr>
      <w:sdtContent>
        <w:p w14:paraId="022852EF" w14:textId="259B602D" w:rsidR="00A24D67" w:rsidRPr="0054775B" w:rsidRDefault="00A24D67" w:rsidP="00A81E6A">
          <w:pPr>
            <w:pStyle w:val="2024HEADER1"/>
            <w:numPr>
              <w:ilvl w:val="0"/>
              <w:numId w:val="0"/>
            </w:numPr>
            <w:ind w:left="851" w:hanging="851"/>
          </w:pPr>
          <w:r w:rsidRPr="0054775B">
            <w:t>Contents</w:t>
          </w:r>
          <w:bookmarkEnd w:id="19"/>
        </w:p>
        <w:p w14:paraId="63F05257" w14:textId="0EA8D4FB" w:rsidR="00BE77DA" w:rsidRDefault="00A24D67">
          <w:pPr>
            <w:pStyle w:val="TOC1"/>
            <w:rPr>
              <w:rFonts w:asciiTheme="minorHAnsi" w:eastAsiaTheme="minorEastAsia" w:hAnsiTheme="minorHAnsi" w:cstheme="minorBidi"/>
              <w:noProof/>
              <w:kern w:val="2"/>
              <w:sz w:val="24"/>
              <w:szCs w:val="24"/>
              <w:lang w:eastAsia="en-AU"/>
              <w14:ligatures w14:val="standardContextual"/>
            </w:rPr>
          </w:pPr>
          <w:r w:rsidRPr="0054775B">
            <w:fldChar w:fldCharType="begin"/>
          </w:r>
          <w:r w:rsidRPr="0054775B">
            <w:instrText xml:space="preserve"> TOC \o "1-2" \h \z \u </w:instrText>
          </w:r>
          <w:r w:rsidRPr="0054775B">
            <w:fldChar w:fldCharType="separate"/>
          </w:r>
          <w:hyperlink w:anchor="_Toc179379601" w:history="1">
            <w:r w:rsidR="00BE77DA" w:rsidRPr="00C97F5D">
              <w:rPr>
                <w:rStyle w:val="Hyperlink"/>
                <w:noProof/>
              </w:rPr>
              <w:t>Plain language summary</w:t>
            </w:r>
            <w:r w:rsidR="00BE77DA">
              <w:rPr>
                <w:noProof/>
                <w:webHidden/>
              </w:rPr>
              <w:tab/>
            </w:r>
            <w:r w:rsidR="00BE77DA">
              <w:rPr>
                <w:noProof/>
                <w:webHidden/>
              </w:rPr>
              <w:fldChar w:fldCharType="begin"/>
            </w:r>
            <w:r w:rsidR="00BE77DA">
              <w:rPr>
                <w:noProof/>
                <w:webHidden/>
              </w:rPr>
              <w:instrText xml:space="preserve"> PAGEREF _Toc179379601 \h </w:instrText>
            </w:r>
            <w:r w:rsidR="00BE77DA">
              <w:rPr>
                <w:noProof/>
                <w:webHidden/>
              </w:rPr>
            </w:r>
            <w:r w:rsidR="00BE77DA">
              <w:rPr>
                <w:noProof/>
                <w:webHidden/>
              </w:rPr>
              <w:fldChar w:fldCharType="separate"/>
            </w:r>
            <w:r w:rsidR="00A82DE5">
              <w:rPr>
                <w:noProof/>
                <w:webHidden/>
              </w:rPr>
              <w:t>4</w:t>
            </w:r>
            <w:r w:rsidR="00BE77DA">
              <w:rPr>
                <w:noProof/>
                <w:webHidden/>
              </w:rPr>
              <w:fldChar w:fldCharType="end"/>
            </w:r>
          </w:hyperlink>
        </w:p>
        <w:p w14:paraId="1593C008" w14:textId="5A09715A" w:rsidR="00BE77DA" w:rsidRDefault="00BE77DA">
          <w:pPr>
            <w:pStyle w:val="TOC1"/>
            <w:rPr>
              <w:rFonts w:asciiTheme="minorHAnsi" w:eastAsiaTheme="minorEastAsia" w:hAnsiTheme="minorHAnsi" w:cstheme="minorBidi"/>
              <w:noProof/>
              <w:kern w:val="2"/>
              <w:sz w:val="24"/>
              <w:szCs w:val="24"/>
              <w:lang w:eastAsia="en-AU"/>
              <w14:ligatures w14:val="standardContextual"/>
            </w:rPr>
          </w:pPr>
          <w:hyperlink w:anchor="_Toc179379602" w:history="1">
            <w:r w:rsidRPr="00C97F5D">
              <w:rPr>
                <w:rStyle w:val="Hyperlink"/>
                <w:noProof/>
              </w:rPr>
              <w:t>Executive Summary</w:t>
            </w:r>
            <w:r>
              <w:rPr>
                <w:noProof/>
                <w:webHidden/>
              </w:rPr>
              <w:tab/>
            </w:r>
            <w:r>
              <w:rPr>
                <w:noProof/>
                <w:webHidden/>
              </w:rPr>
              <w:fldChar w:fldCharType="begin"/>
            </w:r>
            <w:r>
              <w:rPr>
                <w:noProof/>
                <w:webHidden/>
              </w:rPr>
              <w:instrText xml:space="preserve"> PAGEREF _Toc179379602 \h </w:instrText>
            </w:r>
            <w:r>
              <w:rPr>
                <w:noProof/>
                <w:webHidden/>
              </w:rPr>
            </w:r>
            <w:r>
              <w:rPr>
                <w:noProof/>
                <w:webHidden/>
              </w:rPr>
              <w:fldChar w:fldCharType="separate"/>
            </w:r>
            <w:r w:rsidR="00A82DE5">
              <w:rPr>
                <w:noProof/>
                <w:webHidden/>
              </w:rPr>
              <w:t>7</w:t>
            </w:r>
            <w:r>
              <w:rPr>
                <w:noProof/>
                <w:webHidden/>
              </w:rPr>
              <w:fldChar w:fldCharType="end"/>
            </w:r>
          </w:hyperlink>
        </w:p>
        <w:p w14:paraId="603AA003" w14:textId="7563CA5C" w:rsidR="00BE77DA" w:rsidRDefault="00BE77DA">
          <w:pPr>
            <w:pStyle w:val="TOC1"/>
            <w:rPr>
              <w:rFonts w:asciiTheme="minorHAnsi" w:eastAsiaTheme="minorEastAsia" w:hAnsiTheme="minorHAnsi" w:cstheme="minorBidi"/>
              <w:noProof/>
              <w:kern w:val="2"/>
              <w:sz w:val="24"/>
              <w:szCs w:val="24"/>
              <w:lang w:eastAsia="en-AU"/>
              <w14:ligatures w14:val="standardContextual"/>
            </w:rPr>
          </w:pPr>
          <w:hyperlink w:anchor="_Toc179379603" w:history="1">
            <w:r w:rsidRPr="00C97F5D">
              <w:rPr>
                <w:rStyle w:val="Hyperlink"/>
                <w:noProof/>
              </w:rPr>
              <w:t>Contents</w:t>
            </w:r>
            <w:r>
              <w:rPr>
                <w:noProof/>
                <w:webHidden/>
              </w:rPr>
              <w:tab/>
            </w:r>
            <w:r>
              <w:rPr>
                <w:noProof/>
                <w:webHidden/>
              </w:rPr>
              <w:fldChar w:fldCharType="begin"/>
            </w:r>
            <w:r>
              <w:rPr>
                <w:noProof/>
                <w:webHidden/>
              </w:rPr>
              <w:instrText xml:space="preserve"> PAGEREF _Toc179379603 \h </w:instrText>
            </w:r>
            <w:r>
              <w:rPr>
                <w:noProof/>
                <w:webHidden/>
              </w:rPr>
            </w:r>
            <w:r>
              <w:rPr>
                <w:noProof/>
                <w:webHidden/>
              </w:rPr>
              <w:fldChar w:fldCharType="separate"/>
            </w:r>
            <w:r w:rsidR="00A82DE5">
              <w:rPr>
                <w:noProof/>
                <w:webHidden/>
              </w:rPr>
              <w:t>11</w:t>
            </w:r>
            <w:r>
              <w:rPr>
                <w:noProof/>
                <w:webHidden/>
              </w:rPr>
              <w:fldChar w:fldCharType="end"/>
            </w:r>
          </w:hyperlink>
        </w:p>
        <w:p w14:paraId="44197A44" w14:textId="363A48B0" w:rsidR="00BE77DA" w:rsidRDefault="00BE77DA">
          <w:pPr>
            <w:pStyle w:val="TOC1"/>
            <w:rPr>
              <w:rFonts w:asciiTheme="minorHAnsi" w:eastAsiaTheme="minorEastAsia" w:hAnsiTheme="minorHAnsi" w:cstheme="minorBidi"/>
              <w:noProof/>
              <w:kern w:val="2"/>
              <w:sz w:val="24"/>
              <w:szCs w:val="24"/>
              <w:lang w:eastAsia="en-AU"/>
              <w14:ligatures w14:val="standardContextual"/>
            </w:rPr>
          </w:pPr>
          <w:hyperlink w:anchor="_Toc179379604" w:history="1">
            <w:r w:rsidRPr="00C97F5D">
              <w:rPr>
                <w:rStyle w:val="Hyperlink"/>
                <w:rFonts w:cs="Arial"/>
                <w:noProof/>
              </w:rPr>
              <w:t>List of Tables</w:t>
            </w:r>
            <w:r>
              <w:rPr>
                <w:noProof/>
                <w:webHidden/>
              </w:rPr>
              <w:tab/>
            </w:r>
            <w:r>
              <w:rPr>
                <w:noProof/>
                <w:webHidden/>
              </w:rPr>
              <w:fldChar w:fldCharType="begin"/>
            </w:r>
            <w:r>
              <w:rPr>
                <w:noProof/>
                <w:webHidden/>
              </w:rPr>
              <w:instrText xml:space="preserve"> PAGEREF _Toc179379604 \h </w:instrText>
            </w:r>
            <w:r>
              <w:rPr>
                <w:noProof/>
                <w:webHidden/>
              </w:rPr>
            </w:r>
            <w:r>
              <w:rPr>
                <w:noProof/>
                <w:webHidden/>
              </w:rPr>
              <w:fldChar w:fldCharType="separate"/>
            </w:r>
            <w:r w:rsidR="00A82DE5">
              <w:rPr>
                <w:noProof/>
                <w:webHidden/>
              </w:rPr>
              <w:t>13</w:t>
            </w:r>
            <w:r>
              <w:rPr>
                <w:noProof/>
                <w:webHidden/>
              </w:rPr>
              <w:fldChar w:fldCharType="end"/>
            </w:r>
          </w:hyperlink>
        </w:p>
        <w:p w14:paraId="2074611D" w14:textId="769828E8" w:rsidR="00BE77DA" w:rsidRDefault="00BE77DA">
          <w:pPr>
            <w:pStyle w:val="TOC1"/>
            <w:rPr>
              <w:rFonts w:asciiTheme="minorHAnsi" w:eastAsiaTheme="minorEastAsia" w:hAnsiTheme="minorHAnsi" w:cstheme="minorBidi"/>
              <w:noProof/>
              <w:kern w:val="2"/>
              <w:sz w:val="24"/>
              <w:szCs w:val="24"/>
              <w:lang w:eastAsia="en-AU"/>
              <w14:ligatures w14:val="standardContextual"/>
            </w:rPr>
          </w:pPr>
          <w:hyperlink w:anchor="_Toc179379605" w:history="1">
            <w:r w:rsidRPr="00C97F5D">
              <w:rPr>
                <w:rStyle w:val="Hyperlink"/>
                <w:rFonts w:cs="Arial"/>
                <w:noProof/>
              </w:rPr>
              <w:t>List of Figures</w:t>
            </w:r>
            <w:r>
              <w:rPr>
                <w:noProof/>
                <w:webHidden/>
              </w:rPr>
              <w:tab/>
            </w:r>
            <w:r>
              <w:rPr>
                <w:noProof/>
                <w:webHidden/>
              </w:rPr>
              <w:fldChar w:fldCharType="begin"/>
            </w:r>
            <w:r>
              <w:rPr>
                <w:noProof/>
                <w:webHidden/>
              </w:rPr>
              <w:instrText xml:space="preserve"> PAGEREF _Toc179379605 \h </w:instrText>
            </w:r>
            <w:r>
              <w:rPr>
                <w:noProof/>
                <w:webHidden/>
              </w:rPr>
            </w:r>
            <w:r>
              <w:rPr>
                <w:noProof/>
                <w:webHidden/>
              </w:rPr>
              <w:fldChar w:fldCharType="separate"/>
            </w:r>
            <w:r w:rsidR="00A82DE5">
              <w:rPr>
                <w:noProof/>
                <w:webHidden/>
              </w:rPr>
              <w:t>16</w:t>
            </w:r>
            <w:r>
              <w:rPr>
                <w:noProof/>
                <w:webHidden/>
              </w:rPr>
              <w:fldChar w:fldCharType="end"/>
            </w:r>
          </w:hyperlink>
        </w:p>
        <w:p w14:paraId="2BBE6A48" w14:textId="7B85CCD5" w:rsidR="00BE77DA" w:rsidRDefault="00BE77DA">
          <w:pPr>
            <w:pStyle w:val="TOC1"/>
            <w:rPr>
              <w:rFonts w:asciiTheme="minorHAnsi" w:eastAsiaTheme="minorEastAsia" w:hAnsiTheme="minorHAnsi" w:cstheme="minorBidi"/>
              <w:noProof/>
              <w:kern w:val="2"/>
              <w:sz w:val="24"/>
              <w:szCs w:val="24"/>
              <w:lang w:eastAsia="en-AU"/>
              <w14:ligatures w14:val="standardContextual"/>
            </w:rPr>
          </w:pPr>
          <w:hyperlink w:anchor="_Toc179379606" w:history="1">
            <w:r w:rsidRPr="00C97F5D">
              <w:rPr>
                <w:rStyle w:val="Hyperlink"/>
                <w:rFonts w:cs="Arial"/>
                <w:noProof/>
              </w:rPr>
              <w:t>List of Appendices</w:t>
            </w:r>
            <w:r>
              <w:rPr>
                <w:noProof/>
                <w:webHidden/>
              </w:rPr>
              <w:tab/>
            </w:r>
            <w:r>
              <w:rPr>
                <w:noProof/>
                <w:webHidden/>
              </w:rPr>
              <w:fldChar w:fldCharType="begin"/>
            </w:r>
            <w:r>
              <w:rPr>
                <w:noProof/>
                <w:webHidden/>
              </w:rPr>
              <w:instrText xml:space="preserve"> PAGEREF _Toc179379606 \h </w:instrText>
            </w:r>
            <w:r>
              <w:rPr>
                <w:noProof/>
                <w:webHidden/>
              </w:rPr>
            </w:r>
            <w:r>
              <w:rPr>
                <w:noProof/>
                <w:webHidden/>
              </w:rPr>
              <w:fldChar w:fldCharType="separate"/>
            </w:r>
            <w:r w:rsidR="00A82DE5">
              <w:rPr>
                <w:noProof/>
                <w:webHidden/>
              </w:rPr>
              <w:t>17</w:t>
            </w:r>
            <w:r>
              <w:rPr>
                <w:noProof/>
                <w:webHidden/>
              </w:rPr>
              <w:fldChar w:fldCharType="end"/>
            </w:r>
          </w:hyperlink>
        </w:p>
        <w:p w14:paraId="43001057" w14:textId="2DB5305A" w:rsidR="00BE77DA" w:rsidRDefault="00BE77DA">
          <w:pPr>
            <w:pStyle w:val="TOC1"/>
            <w:tabs>
              <w:tab w:val="left" w:pos="720"/>
            </w:tabs>
            <w:rPr>
              <w:rFonts w:asciiTheme="minorHAnsi" w:eastAsiaTheme="minorEastAsia" w:hAnsiTheme="minorHAnsi" w:cstheme="minorBidi"/>
              <w:noProof/>
              <w:kern w:val="2"/>
              <w:sz w:val="24"/>
              <w:szCs w:val="24"/>
              <w:lang w:eastAsia="en-AU"/>
              <w14:ligatures w14:val="standardContextual"/>
            </w:rPr>
          </w:pPr>
          <w:hyperlink w:anchor="_Toc179379607" w:history="1">
            <w:r w:rsidRPr="00C97F5D">
              <w:rPr>
                <w:rStyle w:val="Hyperlink"/>
                <w:noProof/>
              </w:rPr>
              <w:t>1.</w:t>
            </w:r>
            <w:r>
              <w:rPr>
                <w:rFonts w:asciiTheme="minorHAnsi" w:eastAsiaTheme="minorEastAsia" w:hAnsiTheme="minorHAnsi" w:cstheme="minorBidi"/>
                <w:noProof/>
                <w:kern w:val="2"/>
                <w:sz w:val="24"/>
                <w:szCs w:val="24"/>
                <w:lang w:eastAsia="en-AU"/>
                <w14:ligatures w14:val="standardContextual"/>
              </w:rPr>
              <w:tab/>
            </w:r>
            <w:r w:rsidRPr="00C97F5D">
              <w:rPr>
                <w:rStyle w:val="Hyperlink"/>
                <w:noProof/>
              </w:rPr>
              <w:t>Background</w:t>
            </w:r>
            <w:r>
              <w:rPr>
                <w:noProof/>
                <w:webHidden/>
              </w:rPr>
              <w:tab/>
            </w:r>
            <w:r>
              <w:rPr>
                <w:noProof/>
                <w:webHidden/>
              </w:rPr>
              <w:fldChar w:fldCharType="begin"/>
            </w:r>
            <w:r>
              <w:rPr>
                <w:noProof/>
                <w:webHidden/>
              </w:rPr>
              <w:instrText xml:space="preserve"> PAGEREF _Toc179379607 \h </w:instrText>
            </w:r>
            <w:r>
              <w:rPr>
                <w:noProof/>
                <w:webHidden/>
              </w:rPr>
            </w:r>
            <w:r>
              <w:rPr>
                <w:noProof/>
                <w:webHidden/>
              </w:rPr>
              <w:fldChar w:fldCharType="separate"/>
            </w:r>
            <w:r w:rsidR="00A82DE5">
              <w:rPr>
                <w:noProof/>
                <w:webHidden/>
              </w:rPr>
              <w:t>18</w:t>
            </w:r>
            <w:r>
              <w:rPr>
                <w:noProof/>
                <w:webHidden/>
              </w:rPr>
              <w:fldChar w:fldCharType="end"/>
            </w:r>
          </w:hyperlink>
        </w:p>
        <w:p w14:paraId="747FBEAE" w14:textId="12A9A83E" w:rsidR="00BE77DA" w:rsidRDefault="00BE77DA">
          <w:pPr>
            <w:pStyle w:val="TOC2"/>
            <w:tabs>
              <w:tab w:val="left" w:pos="960"/>
            </w:tabs>
            <w:rPr>
              <w:rFonts w:asciiTheme="minorHAnsi" w:eastAsiaTheme="minorEastAsia" w:hAnsiTheme="minorHAnsi" w:cstheme="minorBidi"/>
              <w:noProof/>
              <w:kern w:val="2"/>
              <w:sz w:val="24"/>
              <w:szCs w:val="24"/>
              <w:lang w:eastAsia="en-AU"/>
              <w14:ligatures w14:val="standardContextual"/>
            </w:rPr>
          </w:pPr>
          <w:hyperlink w:anchor="_Toc179379608" w:history="1">
            <w:r w:rsidRPr="00C97F5D">
              <w:rPr>
                <w:rStyle w:val="Hyperlink"/>
                <w:noProof/>
              </w:rPr>
              <w:t>1.1.</w:t>
            </w:r>
            <w:r>
              <w:rPr>
                <w:rFonts w:asciiTheme="minorHAnsi" w:eastAsiaTheme="minorEastAsia" w:hAnsiTheme="minorHAnsi" w:cstheme="minorBidi"/>
                <w:noProof/>
                <w:kern w:val="2"/>
                <w:sz w:val="24"/>
                <w:szCs w:val="24"/>
                <w:lang w:eastAsia="en-AU"/>
                <w14:ligatures w14:val="standardContextual"/>
              </w:rPr>
              <w:tab/>
            </w:r>
            <w:r w:rsidRPr="00C97F5D">
              <w:rPr>
                <w:rStyle w:val="Hyperlink"/>
                <w:noProof/>
              </w:rPr>
              <w:t>Description of condition and setting</w:t>
            </w:r>
            <w:r>
              <w:rPr>
                <w:noProof/>
                <w:webHidden/>
              </w:rPr>
              <w:tab/>
            </w:r>
            <w:r>
              <w:rPr>
                <w:noProof/>
                <w:webHidden/>
              </w:rPr>
              <w:fldChar w:fldCharType="begin"/>
            </w:r>
            <w:r>
              <w:rPr>
                <w:noProof/>
                <w:webHidden/>
              </w:rPr>
              <w:instrText xml:space="preserve"> PAGEREF _Toc179379608 \h </w:instrText>
            </w:r>
            <w:r>
              <w:rPr>
                <w:noProof/>
                <w:webHidden/>
              </w:rPr>
            </w:r>
            <w:r>
              <w:rPr>
                <w:noProof/>
                <w:webHidden/>
              </w:rPr>
              <w:fldChar w:fldCharType="separate"/>
            </w:r>
            <w:r w:rsidR="00A82DE5">
              <w:rPr>
                <w:noProof/>
                <w:webHidden/>
              </w:rPr>
              <w:t>18</w:t>
            </w:r>
            <w:r>
              <w:rPr>
                <w:noProof/>
                <w:webHidden/>
              </w:rPr>
              <w:fldChar w:fldCharType="end"/>
            </w:r>
          </w:hyperlink>
        </w:p>
        <w:p w14:paraId="63C31AAF" w14:textId="44CA6FA1" w:rsidR="00BE77DA" w:rsidRDefault="00BE77DA">
          <w:pPr>
            <w:pStyle w:val="TOC2"/>
            <w:tabs>
              <w:tab w:val="left" w:pos="960"/>
            </w:tabs>
            <w:rPr>
              <w:rFonts w:asciiTheme="minorHAnsi" w:eastAsiaTheme="minorEastAsia" w:hAnsiTheme="minorHAnsi" w:cstheme="minorBidi"/>
              <w:noProof/>
              <w:kern w:val="2"/>
              <w:sz w:val="24"/>
              <w:szCs w:val="24"/>
              <w:lang w:eastAsia="en-AU"/>
              <w14:ligatures w14:val="standardContextual"/>
            </w:rPr>
          </w:pPr>
          <w:hyperlink w:anchor="_Toc179379609" w:history="1">
            <w:r w:rsidRPr="00C97F5D">
              <w:rPr>
                <w:rStyle w:val="Hyperlink"/>
                <w:noProof/>
              </w:rPr>
              <w:t>1.2.</w:t>
            </w:r>
            <w:r>
              <w:rPr>
                <w:rFonts w:asciiTheme="minorHAnsi" w:eastAsiaTheme="minorEastAsia" w:hAnsiTheme="minorHAnsi" w:cstheme="minorBidi"/>
                <w:noProof/>
                <w:kern w:val="2"/>
                <w:sz w:val="24"/>
                <w:szCs w:val="24"/>
                <w:lang w:eastAsia="en-AU"/>
                <w14:ligatures w14:val="standardContextual"/>
              </w:rPr>
              <w:tab/>
            </w:r>
            <w:r w:rsidRPr="00C97F5D">
              <w:rPr>
                <w:rStyle w:val="Hyperlink"/>
                <w:noProof/>
              </w:rPr>
              <w:t>Description of intervention</w:t>
            </w:r>
            <w:r>
              <w:rPr>
                <w:noProof/>
                <w:webHidden/>
              </w:rPr>
              <w:tab/>
            </w:r>
            <w:r>
              <w:rPr>
                <w:noProof/>
                <w:webHidden/>
              </w:rPr>
              <w:fldChar w:fldCharType="begin"/>
            </w:r>
            <w:r>
              <w:rPr>
                <w:noProof/>
                <w:webHidden/>
              </w:rPr>
              <w:instrText xml:space="preserve"> PAGEREF _Toc179379609 \h </w:instrText>
            </w:r>
            <w:r>
              <w:rPr>
                <w:noProof/>
                <w:webHidden/>
              </w:rPr>
            </w:r>
            <w:r>
              <w:rPr>
                <w:noProof/>
                <w:webHidden/>
              </w:rPr>
              <w:fldChar w:fldCharType="separate"/>
            </w:r>
            <w:r w:rsidR="00A82DE5">
              <w:rPr>
                <w:noProof/>
                <w:webHidden/>
              </w:rPr>
              <w:t>19</w:t>
            </w:r>
            <w:r>
              <w:rPr>
                <w:noProof/>
                <w:webHidden/>
              </w:rPr>
              <w:fldChar w:fldCharType="end"/>
            </w:r>
          </w:hyperlink>
        </w:p>
        <w:p w14:paraId="4EE3A6FB" w14:textId="349AF0EA" w:rsidR="00BE77DA" w:rsidRDefault="00BE77DA">
          <w:pPr>
            <w:pStyle w:val="TOC2"/>
            <w:tabs>
              <w:tab w:val="left" w:pos="960"/>
            </w:tabs>
            <w:rPr>
              <w:rFonts w:asciiTheme="minorHAnsi" w:eastAsiaTheme="minorEastAsia" w:hAnsiTheme="minorHAnsi" w:cstheme="minorBidi"/>
              <w:noProof/>
              <w:kern w:val="2"/>
              <w:sz w:val="24"/>
              <w:szCs w:val="24"/>
              <w:lang w:eastAsia="en-AU"/>
              <w14:ligatures w14:val="standardContextual"/>
            </w:rPr>
          </w:pPr>
          <w:hyperlink w:anchor="_Toc179379610" w:history="1">
            <w:r w:rsidRPr="00C97F5D">
              <w:rPr>
                <w:rStyle w:val="Hyperlink"/>
                <w:noProof/>
              </w:rPr>
              <w:t>1.3.</w:t>
            </w:r>
            <w:r>
              <w:rPr>
                <w:rFonts w:asciiTheme="minorHAnsi" w:eastAsiaTheme="minorEastAsia" w:hAnsiTheme="minorHAnsi" w:cstheme="minorBidi"/>
                <w:noProof/>
                <w:kern w:val="2"/>
                <w:sz w:val="24"/>
                <w:szCs w:val="24"/>
                <w:lang w:eastAsia="en-AU"/>
                <w14:ligatures w14:val="standardContextual"/>
              </w:rPr>
              <w:tab/>
            </w:r>
            <w:r w:rsidRPr="00C97F5D">
              <w:rPr>
                <w:rStyle w:val="Hyperlink"/>
                <w:noProof/>
              </w:rPr>
              <w:t>How the intervention might work</w:t>
            </w:r>
            <w:r>
              <w:rPr>
                <w:noProof/>
                <w:webHidden/>
              </w:rPr>
              <w:tab/>
            </w:r>
            <w:r>
              <w:rPr>
                <w:noProof/>
                <w:webHidden/>
              </w:rPr>
              <w:fldChar w:fldCharType="begin"/>
            </w:r>
            <w:r>
              <w:rPr>
                <w:noProof/>
                <w:webHidden/>
              </w:rPr>
              <w:instrText xml:space="preserve"> PAGEREF _Toc179379610 \h </w:instrText>
            </w:r>
            <w:r>
              <w:rPr>
                <w:noProof/>
                <w:webHidden/>
              </w:rPr>
            </w:r>
            <w:r>
              <w:rPr>
                <w:noProof/>
                <w:webHidden/>
              </w:rPr>
              <w:fldChar w:fldCharType="separate"/>
            </w:r>
            <w:r w:rsidR="00A82DE5">
              <w:rPr>
                <w:noProof/>
                <w:webHidden/>
              </w:rPr>
              <w:t>19</w:t>
            </w:r>
            <w:r>
              <w:rPr>
                <w:noProof/>
                <w:webHidden/>
              </w:rPr>
              <w:fldChar w:fldCharType="end"/>
            </w:r>
          </w:hyperlink>
        </w:p>
        <w:p w14:paraId="0E89CB3F" w14:textId="4CB83B3F" w:rsidR="00BE77DA" w:rsidRDefault="00BE77DA">
          <w:pPr>
            <w:pStyle w:val="TOC2"/>
            <w:tabs>
              <w:tab w:val="left" w:pos="960"/>
            </w:tabs>
            <w:rPr>
              <w:rFonts w:asciiTheme="minorHAnsi" w:eastAsiaTheme="minorEastAsia" w:hAnsiTheme="minorHAnsi" w:cstheme="minorBidi"/>
              <w:noProof/>
              <w:kern w:val="2"/>
              <w:sz w:val="24"/>
              <w:szCs w:val="24"/>
              <w:lang w:eastAsia="en-AU"/>
              <w14:ligatures w14:val="standardContextual"/>
            </w:rPr>
          </w:pPr>
          <w:hyperlink w:anchor="_Toc179379611" w:history="1">
            <w:r w:rsidRPr="00C97F5D">
              <w:rPr>
                <w:rStyle w:val="Hyperlink"/>
                <w:noProof/>
              </w:rPr>
              <w:t>1.4.</w:t>
            </w:r>
            <w:r>
              <w:rPr>
                <w:rFonts w:asciiTheme="minorHAnsi" w:eastAsiaTheme="minorEastAsia" w:hAnsiTheme="minorHAnsi" w:cstheme="minorBidi"/>
                <w:noProof/>
                <w:kern w:val="2"/>
                <w:sz w:val="24"/>
                <w:szCs w:val="24"/>
                <w:lang w:eastAsia="en-AU"/>
                <w14:ligatures w14:val="standardContextual"/>
              </w:rPr>
              <w:tab/>
            </w:r>
            <w:r w:rsidRPr="00C97F5D">
              <w:rPr>
                <w:rStyle w:val="Hyperlink"/>
                <w:noProof/>
              </w:rPr>
              <w:t>Why it is important to do this review</w:t>
            </w:r>
            <w:r>
              <w:rPr>
                <w:noProof/>
                <w:webHidden/>
              </w:rPr>
              <w:tab/>
            </w:r>
            <w:r>
              <w:rPr>
                <w:noProof/>
                <w:webHidden/>
              </w:rPr>
              <w:fldChar w:fldCharType="begin"/>
            </w:r>
            <w:r>
              <w:rPr>
                <w:noProof/>
                <w:webHidden/>
              </w:rPr>
              <w:instrText xml:space="preserve"> PAGEREF _Toc179379611 \h </w:instrText>
            </w:r>
            <w:r>
              <w:rPr>
                <w:noProof/>
                <w:webHidden/>
              </w:rPr>
            </w:r>
            <w:r>
              <w:rPr>
                <w:noProof/>
                <w:webHidden/>
              </w:rPr>
              <w:fldChar w:fldCharType="separate"/>
            </w:r>
            <w:r w:rsidR="00A82DE5">
              <w:rPr>
                <w:noProof/>
                <w:webHidden/>
              </w:rPr>
              <w:t>19</w:t>
            </w:r>
            <w:r>
              <w:rPr>
                <w:noProof/>
                <w:webHidden/>
              </w:rPr>
              <w:fldChar w:fldCharType="end"/>
            </w:r>
          </w:hyperlink>
        </w:p>
        <w:p w14:paraId="5746DE1E" w14:textId="1F83A9DC" w:rsidR="00BE77DA" w:rsidRDefault="00BE77DA">
          <w:pPr>
            <w:pStyle w:val="TOC1"/>
            <w:tabs>
              <w:tab w:val="left" w:pos="720"/>
            </w:tabs>
            <w:rPr>
              <w:rFonts w:asciiTheme="minorHAnsi" w:eastAsiaTheme="minorEastAsia" w:hAnsiTheme="minorHAnsi" w:cstheme="minorBidi"/>
              <w:noProof/>
              <w:kern w:val="2"/>
              <w:sz w:val="24"/>
              <w:szCs w:val="24"/>
              <w:lang w:eastAsia="en-AU"/>
              <w14:ligatures w14:val="standardContextual"/>
            </w:rPr>
          </w:pPr>
          <w:hyperlink w:anchor="_Toc179379612" w:history="1">
            <w:r w:rsidRPr="00C97F5D">
              <w:rPr>
                <w:rStyle w:val="Hyperlink"/>
                <w:noProof/>
              </w:rPr>
              <w:t>2.</w:t>
            </w:r>
            <w:r>
              <w:rPr>
                <w:rFonts w:asciiTheme="minorHAnsi" w:eastAsiaTheme="minorEastAsia" w:hAnsiTheme="minorHAnsi" w:cstheme="minorBidi"/>
                <w:noProof/>
                <w:kern w:val="2"/>
                <w:sz w:val="24"/>
                <w:szCs w:val="24"/>
                <w:lang w:eastAsia="en-AU"/>
                <w14:ligatures w14:val="standardContextual"/>
              </w:rPr>
              <w:tab/>
            </w:r>
            <w:r w:rsidRPr="00C97F5D">
              <w:rPr>
                <w:rStyle w:val="Hyperlink"/>
                <w:noProof/>
              </w:rPr>
              <w:t>Objectives</w:t>
            </w:r>
            <w:r>
              <w:rPr>
                <w:noProof/>
                <w:webHidden/>
              </w:rPr>
              <w:tab/>
            </w:r>
            <w:r>
              <w:rPr>
                <w:noProof/>
                <w:webHidden/>
              </w:rPr>
              <w:fldChar w:fldCharType="begin"/>
            </w:r>
            <w:r>
              <w:rPr>
                <w:noProof/>
                <w:webHidden/>
              </w:rPr>
              <w:instrText xml:space="preserve"> PAGEREF _Toc179379612 \h </w:instrText>
            </w:r>
            <w:r>
              <w:rPr>
                <w:noProof/>
                <w:webHidden/>
              </w:rPr>
            </w:r>
            <w:r>
              <w:rPr>
                <w:noProof/>
                <w:webHidden/>
              </w:rPr>
              <w:fldChar w:fldCharType="separate"/>
            </w:r>
            <w:r w:rsidR="00A82DE5">
              <w:rPr>
                <w:noProof/>
                <w:webHidden/>
              </w:rPr>
              <w:t>20</w:t>
            </w:r>
            <w:r>
              <w:rPr>
                <w:noProof/>
                <w:webHidden/>
              </w:rPr>
              <w:fldChar w:fldCharType="end"/>
            </w:r>
          </w:hyperlink>
        </w:p>
        <w:p w14:paraId="54C40182" w14:textId="4B8C1B90" w:rsidR="00BE77DA" w:rsidRDefault="00BE77DA">
          <w:pPr>
            <w:pStyle w:val="TOC2"/>
            <w:tabs>
              <w:tab w:val="left" w:pos="960"/>
            </w:tabs>
            <w:rPr>
              <w:rFonts w:asciiTheme="minorHAnsi" w:eastAsiaTheme="minorEastAsia" w:hAnsiTheme="minorHAnsi" w:cstheme="minorBidi"/>
              <w:noProof/>
              <w:kern w:val="2"/>
              <w:sz w:val="24"/>
              <w:szCs w:val="24"/>
              <w:lang w:eastAsia="en-AU"/>
              <w14:ligatures w14:val="standardContextual"/>
            </w:rPr>
          </w:pPr>
          <w:hyperlink w:anchor="_Toc179379613" w:history="1">
            <w:r w:rsidRPr="00C97F5D">
              <w:rPr>
                <w:rStyle w:val="Hyperlink"/>
                <w:noProof/>
              </w:rPr>
              <w:t>2.1.</w:t>
            </w:r>
            <w:r>
              <w:rPr>
                <w:rFonts w:asciiTheme="minorHAnsi" w:eastAsiaTheme="minorEastAsia" w:hAnsiTheme="minorHAnsi" w:cstheme="minorBidi"/>
                <w:noProof/>
                <w:kern w:val="2"/>
                <w:sz w:val="24"/>
                <w:szCs w:val="24"/>
                <w:lang w:eastAsia="en-AU"/>
                <w14:ligatures w14:val="standardContextual"/>
              </w:rPr>
              <w:tab/>
            </w:r>
            <w:r w:rsidRPr="00C97F5D">
              <w:rPr>
                <w:rStyle w:val="Hyperlink"/>
                <w:noProof/>
              </w:rPr>
              <w:t>Priority population-supplement pairs</w:t>
            </w:r>
            <w:r>
              <w:rPr>
                <w:noProof/>
                <w:webHidden/>
              </w:rPr>
              <w:tab/>
            </w:r>
            <w:r>
              <w:rPr>
                <w:noProof/>
                <w:webHidden/>
              </w:rPr>
              <w:fldChar w:fldCharType="begin"/>
            </w:r>
            <w:r>
              <w:rPr>
                <w:noProof/>
                <w:webHidden/>
              </w:rPr>
              <w:instrText xml:space="preserve"> PAGEREF _Toc179379613 \h </w:instrText>
            </w:r>
            <w:r>
              <w:rPr>
                <w:noProof/>
                <w:webHidden/>
              </w:rPr>
            </w:r>
            <w:r>
              <w:rPr>
                <w:noProof/>
                <w:webHidden/>
              </w:rPr>
              <w:fldChar w:fldCharType="separate"/>
            </w:r>
            <w:r w:rsidR="00A82DE5">
              <w:rPr>
                <w:noProof/>
                <w:webHidden/>
              </w:rPr>
              <w:t>20</w:t>
            </w:r>
            <w:r>
              <w:rPr>
                <w:noProof/>
                <w:webHidden/>
              </w:rPr>
              <w:fldChar w:fldCharType="end"/>
            </w:r>
          </w:hyperlink>
        </w:p>
        <w:p w14:paraId="7E7AC58B" w14:textId="705C3E9D" w:rsidR="00BE77DA" w:rsidRDefault="00BE77DA">
          <w:pPr>
            <w:pStyle w:val="TOC1"/>
            <w:tabs>
              <w:tab w:val="left" w:pos="720"/>
            </w:tabs>
            <w:rPr>
              <w:rFonts w:asciiTheme="minorHAnsi" w:eastAsiaTheme="minorEastAsia" w:hAnsiTheme="minorHAnsi" w:cstheme="minorBidi"/>
              <w:noProof/>
              <w:kern w:val="2"/>
              <w:sz w:val="24"/>
              <w:szCs w:val="24"/>
              <w:lang w:eastAsia="en-AU"/>
              <w14:ligatures w14:val="standardContextual"/>
            </w:rPr>
          </w:pPr>
          <w:hyperlink w:anchor="_Toc179379614" w:history="1">
            <w:r w:rsidRPr="00C97F5D">
              <w:rPr>
                <w:rStyle w:val="Hyperlink"/>
                <w:noProof/>
              </w:rPr>
              <w:t>3.</w:t>
            </w:r>
            <w:r>
              <w:rPr>
                <w:rFonts w:asciiTheme="minorHAnsi" w:eastAsiaTheme="minorEastAsia" w:hAnsiTheme="minorHAnsi" w:cstheme="minorBidi"/>
                <w:noProof/>
                <w:kern w:val="2"/>
                <w:sz w:val="24"/>
                <w:szCs w:val="24"/>
                <w:lang w:eastAsia="en-AU"/>
                <w14:ligatures w14:val="standardContextual"/>
              </w:rPr>
              <w:tab/>
            </w:r>
            <w:r w:rsidRPr="00C97F5D">
              <w:rPr>
                <w:rStyle w:val="Hyperlink"/>
                <w:noProof/>
              </w:rPr>
              <w:t>Methods</w:t>
            </w:r>
            <w:r>
              <w:rPr>
                <w:noProof/>
                <w:webHidden/>
              </w:rPr>
              <w:tab/>
            </w:r>
            <w:r>
              <w:rPr>
                <w:noProof/>
                <w:webHidden/>
              </w:rPr>
              <w:fldChar w:fldCharType="begin"/>
            </w:r>
            <w:r>
              <w:rPr>
                <w:noProof/>
                <w:webHidden/>
              </w:rPr>
              <w:instrText xml:space="preserve"> PAGEREF _Toc179379614 \h </w:instrText>
            </w:r>
            <w:r>
              <w:rPr>
                <w:noProof/>
                <w:webHidden/>
              </w:rPr>
            </w:r>
            <w:r>
              <w:rPr>
                <w:noProof/>
                <w:webHidden/>
              </w:rPr>
              <w:fldChar w:fldCharType="separate"/>
            </w:r>
            <w:r w:rsidR="00A82DE5">
              <w:rPr>
                <w:noProof/>
                <w:webHidden/>
              </w:rPr>
              <w:t>22</w:t>
            </w:r>
            <w:r>
              <w:rPr>
                <w:noProof/>
                <w:webHidden/>
              </w:rPr>
              <w:fldChar w:fldCharType="end"/>
            </w:r>
          </w:hyperlink>
        </w:p>
        <w:p w14:paraId="46F96639" w14:textId="35986239" w:rsidR="00BE77DA" w:rsidRDefault="00BE77DA">
          <w:pPr>
            <w:pStyle w:val="TOC1"/>
            <w:tabs>
              <w:tab w:val="left" w:pos="720"/>
            </w:tabs>
            <w:rPr>
              <w:rFonts w:asciiTheme="minorHAnsi" w:eastAsiaTheme="minorEastAsia" w:hAnsiTheme="minorHAnsi" w:cstheme="minorBidi"/>
              <w:noProof/>
              <w:kern w:val="2"/>
              <w:sz w:val="24"/>
              <w:szCs w:val="24"/>
              <w:lang w:eastAsia="en-AU"/>
              <w14:ligatures w14:val="standardContextual"/>
            </w:rPr>
          </w:pPr>
          <w:hyperlink w:anchor="_Toc179379615" w:history="1">
            <w:r w:rsidRPr="00C97F5D">
              <w:rPr>
                <w:rStyle w:val="Hyperlink"/>
                <w:noProof/>
              </w:rPr>
              <w:t>4.</w:t>
            </w:r>
            <w:r>
              <w:rPr>
                <w:rFonts w:asciiTheme="minorHAnsi" w:eastAsiaTheme="minorEastAsia" w:hAnsiTheme="minorHAnsi" w:cstheme="minorBidi"/>
                <w:noProof/>
                <w:kern w:val="2"/>
                <w:sz w:val="24"/>
                <w:szCs w:val="24"/>
                <w:lang w:eastAsia="en-AU"/>
                <w14:ligatures w14:val="standardContextual"/>
              </w:rPr>
              <w:tab/>
            </w:r>
            <w:r w:rsidRPr="00C97F5D">
              <w:rPr>
                <w:rStyle w:val="Hyperlink"/>
                <w:noProof/>
              </w:rPr>
              <w:t>Results</w:t>
            </w:r>
            <w:r>
              <w:rPr>
                <w:noProof/>
                <w:webHidden/>
              </w:rPr>
              <w:tab/>
            </w:r>
            <w:r>
              <w:rPr>
                <w:noProof/>
                <w:webHidden/>
              </w:rPr>
              <w:fldChar w:fldCharType="begin"/>
            </w:r>
            <w:r>
              <w:rPr>
                <w:noProof/>
                <w:webHidden/>
              </w:rPr>
              <w:instrText xml:space="preserve"> PAGEREF _Toc179379615 \h </w:instrText>
            </w:r>
            <w:r>
              <w:rPr>
                <w:noProof/>
                <w:webHidden/>
              </w:rPr>
            </w:r>
            <w:r>
              <w:rPr>
                <w:noProof/>
                <w:webHidden/>
              </w:rPr>
              <w:fldChar w:fldCharType="separate"/>
            </w:r>
            <w:r w:rsidR="00A82DE5">
              <w:rPr>
                <w:noProof/>
                <w:webHidden/>
              </w:rPr>
              <w:t>23</w:t>
            </w:r>
            <w:r>
              <w:rPr>
                <w:noProof/>
                <w:webHidden/>
              </w:rPr>
              <w:fldChar w:fldCharType="end"/>
            </w:r>
          </w:hyperlink>
        </w:p>
        <w:p w14:paraId="68D374F1" w14:textId="73A5474D" w:rsidR="00BE77DA" w:rsidRDefault="00BE77DA">
          <w:pPr>
            <w:pStyle w:val="TOC2"/>
            <w:tabs>
              <w:tab w:val="left" w:pos="960"/>
            </w:tabs>
            <w:rPr>
              <w:rFonts w:asciiTheme="minorHAnsi" w:eastAsiaTheme="minorEastAsia" w:hAnsiTheme="minorHAnsi" w:cstheme="minorBidi"/>
              <w:noProof/>
              <w:kern w:val="2"/>
              <w:sz w:val="24"/>
              <w:szCs w:val="24"/>
              <w:lang w:eastAsia="en-AU"/>
              <w14:ligatures w14:val="standardContextual"/>
            </w:rPr>
          </w:pPr>
          <w:hyperlink w:anchor="_Toc179379616" w:history="1">
            <w:r w:rsidRPr="00C97F5D">
              <w:rPr>
                <w:rStyle w:val="Hyperlink"/>
                <w:noProof/>
              </w:rPr>
              <w:t>4.1.</w:t>
            </w:r>
            <w:r>
              <w:rPr>
                <w:rFonts w:asciiTheme="minorHAnsi" w:eastAsiaTheme="minorEastAsia" w:hAnsiTheme="minorHAnsi" w:cstheme="minorBidi"/>
                <w:noProof/>
                <w:kern w:val="2"/>
                <w:sz w:val="24"/>
                <w:szCs w:val="24"/>
                <w:lang w:eastAsia="en-AU"/>
                <w14:ligatures w14:val="standardContextual"/>
              </w:rPr>
              <w:tab/>
            </w:r>
            <w:r w:rsidRPr="00C97F5D">
              <w:rPr>
                <w:rStyle w:val="Hyperlink"/>
                <w:noProof/>
              </w:rPr>
              <w:t>Anxiety (including post-natal), magnesium</w:t>
            </w:r>
            <w:r>
              <w:rPr>
                <w:noProof/>
                <w:webHidden/>
              </w:rPr>
              <w:tab/>
            </w:r>
            <w:r>
              <w:rPr>
                <w:noProof/>
                <w:webHidden/>
              </w:rPr>
              <w:fldChar w:fldCharType="begin"/>
            </w:r>
            <w:r>
              <w:rPr>
                <w:noProof/>
                <w:webHidden/>
              </w:rPr>
              <w:instrText xml:space="preserve"> PAGEREF _Toc179379616 \h </w:instrText>
            </w:r>
            <w:r>
              <w:rPr>
                <w:noProof/>
                <w:webHidden/>
              </w:rPr>
            </w:r>
            <w:r>
              <w:rPr>
                <w:noProof/>
                <w:webHidden/>
              </w:rPr>
              <w:fldChar w:fldCharType="separate"/>
            </w:r>
            <w:r w:rsidR="00A82DE5">
              <w:rPr>
                <w:noProof/>
                <w:webHidden/>
              </w:rPr>
              <w:t>23</w:t>
            </w:r>
            <w:r>
              <w:rPr>
                <w:noProof/>
                <w:webHidden/>
              </w:rPr>
              <w:fldChar w:fldCharType="end"/>
            </w:r>
          </w:hyperlink>
        </w:p>
        <w:p w14:paraId="133A3265" w14:textId="535CC4D1" w:rsidR="00BE77DA" w:rsidRDefault="00BE77DA">
          <w:pPr>
            <w:pStyle w:val="TOC2"/>
            <w:tabs>
              <w:tab w:val="left" w:pos="960"/>
            </w:tabs>
            <w:rPr>
              <w:rFonts w:asciiTheme="minorHAnsi" w:eastAsiaTheme="minorEastAsia" w:hAnsiTheme="minorHAnsi" w:cstheme="minorBidi"/>
              <w:noProof/>
              <w:kern w:val="2"/>
              <w:sz w:val="24"/>
              <w:szCs w:val="24"/>
              <w:lang w:eastAsia="en-AU"/>
              <w14:ligatures w14:val="standardContextual"/>
            </w:rPr>
          </w:pPr>
          <w:hyperlink w:anchor="_Toc179379617" w:history="1">
            <w:r w:rsidRPr="00C97F5D">
              <w:rPr>
                <w:rStyle w:val="Hyperlink"/>
                <w:noProof/>
              </w:rPr>
              <w:t>4.2.</w:t>
            </w:r>
            <w:r>
              <w:rPr>
                <w:rFonts w:asciiTheme="minorHAnsi" w:eastAsiaTheme="minorEastAsia" w:hAnsiTheme="minorHAnsi" w:cstheme="minorBidi"/>
                <w:noProof/>
                <w:kern w:val="2"/>
                <w:sz w:val="24"/>
                <w:szCs w:val="24"/>
                <w:lang w:eastAsia="en-AU"/>
                <w14:ligatures w14:val="standardContextual"/>
              </w:rPr>
              <w:tab/>
            </w:r>
            <w:r w:rsidRPr="00C97F5D">
              <w:rPr>
                <w:rStyle w:val="Hyperlink"/>
                <w:noProof/>
              </w:rPr>
              <w:t>Stress (perceived, occupational), magnesium</w:t>
            </w:r>
            <w:r>
              <w:rPr>
                <w:noProof/>
                <w:webHidden/>
              </w:rPr>
              <w:tab/>
            </w:r>
            <w:r>
              <w:rPr>
                <w:noProof/>
                <w:webHidden/>
              </w:rPr>
              <w:fldChar w:fldCharType="begin"/>
            </w:r>
            <w:r>
              <w:rPr>
                <w:noProof/>
                <w:webHidden/>
              </w:rPr>
              <w:instrText xml:space="preserve"> PAGEREF _Toc179379617 \h </w:instrText>
            </w:r>
            <w:r>
              <w:rPr>
                <w:noProof/>
                <w:webHidden/>
              </w:rPr>
            </w:r>
            <w:r>
              <w:rPr>
                <w:noProof/>
                <w:webHidden/>
              </w:rPr>
              <w:fldChar w:fldCharType="separate"/>
            </w:r>
            <w:r w:rsidR="00A82DE5">
              <w:rPr>
                <w:noProof/>
                <w:webHidden/>
              </w:rPr>
              <w:t>31</w:t>
            </w:r>
            <w:r>
              <w:rPr>
                <w:noProof/>
                <w:webHidden/>
              </w:rPr>
              <w:fldChar w:fldCharType="end"/>
            </w:r>
          </w:hyperlink>
        </w:p>
        <w:p w14:paraId="3AAC154C" w14:textId="3B04E566" w:rsidR="00BE77DA" w:rsidRDefault="00BE77DA">
          <w:pPr>
            <w:pStyle w:val="TOC2"/>
            <w:tabs>
              <w:tab w:val="left" w:pos="960"/>
            </w:tabs>
            <w:rPr>
              <w:rFonts w:asciiTheme="minorHAnsi" w:eastAsiaTheme="minorEastAsia" w:hAnsiTheme="minorHAnsi" w:cstheme="minorBidi"/>
              <w:noProof/>
              <w:kern w:val="2"/>
              <w:sz w:val="24"/>
              <w:szCs w:val="24"/>
              <w:lang w:eastAsia="en-AU"/>
              <w14:ligatures w14:val="standardContextual"/>
            </w:rPr>
          </w:pPr>
          <w:hyperlink w:anchor="_Toc179379618" w:history="1">
            <w:r w:rsidRPr="00C97F5D">
              <w:rPr>
                <w:rStyle w:val="Hyperlink"/>
                <w:noProof/>
              </w:rPr>
              <w:t>4.3.</w:t>
            </w:r>
            <w:r>
              <w:rPr>
                <w:rFonts w:asciiTheme="minorHAnsi" w:eastAsiaTheme="minorEastAsia" w:hAnsiTheme="minorHAnsi" w:cstheme="minorBidi"/>
                <w:noProof/>
                <w:kern w:val="2"/>
                <w:sz w:val="24"/>
                <w:szCs w:val="24"/>
                <w:lang w:eastAsia="en-AU"/>
                <w14:ligatures w14:val="standardContextual"/>
              </w:rPr>
              <w:tab/>
            </w:r>
            <w:r w:rsidRPr="00C97F5D">
              <w:rPr>
                <w:rStyle w:val="Hyperlink"/>
                <w:noProof/>
              </w:rPr>
              <w:t>Irritable bowel syndrome, probiotics</w:t>
            </w:r>
            <w:r>
              <w:rPr>
                <w:noProof/>
                <w:webHidden/>
              </w:rPr>
              <w:tab/>
            </w:r>
            <w:r>
              <w:rPr>
                <w:noProof/>
                <w:webHidden/>
              </w:rPr>
              <w:fldChar w:fldCharType="begin"/>
            </w:r>
            <w:r>
              <w:rPr>
                <w:noProof/>
                <w:webHidden/>
              </w:rPr>
              <w:instrText xml:space="preserve"> PAGEREF _Toc179379618 \h </w:instrText>
            </w:r>
            <w:r>
              <w:rPr>
                <w:noProof/>
                <w:webHidden/>
              </w:rPr>
            </w:r>
            <w:r>
              <w:rPr>
                <w:noProof/>
                <w:webHidden/>
              </w:rPr>
              <w:fldChar w:fldCharType="separate"/>
            </w:r>
            <w:r w:rsidR="00A82DE5">
              <w:rPr>
                <w:noProof/>
                <w:webHidden/>
              </w:rPr>
              <w:t>34</w:t>
            </w:r>
            <w:r>
              <w:rPr>
                <w:noProof/>
                <w:webHidden/>
              </w:rPr>
              <w:fldChar w:fldCharType="end"/>
            </w:r>
          </w:hyperlink>
        </w:p>
        <w:p w14:paraId="76B9DED2" w14:textId="51ED5B68" w:rsidR="00BE77DA" w:rsidRDefault="00BE77DA">
          <w:pPr>
            <w:pStyle w:val="TOC2"/>
            <w:tabs>
              <w:tab w:val="left" w:pos="960"/>
            </w:tabs>
            <w:rPr>
              <w:rFonts w:asciiTheme="minorHAnsi" w:eastAsiaTheme="minorEastAsia" w:hAnsiTheme="minorHAnsi" w:cstheme="minorBidi"/>
              <w:noProof/>
              <w:kern w:val="2"/>
              <w:sz w:val="24"/>
              <w:szCs w:val="24"/>
              <w:lang w:eastAsia="en-AU"/>
              <w14:ligatures w14:val="standardContextual"/>
            </w:rPr>
          </w:pPr>
          <w:hyperlink w:anchor="_Toc179379619" w:history="1">
            <w:r w:rsidRPr="00C97F5D">
              <w:rPr>
                <w:rStyle w:val="Hyperlink"/>
                <w:noProof/>
              </w:rPr>
              <w:t>4.4.</w:t>
            </w:r>
            <w:r>
              <w:rPr>
                <w:rFonts w:asciiTheme="minorHAnsi" w:eastAsiaTheme="minorEastAsia" w:hAnsiTheme="minorHAnsi" w:cstheme="minorBidi"/>
                <w:noProof/>
                <w:kern w:val="2"/>
                <w:sz w:val="24"/>
                <w:szCs w:val="24"/>
                <w:lang w:eastAsia="en-AU"/>
                <w14:ligatures w14:val="standardContextual"/>
              </w:rPr>
              <w:tab/>
            </w:r>
            <w:r w:rsidRPr="00C97F5D">
              <w:rPr>
                <w:rStyle w:val="Hyperlink"/>
                <w:noProof/>
              </w:rPr>
              <w:t>Insomnia/sleeping disorders, magnesium</w:t>
            </w:r>
            <w:r>
              <w:rPr>
                <w:noProof/>
                <w:webHidden/>
              </w:rPr>
              <w:tab/>
            </w:r>
            <w:r>
              <w:rPr>
                <w:noProof/>
                <w:webHidden/>
              </w:rPr>
              <w:fldChar w:fldCharType="begin"/>
            </w:r>
            <w:r>
              <w:rPr>
                <w:noProof/>
                <w:webHidden/>
              </w:rPr>
              <w:instrText xml:space="preserve"> PAGEREF _Toc179379619 \h </w:instrText>
            </w:r>
            <w:r>
              <w:rPr>
                <w:noProof/>
                <w:webHidden/>
              </w:rPr>
            </w:r>
            <w:r>
              <w:rPr>
                <w:noProof/>
                <w:webHidden/>
              </w:rPr>
              <w:fldChar w:fldCharType="separate"/>
            </w:r>
            <w:r w:rsidR="00A82DE5">
              <w:rPr>
                <w:noProof/>
                <w:webHidden/>
              </w:rPr>
              <w:t>44</w:t>
            </w:r>
            <w:r>
              <w:rPr>
                <w:noProof/>
                <w:webHidden/>
              </w:rPr>
              <w:fldChar w:fldCharType="end"/>
            </w:r>
          </w:hyperlink>
        </w:p>
        <w:p w14:paraId="53A612CD" w14:textId="4C01249D" w:rsidR="00BE77DA" w:rsidRDefault="00BE77DA">
          <w:pPr>
            <w:pStyle w:val="TOC2"/>
            <w:tabs>
              <w:tab w:val="left" w:pos="960"/>
            </w:tabs>
            <w:rPr>
              <w:rFonts w:asciiTheme="minorHAnsi" w:eastAsiaTheme="minorEastAsia" w:hAnsiTheme="minorHAnsi" w:cstheme="minorBidi"/>
              <w:noProof/>
              <w:kern w:val="2"/>
              <w:sz w:val="24"/>
              <w:szCs w:val="24"/>
              <w:lang w:eastAsia="en-AU"/>
              <w14:ligatures w14:val="standardContextual"/>
            </w:rPr>
          </w:pPr>
          <w:hyperlink w:anchor="_Toc179379620" w:history="1">
            <w:r w:rsidRPr="00C97F5D">
              <w:rPr>
                <w:rStyle w:val="Hyperlink"/>
                <w:noProof/>
              </w:rPr>
              <w:t>4.5.</w:t>
            </w:r>
            <w:r>
              <w:rPr>
                <w:rFonts w:asciiTheme="minorHAnsi" w:eastAsiaTheme="minorEastAsia" w:hAnsiTheme="minorHAnsi" w:cstheme="minorBidi"/>
                <w:noProof/>
                <w:kern w:val="2"/>
                <w:sz w:val="24"/>
                <w:szCs w:val="24"/>
                <w:lang w:eastAsia="en-AU"/>
                <w14:ligatures w14:val="standardContextual"/>
              </w:rPr>
              <w:tab/>
            </w:r>
            <w:r w:rsidRPr="00C97F5D">
              <w:rPr>
                <w:rStyle w:val="Hyperlink"/>
                <w:noProof/>
              </w:rPr>
              <w:t>Depression (including post-natal), Omega-3</w:t>
            </w:r>
            <w:r>
              <w:rPr>
                <w:noProof/>
                <w:webHidden/>
              </w:rPr>
              <w:tab/>
            </w:r>
            <w:r>
              <w:rPr>
                <w:noProof/>
                <w:webHidden/>
              </w:rPr>
              <w:fldChar w:fldCharType="begin"/>
            </w:r>
            <w:r>
              <w:rPr>
                <w:noProof/>
                <w:webHidden/>
              </w:rPr>
              <w:instrText xml:space="preserve"> PAGEREF _Toc179379620 \h </w:instrText>
            </w:r>
            <w:r>
              <w:rPr>
                <w:noProof/>
                <w:webHidden/>
              </w:rPr>
            </w:r>
            <w:r>
              <w:rPr>
                <w:noProof/>
                <w:webHidden/>
              </w:rPr>
              <w:fldChar w:fldCharType="separate"/>
            </w:r>
            <w:r w:rsidR="00A82DE5">
              <w:rPr>
                <w:noProof/>
                <w:webHidden/>
              </w:rPr>
              <w:t>53</w:t>
            </w:r>
            <w:r>
              <w:rPr>
                <w:noProof/>
                <w:webHidden/>
              </w:rPr>
              <w:fldChar w:fldCharType="end"/>
            </w:r>
          </w:hyperlink>
        </w:p>
        <w:p w14:paraId="252C2DB2" w14:textId="7DA8F972" w:rsidR="00BE77DA" w:rsidRDefault="00BE77DA">
          <w:pPr>
            <w:pStyle w:val="TOC2"/>
            <w:tabs>
              <w:tab w:val="left" w:pos="960"/>
            </w:tabs>
            <w:rPr>
              <w:rFonts w:asciiTheme="minorHAnsi" w:eastAsiaTheme="minorEastAsia" w:hAnsiTheme="minorHAnsi" w:cstheme="minorBidi"/>
              <w:noProof/>
              <w:kern w:val="2"/>
              <w:sz w:val="24"/>
              <w:szCs w:val="24"/>
              <w:lang w:eastAsia="en-AU"/>
              <w14:ligatures w14:val="standardContextual"/>
            </w:rPr>
          </w:pPr>
          <w:hyperlink w:anchor="_Toc179379621" w:history="1">
            <w:r w:rsidRPr="00C97F5D">
              <w:rPr>
                <w:rStyle w:val="Hyperlink"/>
                <w:noProof/>
              </w:rPr>
              <w:t>4.6.</w:t>
            </w:r>
            <w:r>
              <w:rPr>
                <w:rFonts w:asciiTheme="minorHAnsi" w:eastAsiaTheme="minorEastAsia" w:hAnsiTheme="minorHAnsi" w:cstheme="minorBidi"/>
                <w:noProof/>
                <w:kern w:val="2"/>
                <w:sz w:val="24"/>
                <w:szCs w:val="24"/>
                <w:lang w:eastAsia="en-AU"/>
                <w14:ligatures w14:val="standardContextual"/>
              </w:rPr>
              <w:tab/>
            </w:r>
            <w:r w:rsidRPr="00C97F5D">
              <w:rPr>
                <w:rStyle w:val="Hyperlink"/>
                <w:noProof/>
              </w:rPr>
              <w:t>Dysmenorrhea, Cruciferous indoles (indole-3-carbinol, di-indolylmethane)</w:t>
            </w:r>
            <w:r>
              <w:rPr>
                <w:noProof/>
                <w:webHidden/>
              </w:rPr>
              <w:tab/>
            </w:r>
            <w:r>
              <w:rPr>
                <w:noProof/>
                <w:webHidden/>
              </w:rPr>
              <w:fldChar w:fldCharType="begin"/>
            </w:r>
            <w:r>
              <w:rPr>
                <w:noProof/>
                <w:webHidden/>
              </w:rPr>
              <w:instrText xml:space="preserve"> PAGEREF _Toc179379621 \h </w:instrText>
            </w:r>
            <w:r>
              <w:rPr>
                <w:noProof/>
                <w:webHidden/>
              </w:rPr>
            </w:r>
            <w:r>
              <w:rPr>
                <w:noProof/>
                <w:webHidden/>
              </w:rPr>
              <w:fldChar w:fldCharType="separate"/>
            </w:r>
            <w:r w:rsidR="00A82DE5">
              <w:rPr>
                <w:noProof/>
                <w:webHidden/>
              </w:rPr>
              <w:t>64</w:t>
            </w:r>
            <w:r>
              <w:rPr>
                <w:noProof/>
                <w:webHidden/>
              </w:rPr>
              <w:fldChar w:fldCharType="end"/>
            </w:r>
          </w:hyperlink>
        </w:p>
        <w:p w14:paraId="2AE1DCBB" w14:textId="2C1CF47D" w:rsidR="00BE77DA" w:rsidRDefault="00BE77DA">
          <w:pPr>
            <w:pStyle w:val="TOC2"/>
            <w:tabs>
              <w:tab w:val="left" w:pos="960"/>
            </w:tabs>
            <w:rPr>
              <w:rFonts w:asciiTheme="minorHAnsi" w:eastAsiaTheme="minorEastAsia" w:hAnsiTheme="minorHAnsi" w:cstheme="minorBidi"/>
              <w:noProof/>
              <w:kern w:val="2"/>
              <w:sz w:val="24"/>
              <w:szCs w:val="24"/>
              <w:lang w:eastAsia="en-AU"/>
              <w14:ligatures w14:val="standardContextual"/>
            </w:rPr>
          </w:pPr>
          <w:hyperlink w:anchor="_Toc179379622" w:history="1">
            <w:r w:rsidRPr="00C97F5D">
              <w:rPr>
                <w:rStyle w:val="Hyperlink"/>
                <w:noProof/>
              </w:rPr>
              <w:t>4.7.</w:t>
            </w:r>
            <w:r>
              <w:rPr>
                <w:rFonts w:asciiTheme="minorHAnsi" w:eastAsiaTheme="minorEastAsia" w:hAnsiTheme="minorHAnsi" w:cstheme="minorBidi"/>
                <w:noProof/>
                <w:kern w:val="2"/>
                <w:sz w:val="24"/>
                <w:szCs w:val="24"/>
                <w:lang w:eastAsia="en-AU"/>
                <w14:ligatures w14:val="standardContextual"/>
              </w:rPr>
              <w:tab/>
            </w:r>
            <w:r w:rsidRPr="00C97F5D">
              <w:rPr>
                <w:rStyle w:val="Hyperlink"/>
                <w:noProof/>
              </w:rPr>
              <w:t>Premenstrual syndrome (PMS), Cruciferous indoles (indole-3-carbinol, diindolylmethane)</w:t>
            </w:r>
            <w:r>
              <w:rPr>
                <w:noProof/>
                <w:webHidden/>
              </w:rPr>
              <w:tab/>
            </w:r>
            <w:r>
              <w:rPr>
                <w:noProof/>
                <w:webHidden/>
              </w:rPr>
              <w:fldChar w:fldCharType="begin"/>
            </w:r>
            <w:r>
              <w:rPr>
                <w:noProof/>
                <w:webHidden/>
              </w:rPr>
              <w:instrText xml:space="preserve"> PAGEREF _Toc179379622 \h </w:instrText>
            </w:r>
            <w:r>
              <w:rPr>
                <w:noProof/>
                <w:webHidden/>
              </w:rPr>
            </w:r>
            <w:r>
              <w:rPr>
                <w:noProof/>
                <w:webHidden/>
              </w:rPr>
              <w:fldChar w:fldCharType="separate"/>
            </w:r>
            <w:r w:rsidR="00A82DE5">
              <w:rPr>
                <w:noProof/>
                <w:webHidden/>
              </w:rPr>
              <w:t>67</w:t>
            </w:r>
            <w:r>
              <w:rPr>
                <w:noProof/>
                <w:webHidden/>
              </w:rPr>
              <w:fldChar w:fldCharType="end"/>
            </w:r>
          </w:hyperlink>
        </w:p>
        <w:p w14:paraId="35DDCE52" w14:textId="43730B79" w:rsidR="00BE77DA" w:rsidRDefault="00BE77DA">
          <w:pPr>
            <w:pStyle w:val="TOC2"/>
            <w:tabs>
              <w:tab w:val="left" w:pos="960"/>
            </w:tabs>
            <w:rPr>
              <w:rFonts w:asciiTheme="minorHAnsi" w:eastAsiaTheme="minorEastAsia" w:hAnsiTheme="minorHAnsi" w:cstheme="minorBidi"/>
              <w:noProof/>
              <w:kern w:val="2"/>
              <w:sz w:val="24"/>
              <w:szCs w:val="24"/>
              <w:lang w:eastAsia="en-AU"/>
              <w14:ligatures w14:val="standardContextual"/>
            </w:rPr>
          </w:pPr>
          <w:hyperlink w:anchor="_Toc179379623" w:history="1">
            <w:r w:rsidRPr="00C97F5D">
              <w:rPr>
                <w:rStyle w:val="Hyperlink"/>
                <w:noProof/>
              </w:rPr>
              <w:t>4.8.</w:t>
            </w:r>
            <w:r>
              <w:rPr>
                <w:rFonts w:asciiTheme="minorHAnsi" w:eastAsiaTheme="minorEastAsia" w:hAnsiTheme="minorHAnsi" w:cstheme="minorBidi"/>
                <w:noProof/>
                <w:kern w:val="2"/>
                <w:sz w:val="24"/>
                <w:szCs w:val="24"/>
                <w:lang w:eastAsia="en-AU"/>
                <w14:ligatures w14:val="standardContextual"/>
              </w:rPr>
              <w:tab/>
            </w:r>
            <w:r w:rsidRPr="00C97F5D">
              <w:rPr>
                <w:rStyle w:val="Hyperlink"/>
                <w:noProof/>
              </w:rPr>
              <w:t>Atopic disorders (including eczema, dermatitis, allergic rhinitis, allergies), Zinc</w:t>
            </w:r>
            <w:r>
              <w:rPr>
                <w:noProof/>
                <w:webHidden/>
              </w:rPr>
              <w:tab/>
            </w:r>
            <w:r>
              <w:rPr>
                <w:noProof/>
                <w:webHidden/>
              </w:rPr>
              <w:fldChar w:fldCharType="begin"/>
            </w:r>
            <w:r>
              <w:rPr>
                <w:noProof/>
                <w:webHidden/>
              </w:rPr>
              <w:instrText xml:space="preserve"> PAGEREF _Toc179379623 \h </w:instrText>
            </w:r>
            <w:r>
              <w:rPr>
                <w:noProof/>
                <w:webHidden/>
              </w:rPr>
            </w:r>
            <w:r>
              <w:rPr>
                <w:noProof/>
                <w:webHidden/>
              </w:rPr>
              <w:fldChar w:fldCharType="separate"/>
            </w:r>
            <w:r w:rsidR="00A82DE5">
              <w:rPr>
                <w:noProof/>
                <w:webHidden/>
              </w:rPr>
              <w:t>70</w:t>
            </w:r>
            <w:r>
              <w:rPr>
                <w:noProof/>
                <w:webHidden/>
              </w:rPr>
              <w:fldChar w:fldCharType="end"/>
            </w:r>
          </w:hyperlink>
        </w:p>
        <w:p w14:paraId="1940F835" w14:textId="7745832B" w:rsidR="00BE77DA" w:rsidRDefault="00BE77DA">
          <w:pPr>
            <w:pStyle w:val="TOC2"/>
            <w:tabs>
              <w:tab w:val="left" w:pos="960"/>
            </w:tabs>
            <w:rPr>
              <w:rFonts w:asciiTheme="minorHAnsi" w:eastAsiaTheme="minorEastAsia" w:hAnsiTheme="minorHAnsi" w:cstheme="minorBidi"/>
              <w:noProof/>
              <w:kern w:val="2"/>
              <w:sz w:val="24"/>
              <w:szCs w:val="24"/>
              <w:lang w:eastAsia="en-AU"/>
              <w14:ligatures w14:val="standardContextual"/>
            </w:rPr>
          </w:pPr>
          <w:hyperlink w:anchor="_Toc179379624" w:history="1">
            <w:r w:rsidRPr="00C97F5D">
              <w:rPr>
                <w:rStyle w:val="Hyperlink"/>
                <w:noProof/>
              </w:rPr>
              <w:t>4.9.</w:t>
            </w:r>
            <w:r>
              <w:rPr>
                <w:rFonts w:asciiTheme="minorHAnsi" w:eastAsiaTheme="minorEastAsia" w:hAnsiTheme="minorHAnsi" w:cstheme="minorBidi"/>
                <w:noProof/>
                <w:kern w:val="2"/>
                <w:sz w:val="24"/>
                <w:szCs w:val="24"/>
                <w:lang w:eastAsia="en-AU"/>
                <w14:ligatures w14:val="standardContextual"/>
              </w:rPr>
              <w:tab/>
            </w:r>
            <w:r w:rsidRPr="00C97F5D">
              <w:rPr>
                <w:rStyle w:val="Hyperlink"/>
                <w:noProof/>
              </w:rPr>
              <w:t>Fatigue (general) (including CFS and ME), antioxidants (specifically CoQ10 and alpha-lipoic acid)</w:t>
            </w:r>
            <w:r>
              <w:rPr>
                <w:noProof/>
                <w:webHidden/>
              </w:rPr>
              <w:tab/>
            </w:r>
            <w:r>
              <w:rPr>
                <w:noProof/>
                <w:webHidden/>
              </w:rPr>
              <w:fldChar w:fldCharType="begin"/>
            </w:r>
            <w:r>
              <w:rPr>
                <w:noProof/>
                <w:webHidden/>
              </w:rPr>
              <w:instrText xml:space="preserve"> PAGEREF _Toc179379624 \h </w:instrText>
            </w:r>
            <w:r>
              <w:rPr>
                <w:noProof/>
                <w:webHidden/>
              </w:rPr>
            </w:r>
            <w:r>
              <w:rPr>
                <w:noProof/>
                <w:webHidden/>
              </w:rPr>
              <w:fldChar w:fldCharType="separate"/>
            </w:r>
            <w:r w:rsidR="00A82DE5">
              <w:rPr>
                <w:noProof/>
                <w:webHidden/>
              </w:rPr>
              <w:t>77</w:t>
            </w:r>
            <w:r>
              <w:rPr>
                <w:noProof/>
                <w:webHidden/>
              </w:rPr>
              <w:fldChar w:fldCharType="end"/>
            </w:r>
          </w:hyperlink>
        </w:p>
        <w:p w14:paraId="6C7EC99D" w14:textId="7E806BF8" w:rsidR="00BE77DA" w:rsidRDefault="00BE77DA">
          <w:pPr>
            <w:pStyle w:val="TOC2"/>
            <w:tabs>
              <w:tab w:val="left" w:pos="960"/>
            </w:tabs>
            <w:rPr>
              <w:rFonts w:asciiTheme="minorHAnsi" w:eastAsiaTheme="minorEastAsia" w:hAnsiTheme="minorHAnsi" w:cstheme="minorBidi"/>
              <w:noProof/>
              <w:kern w:val="2"/>
              <w:sz w:val="24"/>
              <w:szCs w:val="24"/>
              <w:lang w:eastAsia="en-AU"/>
              <w14:ligatures w14:val="standardContextual"/>
            </w:rPr>
          </w:pPr>
          <w:hyperlink w:anchor="_Toc179379625" w:history="1">
            <w:r w:rsidRPr="00C97F5D">
              <w:rPr>
                <w:rStyle w:val="Hyperlink"/>
                <w:noProof/>
              </w:rPr>
              <w:t>4.10.</w:t>
            </w:r>
            <w:r>
              <w:rPr>
                <w:rFonts w:asciiTheme="minorHAnsi" w:eastAsiaTheme="minorEastAsia" w:hAnsiTheme="minorHAnsi" w:cstheme="minorBidi"/>
                <w:noProof/>
                <w:kern w:val="2"/>
                <w:sz w:val="24"/>
                <w:szCs w:val="24"/>
                <w:lang w:eastAsia="en-AU"/>
                <w14:ligatures w14:val="standardContextual"/>
              </w:rPr>
              <w:tab/>
            </w:r>
            <w:r w:rsidRPr="00C97F5D">
              <w:rPr>
                <w:rStyle w:val="Hyperlink"/>
                <w:noProof/>
              </w:rPr>
              <w:t>Headache and migraine, magnesium</w:t>
            </w:r>
            <w:r>
              <w:rPr>
                <w:noProof/>
                <w:webHidden/>
              </w:rPr>
              <w:tab/>
            </w:r>
            <w:r>
              <w:rPr>
                <w:noProof/>
                <w:webHidden/>
              </w:rPr>
              <w:fldChar w:fldCharType="begin"/>
            </w:r>
            <w:r>
              <w:rPr>
                <w:noProof/>
                <w:webHidden/>
              </w:rPr>
              <w:instrText xml:space="preserve"> PAGEREF _Toc179379625 \h </w:instrText>
            </w:r>
            <w:r>
              <w:rPr>
                <w:noProof/>
                <w:webHidden/>
              </w:rPr>
            </w:r>
            <w:r>
              <w:rPr>
                <w:noProof/>
                <w:webHidden/>
              </w:rPr>
              <w:fldChar w:fldCharType="separate"/>
            </w:r>
            <w:r w:rsidR="00A82DE5">
              <w:rPr>
                <w:noProof/>
                <w:webHidden/>
              </w:rPr>
              <w:t>83</w:t>
            </w:r>
            <w:r>
              <w:rPr>
                <w:noProof/>
                <w:webHidden/>
              </w:rPr>
              <w:fldChar w:fldCharType="end"/>
            </w:r>
          </w:hyperlink>
        </w:p>
        <w:p w14:paraId="57098D5C" w14:textId="53DF6B3F" w:rsidR="00BE77DA" w:rsidRDefault="00BE77DA">
          <w:pPr>
            <w:pStyle w:val="TOC2"/>
            <w:tabs>
              <w:tab w:val="left" w:pos="960"/>
            </w:tabs>
            <w:rPr>
              <w:rFonts w:asciiTheme="minorHAnsi" w:eastAsiaTheme="minorEastAsia" w:hAnsiTheme="minorHAnsi" w:cstheme="minorBidi"/>
              <w:noProof/>
              <w:kern w:val="2"/>
              <w:sz w:val="24"/>
              <w:szCs w:val="24"/>
              <w:lang w:eastAsia="en-AU"/>
              <w14:ligatures w14:val="standardContextual"/>
            </w:rPr>
          </w:pPr>
          <w:hyperlink w:anchor="_Toc179379626" w:history="1">
            <w:r w:rsidRPr="00C97F5D">
              <w:rPr>
                <w:rStyle w:val="Hyperlink"/>
                <w:noProof/>
              </w:rPr>
              <w:t>4.11.</w:t>
            </w:r>
            <w:r>
              <w:rPr>
                <w:rFonts w:asciiTheme="minorHAnsi" w:eastAsiaTheme="minorEastAsia" w:hAnsiTheme="minorHAnsi" w:cstheme="minorBidi"/>
                <w:noProof/>
                <w:kern w:val="2"/>
                <w:sz w:val="24"/>
                <w:szCs w:val="24"/>
                <w:lang w:eastAsia="en-AU"/>
                <w14:ligatures w14:val="standardContextual"/>
              </w:rPr>
              <w:tab/>
            </w:r>
            <w:r w:rsidRPr="00C97F5D">
              <w:rPr>
                <w:rStyle w:val="Hyperlink"/>
                <w:noProof/>
              </w:rPr>
              <w:t>Arthritis/osteoarthritis, magnesium</w:t>
            </w:r>
            <w:r>
              <w:rPr>
                <w:noProof/>
                <w:webHidden/>
              </w:rPr>
              <w:tab/>
            </w:r>
            <w:r>
              <w:rPr>
                <w:noProof/>
                <w:webHidden/>
              </w:rPr>
              <w:fldChar w:fldCharType="begin"/>
            </w:r>
            <w:r>
              <w:rPr>
                <w:noProof/>
                <w:webHidden/>
              </w:rPr>
              <w:instrText xml:space="preserve"> PAGEREF _Toc179379626 \h </w:instrText>
            </w:r>
            <w:r>
              <w:rPr>
                <w:noProof/>
                <w:webHidden/>
              </w:rPr>
            </w:r>
            <w:r>
              <w:rPr>
                <w:noProof/>
                <w:webHidden/>
              </w:rPr>
              <w:fldChar w:fldCharType="separate"/>
            </w:r>
            <w:r w:rsidR="00A82DE5">
              <w:rPr>
                <w:noProof/>
                <w:webHidden/>
              </w:rPr>
              <w:t>89</w:t>
            </w:r>
            <w:r>
              <w:rPr>
                <w:noProof/>
                <w:webHidden/>
              </w:rPr>
              <w:fldChar w:fldCharType="end"/>
            </w:r>
          </w:hyperlink>
        </w:p>
        <w:p w14:paraId="2480F00B" w14:textId="43015B67" w:rsidR="00BE77DA" w:rsidRDefault="00BE77DA">
          <w:pPr>
            <w:pStyle w:val="TOC2"/>
            <w:tabs>
              <w:tab w:val="left" w:pos="960"/>
            </w:tabs>
            <w:rPr>
              <w:rFonts w:asciiTheme="minorHAnsi" w:eastAsiaTheme="minorEastAsia" w:hAnsiTheme="minorHAnsi" w:cstheme="minorBidi"/>
              <w:noProof/>
              <w:kern w:val="2"/>
              <w:sz w:val="24"/>
              <w:szCs w:val="24"/>
              <w:lang w:eastAsia="en-AU"/>
              <w14:ligatures w14:val="standardContextual"/>
            </w:rPr>
          </w:pPr>
          <w:hyperlink w:anchor="_Toc179379627" w:history="1">
            <w:r w:rsidRPr="00C97F5D">
              <w:rPr>
                <w:rStyle w:val="Hyperlink"/>
                <w:noProof/>
              </w:rPr>
              <w:t>4.12.</w:t>
            </w:r>
            <w:r>
              <w:rPr>
                <w:rFonts w:asciiTheme="minorHAnsi" w:eastAsiaTheme="minorEastAsia" w:hAnsiTheme="minorHAnsi" w:cstheme="minorBidi"/>
                <w:noProof/>
                <w:kern w:val="2"/>
                <w:sz w:val="24"/>
                <w:szCs w:val="24"/>
                <w:lang w:eastAsia="en-AU"/>
                <w14:ligatures w14:val="standardContextual"/>
              </w:rPr>
              <w:tab/>
            </w:r>
            <w:r w:rsidRPr="00C97F5D">
              <w:rPr>
                <w:rStyle w:val="Hyperlink"/>
                <w:noProof/>
              </w:rPr>
              <w:t>Hypertension, Omega-3</w:t>
            </w:r>
            <w:r>
              <w:rPr>
                <w:noProof/>
                <w:webHidden/>
              </w:rPr>
              <w:tab/>
            </w:r>
            <w:r>
              <w:rPr>
                <w:noProof/>
                <w:webHidden/>
              </w:rPr>
              <w:fldChar w:fldCharType="begin"/>
            </w:r>
            <w:r>
              <w:rPr>
                <w:noProof/>
                <w:webHidden/>
              </w:rPr>
              <w:instrText xml:space="preserve"> PAGEREF _Toc179379627 \h </w:instrText>
            </w:r>
            <w:r>
              <w:rPr>
                <w:noProof/>
                <w:webHidden/>
              </w:rPr>
            </w:r>
            <w:r>
              <w:rPr>
                <w:noProof/>
                <w:webHidden/>
              </w:rPr>
              <w:fldChar w:fldCharType="separate"/>
            </w:r>
            <w:r w:rsidR="00A82DE5">
              <w:rPr>
                <w:noProof/>
                <w:webHidden/>
              </w:rPr>
              <w:t>92</w:t>
            </w:r>
            <w:r>
              <w:rPr>
                <w:noProof/>
                <w:webHidden/>
              </w:rPr>
              <w:fldChar w:fldCharType="end"/>
            </w:r>
          </w:hyperlink>
        </w:p>
        <w:p w14:paraId="0185A5E0" w14:textId="3988EF0C" w:rsidR="00BE77DA" w:rsidRDefault="00BE77DA">
          <w:pPr>
            <w:pStyle w:val="TOC2"/>
            <w:tabs>
              <w:tab w:val="left" w:pos="960"/>
            </w:tabs>
            <w:rPr>
              <w:rFonts w:asciiTheme="minorHAnsi" w:eastAsiaTheme="minorEastAsia" w:hAnsiTheme="minorHAnsi" w:cstheme="minorBidi"/>
              <w:noProof/>
              <w:kern w:val="2"/>
              <w:sz w:val="24"/>
              <w:szCs w:val="24"/>
              <w:lang w:eastAsia="en-AU"/>
              <w14:ligatures w14:val="standardContextual"/>
            </w:rPr>
          </w:pPr>
          <w:hyperlink w:anchor="_Toc179379628" w:history="1">
            <w:r w:rsidRPr="00C97F5D">
              <w:rPr>
                <w:rStyle w:val="Hyperlink"/>
                <w:noProof/>
              </w:rPr>
              <w:t>4.13.</w:t>
            </w:r>
            <w:r>
              <w:rPr>
                <w:rFonts w:asciiTheme="minorHAnsi" w:eastAsiaTheme="minorEastAsia" w:hAnsiTheme="minorHAnsi" w:cstheme="minorBidi"/>
                <w:noProof/>
                <w:kern w:val="2"/>
                <w:sz w:val="24"/>
                <w:szCs w:val="24"/>
                <w:lang w:eastAsia="en-AU"/>
                <w14:ligatures w14:val="standardContextual"/>
              </w:rPr>
              <w:tab/>
            </w:r>
            <w:r w:rsidRPr="00C97F5D">
              <w:rPr>
                <w:rStyle w:val="Hyperlink"/>
                <w:noProof/>
              </w:rPr>
              <w:t>Fibromyalgia, magnesium</w:t>
            </w:r>
            <w:r>
              <w:rPr>
                <w:noProof/>
                <w:webHidden/>
              </w:rPr>
              <w:tab/>
            </w:r>
            <w:r>
              <w:rPr>
                <w:noProof/>
                <w:webHidden/>
              </w:rPr>
              <w:fldChar w:fldCharType="begin"/>
            </w:r>
            <w:r>
              <w:rPr>
                <w:noProof/>
                <w:webHidden/>
              </w:rPr>
              <w:instrText xml:space="preserve"> PAGEREF _Toc179379628 \h </w:instrText>
            </w:r>
            <w:r>
              <w:rPr>
                <w:noProof/>
                <w:webHidden/>
              </w:rPr>
            </w:r>
            <w:r>
              <w:rPr>
                <w:noProof/>
                <w:webHidden/>
              </w:rPr>
              <w:fldChar w:fldCharType="separate"/>
            </w:r>
            <w:r w:rsidR="00A82DE5">
              <w:rPr>
                <w:noProof/>
                <w:webHidden/>
              </w:rPr>
              <w:t>98</w:t>
            </w:r>
            <w:r>
              <w:rPr>
                <w:noProof/>
                <w:webHidden/>
              </w:rPr>
              <w:fldChar w:fldCharType="end"/>
            </w:r>
          </w:hyperlink>
        </w:p>
        <w:p w14:paraId="7F39279C" w14:textId="3F65EBE7" w:rsidR="00BE77DA" w:rsidRDefault="00BE77DA">
          <w:pPr>
            <w:pStyle w:val="TOC2"/>
            <w:tabs>
              <w:tab w:val="left" w:pos="960"/>
            </w:tabs>
            <w:rPr>
              <w:rFonts w:asciiTheme="minorHAnsi" w:eastAsiaTheme="minorEastAsia" w:hAnsiTheme="minorHAnsi" w:cstheme="minorBidi"/>
              <w:noProof/>
              <w:kern w:val="2"/>
              <w:sz w:val="24"/>
              <w:szCs w:val="24"/>
              <w:lang w:eastAsia="en-AU"/>
              <w14:ligatures w14:val="standardContextual"/>
            </w:rPr>
          </w:pPr>
          <w:hyperlink w:anchor="_Toc179379629" w:history="1">
            <w:r w:rsidRPr="00C97F5D">
              <w:rPr>
                <w:rStyle w:val="Hyperlink"/>
                <w:noProof/>
              </w:rPr>
              <w:t>4.14.</w:t>
            </w:r>
            <w:r>
              <w:rPr>
                <w:rFonts w:asciiTheme="minorHAnsi" w:eastAsiaTheme="minorEastAsia" w:hAnsiTheme="minorHAnsi" w:cstheme="minorBidi"/>
                <w:noProof/>
                <w:kern w:val="2"/>
                <w:sz w:val="24"/>
                <w:szCs w:val="24"/>
                <w:lang w:eastAsia="en-AU"/>
                <w14:ligatures w14:val="standardContextual"/>
              </w:rPr>
              <w:tab/>
            </w:r>
            <w:r w:rsidRPr="00C97F5D">
              <w:rPr>
                <w:rStyle w:val="Hyperlink"/>
                <w:noProof/>
              </w:rPr>
              <w:t>Recurrent infection/s (including urinary tract infections, cystitis, respiratory tract infection, otitis media in children), zinc</w:t>
            </w:r>
            <w:r>
              <w:rPr>
                <w:noProof/>
                <w:webHidden/>
              </w:rPr>
              <w:tab/>
            </w:r>
            <w:r>
              <w:rPr>
                <w:noProof/>
                <w:webHidden/>
              </w:rPr>
              <w:fldChar w:fldCharType="begin"/>
            </w:r>
            <w:r>
              <w:rPr>
                <w:noProof/>
                <w:webHidden/>
              </w:rPr>
              <w:instrText xml:space="preserve"> PAGEREF _Toc179379629 \h </w:instrText>
            </w:r>
            <w:r>
              <w:rPr>
                <w:noProof/>
                <w:webHidden/>
              </w:rPr>
            </w:r>
            <w:r>
              <w:rPr>
                <w:noProof/>
                <w:webHidden/>
              </w:rPr>
              <w:fldChar w:fldCharType="separate"/>
            </w:r>
            <w:r w:rsidR="00A82DE5">
              <w:rPr>
                <w:noProof/>
                <w:webHidden/>
              </w:rPr>
              <w:t>104</w:t>
            </w:r>
            <w:r>
              <w:rPr>
                <w:noProof/>
                <w:webHidden/>
              </w:rPr>
              <w:fldChar w:fldCharType="end"/>
            </w:r>
          </w:hyperlink>
        </w:p>
        <w:p w14:paraId="4EB19671" w14:textId="4C2694D1" w:rsidR="00BE77DA" w:rsidRDefault="00BE77DA">
          <w:pPr>
            <w:pStyle w:val="TOC2"/>
            <w:tabs>
              <w:tab w:val="left" w:pos="960"/>
            </w:tabs>
            <w:rPr>
              <w:rFonts w:asciiTheme="minorHAnsi" w:eastAsiaTheme="minorEastAsia" w:hAnsiTheme="minorHAnsi" w:cstheme="minorBidi"/>
              <w:noProof/>
              <w:kern w:val="2"/>
              <w:sz w:val="24"/>
              <w:szCs w:val="24"/>
              <w:lang w:eastAsia="en-AU"/>
              <w14:ligatures w14:val="standardContextual"/>
            </w:rPr>
          </w:pPr>
          <w:hyperlink w:anchor="_Toc179379630" w:history="1">
            <w:r w:rsidRPr="00C97F5D">
              <w:rPr>
                <w:rStyle w:val="Hyperlink"/>
                <w:noProof/>
              </w:rPr>
              <w:t>4.15.</w:t>
            </w:r>
            <w:r>
              <w:rPr>
                <w:rFonts w:asciiTheme="minorHAnsi" w:eastAsiaTheme="minorEastAsia" w:hAnsiTheme="minorHAnsi" w:cstheme="minorBidi"/>
                <w:noProof/>
                <w:kern w:val="2"/>
                <w:sz w:val="24"/>
                <w:szCs w:val="24"/>
                <w:lang w:eastAsia="en-AU"/>
                <w14:ligatures w14:val="standardContextual"/>
              </w:rPr>
              <w:tab/>
            </w:r>
            <w:r w:rsidRPr="00C97F5D">
              <w:rPr>
                <w:rStyle w:val="Hyperlink"/>
                <w:noProof/>
              </w:rPr>
              <w:t>Diabetes (Type II) (including metabolic syndrome), Antioxidants (specifically CoQ10 and ALA)</w:t>
            </w:r>
            <w:r>
              <w:rPr>
                <w:noProof/>
                <w:webHidden/>
              </w:rPr>
              <w:tab/>
            </w:r>
            <w:r>
              <w:rPr>
                <w:noProof/>
                <w:webHidden/>
              </w:rPr>
              <w:fldChar w:fldCharType="begin"/>
            </w:r>
            <w:r>
              <w:rPr>
                <w:noProof/>
                <w:webHidden/>
              </w:rPr>
              <w:instrText xml:space="preserve"> PAGEREF _Toc179379630 \h </w:instrText>
            </w:r>
            <w:r>
              <w:rPr>
                <w:noProof/>
                <w:webHidden/>
              </w:rPr>
            </w:r>
            <w:r>
              <w:rPr>
                <w:noProof/>
                <w:webHidden/>
              </w:rPr>
              <w:fldChar w:fldCharType="separate"/>
            </w:r>
            <w:r w:rsidR="00A82DE5">
              <w:rPr>
                <w:noProof/>
                <w:webHidden/>
              </w:rPr>
              <w:t>111</w:t>
            </w:r>
            <w:r>
              <w:rPr>
                <w:noProof/>
                <w:webHidden/>
              </w:rPr>
              <w:fldChar w:fldCharType="end"/>
            </w:r>
          </w:hyperlink>
        </w:p>
        <w:p w14:paraId="0DE53B5B" w14:textId="701813A4" w:rsidR="00BE77DA" w:rsidRDefault="00BE77DA">
          <w:pPr>
            <w:pStyle w:val="TOC1"/>
            <w:tabs>
              <w:tab w:val="left" w:pos="720"/>
            </w:tabs>
            <w:rPr>
              <w:rFonts w:asciiTheme="minorHAnsi" w:eastAsiaTheme="minorEastAsia" w:hAnsiTheme="minorHAnsi" w:cstheme="minorBidi"/>
              <w:noProof/>
              <w:kern w:val="2"/>
              <w:sz w:val="24"/>
              <w:szCs w:val="24"/>
              <w:lang w:eastAsia="en-AU"/>
              <w14:ligatures w14:val="standardContextual"/>
            </w:rPr>
          </w:pPr>
          <w:hyperlink w:anchor="_Toc179379631" w:history="1">
            <w:r w:rsidRPr="00C97F5D">
              <w:rPr>
                <w:rStyle w:val="Hyperlink"/>
                <w:noProof/>
              </w:rPr>
              <w:t>5.</w:t>
            </w:r>
            <w:r>
              <w:rPr>
                <w:rFonts w:asciiTheme="minorHAnsi" w:eastAsiaTheme="minorEastAsia" w:hAnsiTheme="minorHAnsi" w:cstheme="minorBidi"/>
                <w:noProof/>
                <w:kern w:val="2"/>
                <w:sz w:val="24"/>
                <w:szCs w:val="24"/>
                <w:lang w:eastAsia="en-AU"/>
                <w14:ligatures w14:val="standardContextual"/>
              </w:rPr>
              <w:tab/>
            </w:r>
            <w:r w:rsidRPr="00C97F5D">
              <w:rPr>
                <w:rStyle w:val="Hyperlink"/>
                <w:noProof/>
              </w:rPr>
              <w:t>Discussion</w:t>
            </w:r>
            <w:r>
              <w:rPr>
                <w:noProof/>
                <w:webHidden/>
              </w:rPr>
              <w:tab/>
            </w:r>
            <w:r>
              <w:rPr>
                <w:noProof/>
                <w:webHidden/>
              </w:rPr>
              <w:fldChar w:fldCharType="begin"/>
            </w:r>
            <w:r>
              <w:rPr>
                <w:noProof/>
                <w:webHidden/>
              </w:rPr>
              <w:instrText xml:space="preserve"> PAGEREF _Toc179379631 \h </w:instrText>
            </w:r>
            <w:r>
              <w:rPr>
                <w:noProof/>
                <w:webHidden/>
              </w:rPr>
            </w:r>
            <w:r>
              <w:rPr>
                <w:noProof/>
                <w:webHidden/>
              </w:rPr>
              <w:fldChar w:fldCharType="separate"/>
            </w:r>
            <w:r w:rsidR="00A82DE5">
              <w:rPr>
                <w:noProof/>
                <w:webHidden/>
              </w:rPr>
              <w:t>119</w:t>
            </w:r>
            <w:r>
              <w:rPr>
                <w:noProof/>
                <w:webHidden/>
              </w:rPr>
              <w:fldChar w:fldCharType="end"/>
            </w:r>
          </w:hyperlink>
        </w:p>
        <w:p w14:paraId="2E22BE6B" w14:textId="3E8870AC" w:rsidR="00BE77DA" w:rsidRDefault="00BE77DA">
          <w:pPr>
            <w:pStyle w:val="TOC2"/>
            <w:tabs>
              <w:tab w:val="left" w:pos="960"/>
            </w:tabs>
            <w:rPr>
              <w:rFonts w:asciiTheme="minorHAnsi" w:eastAsiaTheme="minorEastAsia" w:hAnsiTheme="minorHAnsi" w:cstheme="minorBidi"/>
              <w:noProof/>
              <w:kern w:val="2"/>
              <w:sz w:val="24"/>
              <w:szCs w:val="24"/>
              <w:lang w:eastAsia="en-AU"/>
              <w14:ligatures w14:val="standardContextual"/>
            </w:rPr>
          </w:pPr>
          <w:hyperlink w:anchor="_Toc179379632" w:history="1">
            <w:r w:rsidRPr="00C97F5D">
              <w:rPr>
                <w:rStyle w:val="Hyperlink"/>
                <w:noProof/>
              </w:rPr>
              <w:t>5.1.</w:t>
            </w:r>
            <w:r>
              <w:rPr>
                <w:rFonts w:asciiTheme="minorHAnsi" w:eastAsiaTheme="minorEastAsia" w:hAnsiTheme="minorHAnsi" w:cstheme="minorBidi"/>
                <w:noProof/>
                <w:kern w:val="2"/>
                <w:sz w:val="24"/>
                <w:szCs w:val="24"/>
                <w:lang w:eastAsia="en-AU"/>
                <w14:ligatures w14:val="standardContextual"/>
              </w:rPr>
              <w:tab/>
            </w:r>
            <w:r w:rsidRPr="00C97F5D">
              <w:rPr>
                <w:rStyle w:val="Hyperlink"/>
                <w:noProof/>
              </w:rPr>
              <w:t>Summary of main results</w:t>
            </w:r>
            <w:r>
              <w:rPr>
                <w:noProof/>
                <w:webHidden/>
              </w:rPr>
              <w:tab/>
            </w:r>
            <w:r>
              <w:rPr>
                <w:noProof/>
                <w:webHidden/>
              </w:rPr>
              <w:fldChar w:fldCharType="begin"/>
            </w:r>
            <w:r>
              <w:rPr>
                <w:noProof/>
                <w:webHidden/>
              </w:rPr>
              <w:instrText xml:space="preserve"> PAGEREF _Toc179379632 \h </w:instrText>
            </w:r>
            <w:r>
              <w:rPr>
                <w:noProof/>
                <w:webHidden/>
              </w:rPr>
            </w:r>
            <w:r>
              <w:rPr>
                <w:noProof/>
                <w:webHidden/>
              </w:rPr>
              <w:fldChar w:fldCharType="separate"/>
            </w:r>
            <w:r w:rsidR="00A82DE5">
              <w:rPr>
                <w:noProof/>
                <w:webHidden/>
              </w:rPr>
              <w:t>119</w:t>
            </w:r>
            <w:r>
              <w:rPr>
                <w:noProof/>
                <w:webHidden/>
              </w:rPr>
              <w:fldChar w:fldCharType="end"/>
            </w:r>
          </w:hyperlink>
        </w:p>
        <w:p w14:paraId="05EFD6BB" w14:textId="11FC7638" w:rsidR="00BE77DA" w:rsidRDefault="00BE77DA">
          <w:pPr>
            <w:pStyle w:val="TOC2"/>
            <w:tabs>
              <w:tab w:val="left" w:pos="960"/>
            </w:tabs>
            <w:rPr>
              <w:rFonts w:asciiTheme="minorHAnsi" w:eastAsiaTheme="minorEastAsia" w:hAnsiTheme="minorHAnsi" w:cstheme="minorBidi"/>
              <w:noProof/>
              <w:kern w:val="2"/>
              <w:sz w:val="24"/>
              <w:szCs w:val="24"/>
              <w:lang w:eastAsia="en-AU"/>
              <w14:ligatures w14:val="standardContextual"/>
            </w:rPr>
          </w:pPr>
          <w:hyperlink w:anchor="_Toc179379633" w:history="1">
            <w:r w:rsidRPr="00C97F5D">
              <w:rPr>
                <w:rStyle w:val="Hyperlink"/>
                <w:noProof/>
              </w:rPr>
              <w:t>5.2.</w:t>
            </w:r>
            <w:r>
              <w:rPr>
                <w:rFonts w:asciiTheme="minorHAnsi" w:eastAsiaTheme="minorEastAsia" w:hAnsiTheme="minorHAnsi" w:cstheme="minorBidi"/>
                <w:noProof/>
                <w:kern w:val="2"/>
                <w:sz w:val="24"/>
                <w:szCs w:val="24"/>
                <w:lang w:eastAsia="en-AU"/>
                <w14:ligatures w14:val="standardContextual"/>
              </w:rPr>
              <w:tab/>
            </w:r>
            <w:r w:rsidRPr="00C97F5D">
              <w:rPr>
                <w:rStyle w:val="Hyperlink"/>
                <w:noProof/>
              </w:rPr>
              <w:t>Overall completeness and applicability of evidence</w:t>
            </w:r>
            <w:r>
              <w:rPr>
                <w:noProof/>
                <w:webHidden/>
              </w:rPr>
              <w:tab/>
            </w:r>
            <w:r>
              <w:rPr>
                <w:noProof/>
                <w:webHidden/>
              </w:rPr>
              <w:fldChar w:fldCharType="begin"/>
            </w:r>
            <w:r>
              <w:rPr>
                <w:noProof/>
                <w:webHidden/>
              </w:rPr>
              <w:instrText xml:space="preserve"> PAGEREF _Toc179379633 \h </w:instrText>
            </w:r>
            <w:r>
              <w:rPr>
                <w:noProof/>
                <w:webHidden/>
              </w:rPr>
            </w:r>
            <w:r>
              <w:rPr>
                <w:noProof/>
                <w:webHidden/>
              </w:rPr>
              <w:fldChar w:fldCharType="separate"/>
            </w:r>
            <w:r w:rsidR="00A82DE5">
              <w:rPr>
                <w:noProof/>
                <w:webHidden/>
              </w:rPr>
              <w:t>120</w:t>
            </w:r>
            <w:r>
              <w:rPr>
                <w:noProof/>
                <w:webHidden/>
              </w:rPr>
              <w:fldChar w:fldCharType="end"/>
            </w:r>
          </w:hyperlink>
        </w:p>
        <w:p w14:paraId="5D0D7ED3" w14:textId="23DB64E8" w:rsidR="00BE77DA" w:rsidRDefault="00BE77DA">
          <w:pPr>
            <w:pStyle w:val="TOC2"/>
            <w:tabs>
              <w:tab w:val="left" w:pos="960"/>
            </w:tabs>
            <w:rPr>
              <w:rFonts w:asciiTheme="minorHAnsi" w:eastAsiaTheme="minorEastAsia" w:hAnsiTheme="minorHAnsi" w:cstheme="minorBidi"/>
              <w:noProof/>
              <w:kern w:val="2"/>
              <w:sz w:val="24"/>
              <w:szCs w:val="24"/>
              <w:lang w:eastAsia="en-AU"/>
              <w14:ligatures w14:val="standardContextual"/>
            </w:rPr>
          </w:pPr>
          <w:hyperlink w:anchor="_Toc179379634" w:history="1">
            <w:r w:rsidRPr="00C97F5D">
              <w:rPr>
                <w:rStyle w:val="Hyperlink"/>
                <w:noProof/>
              </w:rPr>
              <w:t>5.3.</w:t>
            </w:r>
            <w:r>
              <w:rPr>
                <w:rFonts w:asciiTheme="minorHAnsi" w:eastAsiaTheme="minorEastAsia" w:hAnsiTheme="minorHAnsi" w:cstheme="minorBidi"/>
                <w:noProof/>
                <w:kern w:val="2"/>
                <w:sz w:val="24"/>
                <w:szCs w:val="24"/>
                <w:lang w:eastAsia="en-AU"/>
                <w14:ligatures w14:val="standardContextual"/>
              </w:rPr>
              <w:tab/>
            </w:r>
            <w:r w:rsidRPr="00C97F5D">
              <w:rPr>
                <w:rStyle w:val="Hyperlink"/>
                <w:noProof/>
              </w:rPr>
              <w:t>Certainty of the evidence</w:t>
            </w:r>
            <w:r>
              <w:rPr>
                <w:noProof/>
                <w:webHidden/>
              </w:rPr>
              <w:tab/>
            </w:r>
            <w:r>
              <w:rPr>
                <w:noProof/>
                <w:webHidden/>
              </w:rPr>
              <w:fldChar w:fldCharType="begin"/>
            </w:r>
            <w:r>
              <w:rPr>
                <w:noProof/>
                <w:webHidden/>
              </w:rPr>
              <w:instrText xml:space="preserve"> PAGEREF _Toc179379634 \h </w:instrText>
            </w:r>
            <w:r>
              <w:rPr>
                <w:noProof/>
                <w:webHidden/>
              </w:rPr>
            </w:r>
            <w:r>
              <w:rPr>
                <w:noProof/>
                <w:webHidden/>
              </w:rPr>
              <w:fldChar w:fldCharType="separate"/>
            </w:r>
            <w:r w:rsidR="00A82DE5">
              <w:rPr>
                <w:noProof/>
                <w:webHidden/>
              </w:rPr>
              <w:t>121</w:t>
            </w:r>
            <w:r>
              <w:rPr>
                <w:noProof/>
                <w:webHidden/>
              </w:rPr>
              <w:fldChar w:fldCharType="end"/>
            </w:r>
          </w:hyperlink>
        </w:p>
        <w:p w14:paraId="69C75C03" w14:textId="64B466DE" w:rsidR="00BE77DA" w:rsidRDefault="00BE77DA">
          <w:pPr>
            <w:pStyle w:val="TOC2"/>
            <w:tabs>
              <w:tab w:val="left" w:pos="960"/>
            </w:tabs>
            <w:rPr>
              <w:rFonts w:asciiTheme="minorHAnsi" w:eastAsiaTheme="minorEastAsia" w:hAnsiTheme="minorHAnsi" w:cstheme="minorBidi"/>
              <w:noProof/>
              <w:kern w:val="2"/>
              <w:sz w:val="24"/>
              <w:szCs w:val="24"/>
              <w:lang w:eastAsia="en-AU"/>
              <w14:ligatures w14:val="standardContextual"/>
            </w:rPr>
          </w:pPr>
          <w:hyperlink w:anchor="_Toc179379635" w:history="1">
            <w:r w:rsidRPr="00C97F5D">
              <w:rPr>
                <w:rStyle w:val="Hyperlink"/>
                <w:noProof/>
              </w:rPr>
              <w:t>5.4.</w:t>
            </w:r>
            <w:r>
              <w:rPr>
                <w:rFonts w:asciiTheme="minorHAnsi" w:eastAsiaTheme="minorEastAsia" w:hAnsiTheme="minorHAnsi" w:cstheme="minorBidi"/>
                <w:noProof/>
                <w:kern w:val="2"/>
                <w:sz w:val="24"/>
                <w:szCs w:val="24"/>
                <w:lang w:eastAsia="en-AU"/>
                <w14:ligatures w14:val="standardContextual"/>
              </w:rPr>
              <w:tab/>
            </w:r>
            <w:r w:rsidRPr="00C97F5D">
              <w:rPr>
                <w:rStyle w:val="Hyperlink"/>
                <w:noProof/>
              </w:rPr>
              <w:t>Potential biases in the overview process</w:t>
            </w:r>
            <w:r>
              <w:rPr>
                <w:noProof/>
                <w:webHidden/>
              </w:rPr>
              <w:tab/>
            </w:r>
            <w:r>
              <w:rPr>
                <w:noProof/>
                <w:webHidden/>
              </w:rPr>
              <w:fldChar w:fldCharType="begin"/>
            </w:r>
            <w:r>
              <w:rPr>
                <w:noProof/>
                <w:webHidden/>
              </w:rPr>
              <w:instrText xml:space="preserve"> PAGEREF _Toc179379635 \h </w:instrText>
            </w:r>
            <w:r>
              <w:rPr>
                <w:noProof/>
                <w:webHidden/>
              </w:rPr>
            </w:r>
            <w:r>
              <w:rPr>
                <w:noProof/>
                <w:webHidden/>
              </w:rPr>
              <w:fldChar w:fldCharType="separate"/>
            </w:r>
            <w:r w:rsidR="00A82DE5">
              <w:rPr>
                <w:noProof/>
                <w:webHidden/>
              </w:rPr>
              <w:t>121</w:t>
            </w:r>
            <w:r>
              <w:rPr>
                <w:noProof/>
                <w:webHidden/>
              </w:rPr>
              <w:fldChar w:fldCharType="end"/>
            </w:r>
          </w:hyperlink>
        </w:p>
        <w:p w14:paraId="2021C67E" w14:textId="589C8FDE" w:rsidR="00BE77DA" w:rsidRDefault="00BE77DA">
          <w:pPr>
            <w:pStyle w:val="TOC2"/>
            <w:tabs>
              <w:tab w:val="left" w:pos="960"/>
            </w:tabs>
            <w:rPr>
              <w:rFonts w:asciiTheme="minorHAnsi" w:eastAsiaTheme="minorEastAsia" w:hAnsiTheme="minorHAnsi" w:cstheme="minorBidi"/>
              <w:noProof/>
              <w:kern w:val="2"/>
              <w:sz w:val="24"/>
              <w:szCs w:val="24"/>
              <w:lang w:eastAsia="en-AU"/>
              <w14:ligatures w14:val="standardContextual"/>
            </w:rPr>
          </w:pPr>
          <w:hyperlink w:anchor="_Toc179379636" w:history="1">
            <w:r w:rsidRPr="00C97F5D">
              <w:rPr>
                <w:rStyle w:val="Hyperlink"/>
                <w:noProof/>
              </w:rPr>
              <w:t>5.5.</w:t>
            </w:r>
            <w:r>
              <w:rPr>
                <w:rFonts w:asciiTheme="minorHAnsi" w:eastAsiaTheme="minorEastAsia" w:hAnsiTheme="minorHAnsi" w:cstheme="minorBidi"/>
                <w:noProof/>
                <w:kern w:val="2"/>
                <w:sz w:val="24"/>
                <w:szCs w:val="24"/>
                <w:lang w:eastAsia="en-AU"/>
                <w14:ligatures w14:val="standardContextual"/>
              </w:rPr>
              <w:tab/>
            </w:r>
            <w:r w:rsidRPr="00C97F5D">
              <w:rPr>
                <w:rStyle w:val="Hyperlink"/>
                <w:noProof/>
              </w:rPr>
              <w:t>Agreements and disagreements with other studies or reviews</w:t>
            </w:r>
            <w:r>
              <w:rPr>
                <w:noProof/>
                <w:webHidden/>
              </w:rPr>
              <w:tab/>
            </w:r>
            <w:r>
              <w:rPr>
                <w:noProof/>
                <w:webHidden/>
              </w:rPr>
              <w:fldChar w:fldCharType="begin"/>
            </w:r>
            <w:r>
              <w:rPr>
                <w:noProof/>
                <w:webHidden/>
              </w:rPr>
              <w:instrText xml:space="preserve"> PAGEREF _Toc179379636 \h </w:instrText>
            </w:r>
            <w:r>
              <w:rPr>
                <w:noProof/>
                <w:webHidden/>
              </w:rPr>
            </w:r>
            <w:r>
              <w:rPr>
                <w:noProof/>
                <w:webHidden/>
              </w:rPr>
              <w:fldChar w:fldCharType="separate"/>
            </w:r>
            <w:r w:rsidR="00A82DE5">
              <w:rPr>
                <w:noProof/>
                <w:webHidden/>
              </w:rPr>
              <w:t>122</w:t>
            </w:r>
            <w:r>
              <w:rPr>
                <w:noProof/>
                <w:webHidden/>
              </w:rPr>
              <w:fldChar w:fldCharType="end"/>
            </w:r>
          </w:hyperlink>
        </w:p>
        <w:p w14:paraId="4AC89CB9" w14:textId="58FC0F48" w:rsidR="00BE77DA" w:rsidRDefault="00BE77DA">
          <w:pPr>
            <w:pStyle w:val="TOC2"/>
            <w:tabs>
              <w:tab w:val="left" w:pos="960"/>
            </w:tabs>
            <w:rPr>
              <w:rFonts w:asciiTheme="minorHAnsi" w:eastAsiaTheme="minorEastAsia" w:hAnsiTheme="minorHAnsi" w:cstheme="minorBidi"/>
              <w:noProof/>
              <w:kern w:val="2"/>
              <w:sz w:val="24"/>
              <w:szCs w:val="24"/>
              <w:lang w:eastAsia="en-AU"/>
              <w14:ligatures w14:val="standardContextual"/>
            </w:rPr>
          </w:pPr>
          <w:hyperlink w:anchor="_Toc179379637" w:history="1">
            <w:r w:rsidRPr="00C97F5D">
              <w:rPr>
                <w:rStyle w:val="Hyperlink"/>
                <w:noProof/>
              </w:rPr>
              <w:t>5.6.</w:t>
            </w:r>
            <w:r>
              <w:rPr>
                <w:rFonts w:asciiTheme="minorHAnsi" w:eastAsiaTheme="minorEastAsia" w:hAnsiTheme="minorHAnsi" w:cstheme="minorBidi"/>
                <w:noProof/>
                <w:kern w:val="2"/>
                <w:sz w:val="24"/>
                <w:szCs w:val="24"/>
                <w:lang w:eastAsia="en-AU"/>
                <w14:ligatures w14:val="standardContextual"/>
              </w:rPr>
              <w:tab/>
            </w:r>
            <w:r w:rsidRPr="00C97F5D">
              <w:rPr>
                <w:rStyle w:val="Hyperlink"/>
                <w:noProof/>
              </w:rPr>
              <w:t>Limitations</w:t>
            </w:r>
            <w:r>
              <w:rPr>
                <w:noProof/>
                <w:webHidden/>
              </w:rPr>
              <w:tab/>
            </w:r>
            <w:r>
              <w:rPr>
                <w:noProof/>
                <w:webHidden/>
              </w:rPr>
              <w:fldChar w:fldCharType="begin"/>
            </w:r>
            <w:r>
              <w:rPr>
                <w:noProof/>
                <w:webHidden/>
              </w:rPr>
              <w:instrText xml:space="preserve"> PAGEREF _Toc179379637 \h </w:instrText>
            </w:r>
            <w:r>
              <w:rPr>
                <w:noProof/>
                <w:webHidden/>
              </w:rPr>
            </w:r>
            <w:r>
              <w:rPr>
                <w:noProof/>
                <w:webHidden/>
              </w:rPr>
              <w:fldChar w:fldCharType="separate"/>
            </w:r>
            <w:r w:rsidR="00A82DE5">
              <w:rPr>
                <w:noProof/>
                <w:webHidden/>
              </w:rPr>
              <w:t>122</w:t>
            </w:r>
            <w:r>
              <w:rPr>
                <w:noProof/>
                <w:webHidden/>
              </w:rPr>
              <w:fldChar w:fldCharType="end"/>
            </w:r>
          </w:hyperlink>
        </w:p>
        <w:p w14:paraId="0D3153F4" w14:textId="1C32021F" w:rsidR="00BE77DA" w:rsidRDefault="00BE77DA">
          <w:pPr>
            <w:pStyle w:val="TOC1"/>
            <w:tabs>
              <w:tab w:val="left" w:pos="720"/>
            </w:tabs>
            <w:rPr>
              <w:rFonts w:asciiTheme="minorHAnsi" w:eastAsiaTheme="minorEastAsia" w:hAnsiTheme="minorHAnsi" w:cstheme="minorBidi"/>
              <w:noProof/>
              <w:kern w:val="2"/>
              <w:sz w:val="24"/>
              <w:szCs w:val="24"/>
              <w:lang w:eastAsia="en-AU"/>
              <w14:ligatures w14:val="standardContextual"/>
            </w:rPr>
          </w:pPr>
          <w:hyperlink w:anchor="_Toc179379638" w:history="1">
            <w:r w:rsidRPr="00C97F5D">
              <w:rPr>
                <w:rStyle w:val="Hyperlink"/>
                <w:noProof/>
              </w:rPr>
              <w:t>6.</w:t>
            </w:r>
            <w:r>
              <w:rPr>
                <w:rFonts w:asciiTheme="minorHAnsi" w:eastAsiaTheme="minorEastAsia" w:hAnsiTheme="minorHAnsi" w:cstheme="minorBidi"/>
                <w:noProof/>
                <w:kern w:val="2"/>
                <w:sz w:val="24"/>
                <w:szCs w:val="24"/>
                <w:lang w:eastAsia="en-AU"/>
                <w14:ligatures w14:val="standardContextual"/>
              </w:rPr>
              <w:tab/>
            </w:r>
            <w:r w:rsidRPr="00C97F5D">
              <w:rPr>
                <w:rStyle w:val="Hyperlink"/>
                <w:noProof/>
              </w:rPr>
              <w:t>Authors’ conclusions</w:t>
            </w:r>
            <w:r>
              <w:rPr>
                <w:noProof/>
                <w:webHidden/>
              </w:rPr>
              <w:tab/>
            </w:r>
            <w:r>
              <w:rPr>
                <w:noProof/>
                <w:webHidden/>
              </w:rPr>
              <w:fldChar w:fldCharType="begin"/>
            </w:r>
            <w:r>
              <w:rPr>
                <w:noProof/>
                <w:webHidden/>
              </w:rPr>
              <w:instrText xml:space="preserve"> PAGEREF _Toc179379638 \h </w:instrText>
            </w:r>
            <w:r>
              <w:rPr>
                <w:noProof/>
                <w:webHidden/>
              </w:rPr>
            </w:r>
            <w:r>
              <w:rPr>
                <w:noProof/>
                <w:webHidden/>
              </w:rPr>
              <w:fldChar w:fldCharType="separate"/>
            </w:r>
            <w:r w:rsidR="00A82DE5">
              <w:rPr>
                <w:noProof/>
                <w:webHidden/>
              </w:rPr>
              <w:t>123</w:t>
            </w:r>
            <w:r>
              <w:rPr>
                <w:noProof/>
                <w:webHidden/>
              </w:rPr>
              <w:fldChar w:fldCharType="end"/>
            </w:r>
          </w:hyperlink>
        </w:p>
        <w:p w14:paraId="386E7CF3" w14:textId="2269856C" w:rsidR="00BE77DA" w:rsidRDefault="00BE77DA">
          <w:pPr>
            <w:pStyle w:val="TOC1"/>
            <w:tabs>
              <w:tab w:val="left" w:pos="720"/>
            </w:tabs>
            <w:rPr>
              <w:rFonts w:asciiTheme="minorHAnsi" w:eastAsiaTheme="minorEastAsia" w:hAnsiTheme="minorHAnsi" w:cstheme="minorBidi"/>
              <w:noProof/>
              <w:kern w:val="2"/>
              <w:sz w:val="24"/>
              <w:szCs w:val="24"/>
              <w:lang w:eastAsia="en-AU"/>
              <w14:ligatures w14:val="standardContextual"/>
            </w:rPr>
          </w:pPr>
          <w:hyperlink w:anchor="_Toc179379639" w:history="1">
            <w:r w:rsidRPr="00C97F5D">
              <w:rPr>
                <w:rStyle w:val="Hyperlink"/>
                <w:noProof/>
              </w:rPr>
              <w:t>7.</w:t>
            </w:r>
            <w:r>
              <w:rPr>
                <w:rFonts w:asciiTheme="minorHAnsi" w:eastAsiaTheme="minorEastAsia" w:hAnsiTheme="minorHAnsi" w:cstheme="minorBidi"/>
                <w:noProof/>
                <w:kern w:val="2"/>
                <w:sz w:val="24"/>
                <w:szCs w:val="24"/>
                <w:lang w:eastAsia="en-AU"/>
                <w14:ligatures w14:val="standardContextual"/>
              </w:rPr>
              <w:tab/>
            </w:r>
            <w:r w:rsidRPr="00C97F5D">
              <w:rPr>
                <w:rStyle w:val="Hyperlink"/>
                <w:noProof/>
              </w:rPr>
              <w:t>Author contributions and declaration of interests</w:t>
            </w:r>
            <w:r>
              <w:rPr>
                <w:noProof/>
                <w:webHidden/>
              </w:rPr>
              <w:tab/>
            </w:r>
            <w:r>
              <w:rPr>
                <w:noProof/>
                <w:webHidden/>
              </w:rPr>
              <w:fldChar w:fldCharType="begin"/>
            </w:r>
            <w:r>
              <w:rPr>
                <w:noProof/>
                <w:webHidden/>
              </w:rPr>
              <w:instrText xml:space="preserve"> PAGEREF _Toc179379639 \h </w:instrText>
            </w:r>
            <w:r>
              <w:rPr>
                <w:noProof/>
                <w:webHidden/>
              </w:rPr>
            </w:r>
            <w:r>
              <w:rPr>
                <w:noProof/>
                <w:webHidden/>
              </w:rPr>
              <w:fldChar w:fldCharType="separate"/>
            </w:r>
            <w:r w:rsidR="00A82DE5">
              <w:rPr>
                <w:noProof/>
                <w:webHidden/>
              </w:rPr>
              <w:t>124</w:t>
            </w:r>
            <w:r>
              <w:rPr>
                <w:noProof/>
                <w:webHidden/>
              </w:rPr>
              <w:fldChar w:fldCharType="end"/>
            </w:r>
          </w:hyperlink>
        </w:p>
        <w:p w14:paraId="01BC50CB" w14:textId="33F50013" w:rsidR="00BE77DA" w:rsidRDefault="00BE77DA">
          <w:pPr>
            <w:pStyle w:val="TOC1"/>
            <w:tabs>
              <w:tab w:val="left" w:pos="720"/>
            </w:tabs>
            <w:rPr>
              <w:rFonts w:asciiTheme="minorHAnsi" w:eastAsiaTheme="minorEastAsia" w:hAnsiTheme="minorHAnsi" w:cstheme="minorBidi"/>
              <w:noProof/>
              <w:kern w:val="2"/>
              <w:sz w:val="24"/>
              <w:szCs w:val="24"/>
              <w:lang w:eastAsia="en-AU"/>
              <w14:ligatures w14:val="standardContextual"/>
            </w:rPr>
          </w:pPr>
          <w:hyperlink w:anchor="_Toc179379640" w:history="1">
            <w:r w:rsidRPr="00C97F5D">
              <w:rPr>
                <w:rStyle w:val="Hyperlink"/>
                <w:noProof/>
              </w:rPr>
              <w:t>8.</w:t>
            </w:r>
            <w:r>
              <w:rPr>
                <w:rFonts w:asciiTheme="minorHAnsi" w:eastAsiaTheme="minorEastAsia" w:hAnsiTheme="minorHAnsi" w:cstheme="minorBidi"/>
                <w:noProof/>
                <w:kern w:val="2"/>
                <w:sz w:val="24"/>
                <w:szCs w:val="24"/>
                <w:lang w:eastAsia="en-AU"/>
                <w14:ligatures w14:val="standardContextual"/>
              </w:rPr>
              <w:tab/>
            </w:r>
            <w:r w:rsidRPr="00C97F5D">
              <w:rPr>
                <w:rStyle w:val="Hyperlink"/>
                <w:noProof/>
              </w:rPr>
              <w:t>References</w:t>
            </w:r>
            <w:r>
              <w:rPr>
                <w:noProof/>
                <w:webHidden/>
              </w:rPr>
              <w:tab/>
            </w:r>
            <w:r>
              <w:rPr>
                <w:noProof/>
                <w:webHidden/>
              </w:rPr>
              <w:fldChar w:fldCharType="begin"/>
            </w:r>
            <w:r>
              <w:rPr>
                <w:noProof/>
                <w:webHidden/>
              </w:rPr>
              <w:instrText xml:space="preserve"> PAGEREF _Toc179379640 \h </w:instrText>
            </w:r>
            <w:r>
              <w:rPr>
                <w:noProof/>
                <w:webHidden/>
              </w:rPr>
            </w:r>
            <w:r>
              <w:rPr>
                <w:noProof/>
                <w:webHidden/>
              </w:rPr>
              <w:fldChar w:fldCharType="separate"/>
            </w:r>
            <w:r w:rsidR="00A82DE5">
              <w:rPr>
                <w:noProof/>
                <w:webHidden/>
              </w:rPr>
              <w:t>125</w:t>
            </w:r>
            <w:r>
              <w:rPr>
                <w:noProof/>
                <w:webHidden/>
              </w:rPr>
              <w:fldChar w:fldCharType="end"/>
            </w:r>
          </w:hyperlink>
        </w:p>
        <w:p w14:paraId="123E2C8F" w14:textId="30743F68" w:rsidR="00A24D67" w:rsidRPr="0054775B" w:rsidRDefault="00A24D67" w:rsidP="009E6F7F">
          <w:pPr>
            <w:rPr>
              <w:highlight w:val="yellow"/>
            </w:rPr>
          </w:pPr>
          <w:r w:rsidRPr="0054775B">
            <w:fldChar w:fldCharType="end"/>
          </w:r>
        </w:p>
      </w:sdtContent>
    </w:sdt>
    <w:p w14:paraId="76401687" w14:textId="32BE3DE1" w:rsidR="00A24D67" w:rsidRPr="0054775B" w:rsidRDefault="00A24D67" w:rsidP="009E6F7F">
      <w:pPr>
        <w:rPr>
          <w:highlight w:val="yellow"/>
        </w:rPr>
      </w:pPr>
      <w:r w:rsidRPr="0054775B">
        <w:rPr>
          <w:highlight w:val="yellow"/>
        </w:rPr>
        <w:br w:type="page"/>
      </w:r>
    </w:p>
    <w:p w14:paraId="13AD3C2C" w14:textId="77777777" w:rsidR="00A24D67" w:rsidRPr="0054775B" w:rsidRDefault="00A24D67" w:rsidP="00A81E6A">
      <w:pPr>
        <w:pStyle w:val="2024HEADER1"/>
        <w:numPr>
          <w:ilvl w:val="0"/>
          <w:numId w:val="0"/>
        </w:numPr>
        <w:ind w:left="851" w:hanging="851"/>
        <w:rPr>
          <w:rStyle w:val="Heading1Char"/>
          <w:rFonts w:ascii="Aptos" w:hAnsi="Aptos"/>
          <w:b/>
          <w:bCs/>
        </w:rPr>
      </w:pPr>
      <w:bookmarkStart w:id="20" w:name="_Toc111119264"/>
      <w:bookmarkStart w:id="21" w:name="_Toc179379604"/>
      <w:r w:rsidRPr="0054775B">
        <w:rPr>
          <w:rStyle w:val="Heading1Char"/>
          <w:rFonts w:ascii="Aptos" w:hAnsi="Aptos"/>
          <w:b/>
          <w:bCs/>
        </w:rPr>
        <w:lastRenderedPageBreak/>
        <w:t>List of Tables</w:t>
      </w:r>
      <w:bookmarkEnd w:id="20"/>
      <w:bookmarkEnd w:id="21"/>
    </w:p>
    <w:p w14:paraId="72BBFD9F" w14:textId="5C967A58" w:rsidR="002947F5" w:rsidRDefault="00A24D67">
      <w:pPr>
        <w:pStyle w:val="TableofFigures"/>
        <w:tabs>
          <w:tab w:val="right" w:leader="dot" w:pos="9220"/>
        </w:tabs>
        <w:rPr>
          <w:rFonts w:asciiTheme="minorHAnsi" w:eastAsiaTheme="minorEastAsia" w:hAnsiTheme="minorHAnsi" w:cstheme="minorBidi"/>
          <w:noProof/>
          <w:kern w:val="2"/>
          <w:sz w:val="24"/>
          <w:szCs w:val="24"/>
          <w:lang w:eastAsia="en-AU"/>
          <w14:ligatures w14:val="standardContextual"/>
        </w:rPr>
      </w:pPr>
      <w:r w:rsidRPr="0054775B">
        <w:rPr>
          <w:rStyle w:val="Hyperlink"/>
          <w:sz w:val="20"/>
          <w:szCs w:val="20"/>
          <w:highlight w:val="yellow"/>
        </w:rPr>
        <w:fldChar w:fldCharType="begin"/>
      </w:r>
      <w:r w:rsidRPr="0054775B">
        <w:rPr>
          <w:rStyle w:val="Hyperlink"/>
          <w:sz w:val="20"/>
          <w:szCs w:val="20"/>
          <w:highlight w:val="yellow"/>
        </w:rPr>
        <w:instrText xml:space="preserve"> TOC \h \z \c "Table" </w:instrText>
      </w:r>
      <w:r w:rsidRPr="0054775B">
        <w:rPr>
          <w:rStyle w:val="Hyperlink"/>
          <w:sz w:val="20"/>
          <w:szCs w:val="20"/>
          <w:highlight w:val="yellow"/>
        </w:rPr>
        <w:fldChar w:fldCharType="separate"/>
      </w:r>
      <w:hyperlink w:anchor="_Toc185261579" w:history="1">
        <w:r w:rsidR="002947F5" w:rsidRPr="00DD1F02">
          <w:rPr>
            <w:rStyle w:val="Hyperlink"/>
            <w:noProof/>
          </w:rPr>
          <w:t>Table 1. List of target population-supplement pairs by priority tier.</w:t>
        </w:r>
        <w:r w:rsidR="002947F5">
          <w:rPr>
            <w:noProof/>
            <w:webHidden/>
          </w:rPr>
          <w:tab/>
        </w:r>
        <w:r w:rsidR="002947F5">
          <w:rPr>
            <w:noProof/>
            <w:webHidden/>
          </w:rPr>
          <w:fldChar w:fldCharType="begin"/>
        </w:r>
        <w:r w:rsidR="002947F5">
          <w:rPr>
            <w:noProof/>
            <w:webHidden/>
          </w:rPr>
          <w:instrText xml:space="preserve"> PAGEREF _Toc185261579 \h </w:instrText>
        </w:r>
        <w:r w:rsidR="002947F5">
          <w:rPr>
            <w:noProof/>
            <w:webHidden/>
          </w:rPr>
        </w:r>
        <w:r w:rsidR="002947F5">
          <w:rPr>
            <w:noProof/>
            <w:webHidden/>
          </w:rPr>
          <w:fldChar w:fldCharType="separate"/>
        </w:r>
        <w:r w:rsidR="00A82DE5">
          <w:rPr>
            <w:noProof/>
            <w:webHidden/>
          </w:rPr>
          <w:t>20</w:t>
        </w:r>
        <w:r w:rsidR="002947F5">
          <w:rPr>
            <w:noProof/>
            <w:webHidden/>
          </w:rPr>
          <w:fldChar w:fldCharType="end"/>
        </w:r>
      </w:hyperlink>
    </w:p>
    <w:p w14:paraId="30FDAA62" w14:textId="1CE39A34" w:rsidR="002947F5" w:rsidRDefault="002947F5">
      <w:pPr>
        <w:pStyle w:val="TableofFigures"/>
        <w:tabs>
          <w:tab w:val="right" w:leader="dot" w:pos="9220"/>
        </w:tabs>
        <w:rPr>
          <w:rFonts w:asciiTheme="minorHAnsi" w:eastAsiaTheme="minorEastAsia" w:hAnsiTheme="minorHAnsi" w:cstheme="minorBidi"/>
          <w:noProof/>
          <w:kern w:val="2"/>
          <w:sz w:val="24"/>
          <w:szCs w:val="24"/>
          <w:lang w:eastAsia="en-AU"/>
          <w14:ligatures w14:val="standardContextual"/>
        </w:rPr>
      </w:pPr>
      <w:hyperlink w:anchor="_Toc185261580" w:history="1">
        <w:r w:rsidRPr="00DD1F02">
          <w:rPr>
            <w:rStyle w:val="Hyperlink"/>
            <w:noProof/>
          </w:rPr>
          <w:t>Table 2. List of prioritised outcomes – anxiety (including post-natal), magnesium (as assessed as part of the Outcome Prioritisation Exercise by NTWC).</w:t>
        </w:r>
        <w:r>
          <w:rPr>
            <w:noProof/>
            <w:webHidden/>
          </w:rPr>
          <w:tab/>
        </w:r>
        <w:r>
          <w:rPr>
            <w:noProof/>
            <w:webHidden/>
          </w:rPr>
          <w:fldChar w:fldCharType="begin"/>
        </w:r>
        <w:r>
          <w:rPr>
            <w:noProof/>
            <w:webHidden/>
          </w:rPr>
          <w:instrText xml:space="preserve"> PAGEREF _Toc185261580 \h </w:instrText>
        </w:r>
        <w:r>
          <w:rPr>
            <w:noProof/>
            <w:webHidden/>
          </w:rPr>
        </w:r>
        <w:r>
          <w:rPr>
            <w:noProof/>
            <w:webHidden/>
          </w:rPr>
          <w:fldChar w:fldCharType="separate"/>
        </w:r>
        <w:r w:rsidR="00A82DE5">
          <w:rPr>
            <w:noProof/>
            <w:webHidden/>
          </w:rPr>
          <w:t>24</w:t>
        </w:r>
        <w:r>
          <w:rPr>
            <w:noProof/>
            <w:webHidden/>
          </w:rPr>
          <w:fldChar w:fldCharType="end"/>
        </w:r>
      </w:hyperlink>
    </w:p>
    <w:p w14:paraId="0E7E418E" w14:textId="7CAA1700" w:rsidR="002947F5" w:rsidRDefault="002947F5">
      <w:pPr>
        <w:pStyle w:val="TableofFigures"/>
        <w:tabs>
          <w:tab w:val="right" w:leader="dot" w:pos="9220"/>
        </w:tabs>
        <w:rPr>
          <w:rFonts w:asciiTheme="minorHAnsi" w:eastAsiaTheme="minorEastAsia" w:hAnsiTheme="minorHAnsi" w:cstheme="minorBidi"/>
          <w:noProof/>
          <w:kern w:val="2"/>
          <w:sz w:val="24"/>
          <w:szCs w:val="24"/>
          <w:lang w:eastAsia="en-AU"/>
          <w14:ligatures w14:val="standardContextual"/>
        </w:rPr>
      </w:pPr>
      <w:hyperlink w:anchor="_Toc185261581" w:history="1">
        <w:r w:rsidRPr="00DD1F02">
          <w:rPr>
            <w:rStyle w:val="Hyperlink"/>
            <w:noProof/>
          </w:rPr>
          <w:t>Table 3. Summary of ROBIS assessments – anxiety (including post-natal), magnesium.</w:t>
        </w:r>
        <w:r>
          <w:rPr>
            <w:noProof/>
            <w:webHidden/>
          </w:rPr>
          <w:tab/>
        </w:r>
        <w:r>
          <w:rPr>
            <w:noProof/>
            <w:webHidden/>
          </w:rPr>
          <w:fldChar w:fldCharType="begin"/>
        </w:r>
        <w:r>
          <w:rPr>
            <w:noProof/>
            <w:webHidden/>
          </w:rPr>
          <w:instrText xml:space="preserve"> PAGEREF _Toc185261581 \h </w:instrText>
        </w:r>
        <w:r>
          <w:rPr>
            <w:noProof/>
            <w:webHidden/>
          </w:rPr>
        </w:r>
        <w:r>
          <w:rPr>
            <w:noProof/>
            <w:webHidden/>
          </w:rPr>
          <w:fldChar w:fldCharType="separate"/>
        </w:r>
        <w:r w:rsidR="00A82DE5">
          <w:rPr>
            <w:noProof/>
            <w:webHidden/>
          </w:rPr>
          <w:t>26</w:t>
        </w:r>
        <w:r>
          <w:rPr>
            <w:noProof/>
            <w:webHidden/>
          </w:rPr>
          <w:fldChar w:fldCharType="end"/>
        </w:r>
      </w:hyperlink>
    </w:p>
    <w:p w14:paraId="1CA590CC" w14:textId="6ED19A72" w:rsidR="002947F5" w:rsidRDefault="002947F5">
      <w:pPr>
        <w:pStyle w:val="TableofFigures"/>
        <w:tabs>
          <w:tab w:val="right" w:leader="dot" w:pos="9220"/>
        </w:tabs>
        <w:rPr>
          <w:rFonts w:asciiTheme="minorHAnsi" w:eastAsiaTheme="minorEastAsia" w:hAnsiTheme="minorHAnsi" w:cstheme="minorBidi"/>
          <w:noProof/>
          <w:kern w:val="2"/>
          <w:sz w:val="24"/>
          <w:szCs w:val="24"/>
          <w:lang w:eastAsia="en-AU"/>
          <w14:ligatures w14:val="standardContextual"/>
        </w:rPr>
      </w:pPr>
      <w:hyperlink w:anchor="_Toc185261582" w:history="1">
        <w:r w:rsidRPr="00DD1F02">
          <w:rPr>
            <w:rStyle w:val="Hyperlink"/>
            <w:noProof/>
          </w:rPr>
          <w:t>Table 4. Contributing reviews for each population and intervention/co-intervention combination – anxiety (including post-natal), magnesium.</w:t>
        </w:r>
        <w:r>
          <w:rPr>
            <w:noProof/>
            <w:webHidden/>
          </w:rPr>
          <w:tab/>
        </w:r>
        <w:r>
          <w:rPr>
            <w:noProof/>
            <w:webHidden/>
          </w:rPr>
          <w:fldChar w:fldCharType="begin"/>
        </w:r>
        <w:r>
          <w:rPr>
            <w:noProof/>
            <w:webHidden/>
          </w:rPr>
          <w:instrText xml:space="preserve"> PAGEREF _Toc185261582 \h </w:instrText>
        </w:r>
        <w:r>
          <w:rPr>
            <w:noProof/>
            <w:webHidden/>
          </w:rPr>
        </w:r>
        <w:r>
          <w:rPr>
            <w:noProof/>
            <w:webHidden/>
          </w:rPr>
          <w:fldChar w:fldCharType="separate"/>
        </w:r>
        <w:r w:rsidR="00A82DE5">
          <w:rPr>
            <w:noProof/>
            <w:webHidden/>
          </w:rPr>
          <w:t>26</w:t>
        </w:r>
        <w:r>
          <w:rPr>
            <w:noProof/>
            <w:webHidden/>
          </w:rPr>
          <w:fldChar w:fldCharType="end"/>
        </w:r>
      </w:hyperlink>
    </w:p>
    <w:p w14:paraId="16B09C08" w14:textId="3454A9B5" w:rsidR="002947F5" w:rsidRDefault="002947F5">
      <w:pPr>
        <w:pStyle w:val="TableofFigures"/>
        <w:tabs>
          <w:tab w:val="right" w:leader="dot" w:pos="9220"/>
        </w:tabs>
        <w:rPr>
          <w:rFonts w:asciiTheme="minorHAnsi" w:eastAsiaTheme="minorEastAsia" w:hAnsiTheme="minorHAnsi" w:cstheme="minorBidi"/>
          <w:noProof/>
          <w:kern w:val="2"/>
          <w:sz w:val="24"/>
          <w:szCs w:val="24"/>
          <w:lang w:eastAsia="en-AU"/>
          <w14:ligatures w14:val="standardContextual"/>
        </w:rPr>
      </w:pPr>
      <w:hyperlink w:anchor="_Toc185261583" w:history="1">
        <w:r w:rsidRPr="00DD1F02">
          <w:rPr>
            <w:rStyle w:val="Hyperlink"/>
            <w:noProof/>
          </w:rPr>
          <w:t>Table 5. Magnesium compared to placebo/inactive control for people at risk of anxiety (including postnatal)</w:t>
        </w:r>
        <w:r>
          <w:rPr>
            <w:noProof/>
            <w:webHidden/>
          </w:rPr>
          <w:tab/>
        </w:r>
        <w:r>
          <w:rPr>
            <w:noProof/>
            <w:webHidden/>
          </w:rPr>
          <w:fldChar w:fldCharType="begin"/>
        </w:r>
        <w:r>
          <w:rPr>
            <w:noProof/>
            <w:webHidden/>
          </w:rPr>
          <w:instrText xml:space="preserve"> PAGEREF _Toc185261583 \h </w:instrText>
        </w:r>
        <w:r>
          <w:rPr>
            <w:noProof/>
            <w:webHidden/>
          </w:rPr>
        </w:r>
        <w:r>
          <w:rPr>
            <w:noProof/>
            <w:webHidden/>
          </w:rPr>
          <w:fldChar w:fldCharType="separate"/>
        </w:r>
        <w:r w:rsidR="00A82DE5">
          <w:rPr>
            <w:noProof/>
            <w:webHidden/>
          </w:rPr>
          <w:t>27</w:t>
        </w:r>
        <w:r>
          <w:rPr>
            <w:noProof/>
            <w:webHidden/>
          </w:rPr>
          <w:fldChar w:fldCharType="end"/>
        </w:r>
      </w:hyperlink>
    </w:p>
    <w:p w14:paraId="105EA20C" w14:textId="6F8E5E43" w:rsidR="002947F5" w:rsidRDefault="002947F5">
      <w:pPr>
        <w:pStyle w:val="TableofFigures"/>
        <w:tabs>
          <w:tab w:val="right" w:leader="dot" w:pos="9220"/>
        </w:tabs>
        <w:rPr>
          <w:rFonts w:asciiTheme="minorHAnsi" w:eastAsiaTheme="minorEastAsia" w:hAnsiTheme="minorHAnsi" w:cstheme="minorBidi"/>
          <w:noProof/>
          <w:kern w:val="2"/>
          <w:sz w:val="24"/>
          <w:szCs w:val="24"/>
          <w:lang w:eastAsia="en-AU"/>
          <w14:ligatures w14:val="standardContextual"/>
        </w:rPr>
      </w:pPr>
      <w:hyperlink w:anchor="_Toc185261584" w:history="1">
        <w:r w:rsidRPr="00DD1F02">
          <w:rPr>
            <w:rStyle w:val="Hyperlink"/>
            <w:noProof/>
          </w:rPr>
          <w:t>Table 6. Magnesium + naturopathy co-intervention compared to placebo/inactive control for anxiety</w:t>
        </w:r>
        <w:r>
          <w:rPr>
            <w:noProof/>
            <w:webHidden/>
          </w:rPr>
          <w:tab/>
        </w:r>
        <w:r>
          <w:rPr>
            <w:noProof/>
            <w:webHidden/>
          </w:rPr>
          <w:fldChar w:fldCharType="begin"/>
        </w:r>
        <w:r>
          <w:rPr>
            <w:noProof/>
            <w:webHidden/>
          </w:rPr>
          <w:instrText xml:space="preserve"> PAGEREF _Toc185261584 \h </w:instrText>
        </w:r>
        <w:r>
          <w:rPr>
            <w:noProof/>
            <w:webHidden/>
          </w:rPr>
        </w:r>
        <w:r>
          <w:rPr>
            <w:noProof/>
            <w:webHidden/>
          </w:rPr>
          <w:fldChar w:fldCharType="separate"/>
        </w:r>
        <w:r w:rsidR="00A82DE5">
          <w:rPr>
            <w:noProof/>
            <w:webHidden/>
          </w:rPr>
          <w:t>29</w:t>
        </w:r>
        <w:r>
          <w:rPr>
            <w:noProof/>
            <w:webHidden/>
          </w:rPr>
          <w:fldChar w:fldCharType="end"/>
        </w:r>
      </w:hyperlink>
    </w:p>
    <w:p w14:paraId="197B503F" w14:textId="5B3694A1" w:rsidR="002947F5" w:rsidRDefault="002947F5">
      <w:pPr>
        <w:pStyle w:val="TableofFigures"/>
        <w:tabs>
          <w:tab w:val="right" w:leader="dot" w:pos="9220"/>
        </w:tabs>
        <w:rPr>
          <w:rFonts w:asciiTheme="minorHAnsi" w:eastAsiaTheme="minorEastAsia" w:hAnsiTheme="minorHAnsi" w:cstheme="minorBidi"/>
          <w:noProof/>
          <w:kern w:val="2"/>
          <w:sz w:val="24"/>
          <w:szCs w:val="24"/>
          <w:lang w:eastAsia="en-AU"/>
          <w14:ligatures w14:val="standardContextual"/>
        </w:rPr>
      </w:pPr>
      <w:hyperlink w:anchor="_Toc185261585" w:history="1">
        <w:r w:rsidRPr="00DD1F02">
          <w:rPr>
            <w:rStyle w:val="Hyperlink"/>
            <w:noProof/>
          </w:rPr>
          <w:t>Table 7. List of prioritised outcomes – stress (perceived, occupational), magnesium (as assessed as part of the Outcome Prioritisation Exercise by NTWC).</w:t>
        </w:r>
        <w:r>
          <w:rPr>
            <w:noProof/>
            <w:webHidden/>
          </w:rPr>
          <w:tab/>
        </w:r>
        <w:r>
          <w:rPr>
            <w:noProof/>
            <w:webHidden/>
          </w:rPr>
          <w:fldChar w:fldCharType="begin"/>
        </w:r>
        <w:r>
          <w:rPr>
            <w:noProof/>
            <w:webHidden/>
          </w:rPr>
          <w:instrText xml:space="preserve"> PAGEREF _Toc185261585 \h </w:instrText>
        </w:r>
        <w:r>
          <w:rPr>
            <w:noProof/>
            <w:webHidden/>
          </w:rPr>
        </w:r>
        <w:r>
          <w:rPr>
            <w:noProof/>
            <w:webHidden/>
          </w:rPr>
          <w:fldChar w:fldCharType="separate"/>
        </w:r>
        <w:r w:rsidR="00A82DE5">
          <w:rPr>
            <w:noProof/>
            <w:webHidden/>
          </w:rPr>
          <w:t>32</w:t>
        </w:r>
        <w:r>
          <w:rPr>
            <w:noProof/>
            <w:webHidden/>
          </w:rPr>
          <w:fldChar w:fldCharType="end"/>
        </w:r>
      </w:hyperlink>
    </w:p>
    <w:p w14:paraId="2AC248F8" w14:textId="4B7B409F" w:rsidR="002947F5" w:rsidRDefault="002947F5">
      <w:pPr>
        <w:pStyle w:val="TableofFigures"/>
        <w:tabs>
          <w:tab w:val="right" w:leader="dot" w:pos="9220"/>
        </w:tabs>
        <w:rPr>
          <w:rFonts w:asciiTheme="minorHAnsi" w:eastAsiaTheme="minorEastAsia" w:hAnsiTheme="minorHAnsi" w:cstheme="minorBidi"/>
          <w:noProof/>
          <w:kern w:val="2"/>
          <w:sz w:val="24"/>
          <w:szCs w:val="24"/>
          <w:lang w:eastAsia="en-AU"/>
          <w14:ligatures w14:val="standardContextual"/>
        </w:rPr>
      </w:pPr>
      <w:hyperlink w:anchor="_Toc185261586" w:history="1">
        <w:r w:rsidRPr="00DD1F02">
          <w:rPr>
            <w:rStyle w:val="Hyperlink"/>
            <w:noProof/>
          </w:rPr>
          <w:t>Table 8. List of prioritised outcomes – irritable bowel syndrome, probiotics (as assessed as part of the Outcome Prioritisation Exercise by NTWC).</w:t>
        </w:r>
        <w:r>
          <w:rPr>
            <w:noProof/>
            <w:webHidden/>
          </w:rPr>
          <w:tab/>
        </w:r>
        <w:r>
          <w:rPr>
            <w:noProof/>
            <w:webHidden/>
          </w:rPr>
          <w:fldChar w:fldCharType="begin"/>
        </w:r>
        <w:r>
          <w:rPr>
            <w:noProof/>
            <w:webHidden/>
          </w:rPr>
          <w:instrText xml:space="preserve"> PAGEREF _Toc185261586 \h </w:instrText>
        </w:r>
        <w:r>
          <w:rPr>
            <w:noProof/>
            <w:webHidden/>
          </w:rPr>
        </w:r>
        <w:r>
          <w:rPr>
            <w:noProof/>
            <w:webHidden/>
          </w:rPr>
          <w:fldChar w:fldCharType="separate"/>
        </w:r>
        <w:r w:rsidR="00A82DE5">
          <w:rPr>
            <w:noProof/>
            <w:webHidden/>
          </w:rPr>
          <w:t>34</w:t>
        </w:r>
        <w:r>
          <w:rPr>
            <w:noProof/>
            <w:webHidden/>
          </w:rPr>
          <w:fldChar w:fldCharType="end"/>
        </w:r>
      </w:hyperlink>
    </w:p>
    <w:p w14:paraId="7A7621E4" w14:textId="53764B4C" w:rsidR="002947F5" w:rsidRDefault="002947F5">
      <w:pPr>
        <w:pStyle w:val="TableofFigures"/>
        <w:tabs>
          <w:tab w:val="right" w:leader="dot" w:pos="9220"/>
        </w:tabs>
        <w:rPr>
          <w:rFonts w:asciiTheme="minorHAnsi" w:eastAsiaTheme="minorEastAsia" w:hAnsiTheme="minorHAnsi" w:cstheme="minorBidi"/>
          <w:noProof/>
          <w:kern w:val="2"/>
          <w:sz w:val="24"/>
          <w:szCs w:val="24"/>
          <w:lang w:eastAsia="en-AU"/>
          <w14:ligatures w14:val="standardContextual"/>
        </w:rPr>
      </w:pPr>
      <w:hyperlink w:anchor="_Toc185261587" w:history="1">
        <w:r w:rsidRPr="00DD1F02">
          <w:rPr>
            <w:rStyle w:val="Hyperlink"/>
            <w:noProof/>
          </w:rPr>
          <w:t>Table 9. Summary of ROBIS assessments – IBS, probiotics</w:t>
        </w:r>
        <w:r>
          <w:rPr>
            <w:noProof/>
            <w:webHidden/>
          </w:rPr>
          <w:tab/>
        </w:r>
        <w:r>
          <w:rPr>
            <w:noProof/>
            <w:webHidden/>
          </w:rPr>
          <w:fldChar w:fldCharType="begin"/>
        </w:r>
        <w:r>
          <w:rPr>
            <w:noProof/>
            <w:webHidden/>
          </w:rPr>
          <w:instrText xml:space="preserve"> PAGEREF _Toc185261587 \h </w:instrText>
        </w:r>
        <w:r>
          <w:rPr>
            <w:noProof/>
            <w:webHidden/>
          </w:rPr>
        </w:r>
        <w:r>
          <w:rPr>
            <w:noProof/>
            <w:webHidden/>
          </w:rPr>
          <w:fldChar w:fldCharType="separate"/>
        </w:r>
        <w:r w:rsidR="00A82DE5">
          <w:rPr>
            <w:noProof/>
            <w:webHidden/>
          </w:rPr>
          <w:t>37</w:t>
        </w:r>
        <w:r>
          <w:rPr>
            <w:noProof/>
            <w:webHidden/>
          </w:rPr>
          <w:fldChar w:fldCharType="end"/>
        </w:r>
      </w:hyperlink>
    </w:p>
    <w:p w14:paraId="20FF12D4" w14:textId="4DAC7FAC" w:rsidR="002947F5" w:rsidRDefault="002947F5">
      <w:pPr>
        <w:pStyle w:val="TableofFigures"/>
        <w:tabs>
          <w:tab w:val="right" w:leader="dot" w:pos="9220"/>
        </w:tabs>
        <w:rPr>
          <w:rFonts w:asciiTheme="minorHAnsi" w:eastAsiaTheme="minorEastAsia" w:hAnsiTheme="minorHAnsi" w:cstheme="minorBidi"/>
          <w:noProof/>
          <w:kern w:val="2"/>
          <w:sz w:val="24"/>
          <w:szCs w:val="24"/>
          <w:lang w:eastAsia="en-AU"/>
          <w14:ligatures w14:val="standardContextual"/>
        </w:rPr>
      </w:pPr>
      <w:hyperlink w:anchor="_Toc185261588" w:history="1">
        <w:r w:rsidRPr="00DD1F02">
          <w:rPr>
            <w:rStyle w:val="Hyperlink"/>
            <w:noProof/>
          </w:rPr>
          <w:t>Table 10. Contributing reviews for each population and intervention/co-intervention combination – IBS, probiotics.</w:t>
        </w:r>
        <w:r>
          <w:rPr>
            <w:noProof/>
            <w:webHidden/>
          </w:rPr>
          <w:tab/>
        </w:r>
        <w:r>
          <w:rPr>
            <w:noProof/>
            <w:webHidden/>
          </w:rPr>
          <w:fldChar w:fldCharType="begin"/>
        </w:r>
        <w:r>
          <w:rPr>
            <w:noProof/>
            <w:webHidden/>
          </w:rPr>
          <w:instrText xml:space="preserve"> PAGEREF _Toc185261588 \h </w:instrText>
        </w:r>
        <w:r>
          <w:rPr>
            <w:noProof/>
            <w:webHidden/>
          </w:rPr>
        </w:r>
        <w:r>
          <w:rPr>
            <w:noProof/>
            <w:webHidden/>
          </w:rPr>
          <w:fldChar w:fldCharType="separate"/>
        </w:r>
        <w:r w:rsidR="00A82DE5">
          <w:rPr>
            <w:noProof/>
            <w:webHidden/>
          </w:rPr>
          <w:t>38</w:t>
        </w:r>
        <w:r>
          <w:rPr>
            <w:noProof/>
            <w:webHidden/>
          </w:rPr>
          <w:fldChar w:fldCharType="end"/>
        </w:r>
      </w:hyperlink>
    </w:p>
    <w:p w14:paraId="7482112D" w14:textId="4209C455" w:rsidR="002947F5" w:rsidRDefault="002947F5">
      <w:pPr>
        <w:pStyle w:val="TableofFigures"/>
        <w:tabs>
          <w:tab w:val="right" w:leader="dot" w:pos="9220"/>
        </w:tabs>
        <w:rPr>
          <w:rFonts w:asciiTheme="minorHAnsi" w:eastAsiaTheme="minorEastAsia" w:hAnsiTheme="minorHAnsi" w:cstheme="minorBidi"/>
          <w:noProof/>
          <w:kern w:val="2"/>
          <w:sz w:val="24"/>
          <w:szCs w:val="24"/>
          <w:lang w:eastAsia="en-AU"/>
          <w14:ligatures w14:val="standardContextual"/>
        </w:rPr>
      </w:pPr>
      <w:hyperlink w:anchor="_Toc185261589" w:history="1">
        <w:r w:rsidRPr="00DD1F02">
          <w:rPr>
            <w:rStyle w:val="Hyperlink"/>
            <w:noProof/>
          </w:rPr>
          <w:t>Table 11. Probiotics compared to placebo/inactive control for IBS</w:t>
        </w:r>
        <w:r>
          <w:rPr>
            <w:noProof/>
            <w:webHidden/>
          </w:rPr>
          <w:tab/>
        </w:r>
        <w:r>
          <w:rPr>
            <w:noProof/>
            <w:webHidden/>
          </w:rPr>
          <w:fldChar w:fldCharType="begin"/>
        </w:r>
        <w:r>
          <w:rPr>
            <w:noProof/>
            <w:webHidden/>
          </w:rPr>
          <w:instrText xml:space="preserve"> PAGEREF _Toc185261589 \h </w:instrText>
        </w:r>
        <w:r>
          <w:rPr>
            <w:noProof/>
            <w:webHidden/>
          </w:rPr>
        </w:r>
        <w:r>
          <w:rPr>
            <w:noProof/>
            <w:webHidden/>
          </w:rPr>
          <w:fldChar w:fldCharType="separate"/>
        </w:r>
        <w:r w:rsidR="00A82DE5">
          <w:rPr>
            <w:noProof/>
            <w:webHidden/>
          </w:rPr>
          <w:t>39</w:t>
        </w:r>
        <w:r>
          <w:rPr>
            <w:noProof/>
            <w:webHidden/>
          </w:rPr>
          <w:fldChar w:fldCharType="end"/>
        </w:r>
      </w:hyperlink>
    </w:p>
    <w:p w14:paraId="3CD9D419" w14:textId="52F7F606" w:rsidR="002947F5" w:rsidRDefault="002947F5">
      <w:pPr>
        <w:pStyle w:val="TableofFigures"/>
        <w:tabs>
          <w:tab w:val="right" w:leader="dot" w:pos="9220"/>
        </w:tabs>
        <w:rPr>
          <w:rFonts w:asciiTheme="minorHAnsi" w:eastAsiaTheme="minorEastAsia" w:hAnsiTheme="minorHAnsi" w:cstheme="minorBidi"/>
          <w:noProof/>
          <w:kern w:val="2"/>
          <w:sz w:val="24"/>
          <w:szCs w:val="24"/>
          <w:lang w:eastAsia="en-AU"/>
          <w14:ligatures w14:val="standardContextual"/>
        </w:rPr>
      </w:pPr>
      <w:hyperlink w:anchor="_Toc185261590" w:history="1">
        <w:r w:rsidRPr="00DD1F02">
          <w:rPr>
            <w:rStyle w:val="Hyperlink"/>
            <w:noProof/>
          </w:rPr>
          <w:t>Table 12. Probiotics + naturopathy co-intervention compared to placebo/inactive control for IBS</w:t>
        </w:r>
        <w:r>
          <w:rPr>
            <w:noProof/>
            <w:webHidden/>
          </w:rPr>
          <w:tab/>
        </w:r>
        <w:r>
          <w:rPr>
            <w:noProof/>
            <w:webHidden/>
          </w:rPr>
          <w:fldChar w:fldCharType="begin"/>
        </w:r>
        <w:r>
          <w:rPr>
            <w:noProof/>
            <w:webHidden/>
          </w:rPr>
          <w:instrText xml:space="preserve"> PAGEREF _Toc185261590 \h </w:instrText>
        </w:r>
        <w:r>
          <w:rPr>
            <w:noProof/>
            <w:webHidden/>
          </w:rPr>
        </w:r>
        <w:r>
          <w:rPr>
            <w:noProof/>
            <w:webHidden/>
          </w:rPr>
          <w:fldChar w:fldCharType="separate"/>
        </w:r>
        <w:r w:rsidR="00A82DE5">
          <w:rPr>
            <w:noProof/>
            <w:webHidden/>
          </w:rPr>
          <w:t>42</w:t>
        </w:r>
        <w:r>
          <w:rPr>
            <w:noProof/>
            <w:webHidden/>
          </w:rPr>
          <w:fldChar w:fldCharType="end"/>
        </w:r>
      </w:hyperlink>
    </w:p>
    <w:p w14:paraId="0BAA9A87" w14:textId="6BDC12CD" w:rsidR="002947F5" w:rsidRDefault="002947F5">
      <w:pPr>
        <w:pStyle w:val="TableofFigures"/>
        <w:tabs>
          <w:tab w:val="right" w:leader="dot" w:pos="9220"/>
        </w:tabs>
        <w:rPr>
          <w:rFonts w:asciiTheme="minorHAnsi" w:eastAsiaTheme="minorEastAsia" w:hAnsiTheme="minorHAnsi" w:cstheme="minorBidi"/>
          <w:noProof/>
          <w:kern w:val="2"/>
          <w:sz w:val="24"/>
          <w:szCs w:val="24"/>
          <w:lang w:eastAsia="en-AU"/>
          <w14:ligatures w14:val="standardContextual"/>
        </w:rPr>
      </w:pPr>
      <w:hyperlink w:anchor="_Toc185261591" w:history="1">
        <w:r w:rsidRPr="00DD1F02">
          <w:rPr>
            <w:rStyle w:val="Hyperlink"/>
            <w:noProof/>
          </w:rPr>
          <w:t>Table 13. List of prioritised outcomes – insomnia/sleeping disorders, magnesium (as assessed as part of the Outcome Prioritisation Exercise by NTWC).</w:t>
        </w:r>
        <w:r>
          <w:rPr>
            <w:noProof/>
            <w:webHidden/>
          </w:rPr>
          <w:tab/>
        </w:r>
        <w:r>
          <w:rPr>
            <w:noProof/>
            <w:webHidden/>
          </w:rPr>
          <w:fldChar w:fldCharType="begin"/>
        </w:r>
        <w:r>
          <w:rPr>
            <w:noProof/>
            <w:webHidden/>
          </w:rPr>
          <w:instrText xml:space="preserve"> PAGEREF _Toc185261591 \h </w:instrText>
        </w:r>
        <w:r>
          <w:rPr>
            <w:noProof/>
            <w:webHidden/>
          </w:rPr>
        </w:r>
        <w:r>
          <w:rPr>
            <w:noProof/>
            <w:webHidden/>
          </w:rPr>
          <w:fldChar w:fldCharType="separate"/>
        </w:r>
        <w:r w:rsidR="00A82DE5">
          <w:rPr>
            <w:noProof/>
            <w:webHidden/>
          </w:rPr>
          <w:t>45</w:t>
        </w:r>
        <w:r>
          <w:rPr>
            <w:noProof/>
            <w:webHidden/>
          </w:rPr>
          <w:fldChar w:fldCharType="end"/>
        </w:r>
      </w:hyperlink>
    </w:p>
    <w:p w14:paraId="2AF6DF8C" w14:textId="01888132" w:rsidR="002947F5" w:rsidRDefault="002947F5">
      <w:pPr>
        <w:pStyle w:val="TableofFigures"/>
        <w:tabs>
          <w:tab w:val="right" w:leader="dot" w:pos="9220"/>
        </w:tabs>
        <w:rPr>
          <w:rFonts w:asciiTheme="minorHAnsi" w:eastAsiaTheme="minorEastAsia" w:hAnsiTheme="minorHAnsi" w:cstheme="minorBidi"/>
          <w:noProof/>
          <w:kern w:val="2"/>
          <w:sz w:val="24"/>
          <w:szCs w:val="24"/>
          <w:lang w:eastAsia="en-AU"/>
          <w14:ligatures w14:val="standardContextual"/>
        </w:rPr>
      </w:pPr>
      <w:hyperlink w:anchor="_Toc185261592" w:history="1">
        <w:r w:rsidRPr="00DD1F02">
          <w:rPr>
            <w:rStyle w:val="Hyperlink"/>
            <w:noProof/>
          </w:rPr>
          <w:t>Table 14. Summary of ROBIS assessments – Insomnia/sleeping disorders, Magnesium</w:t>
        </w:r>
        <w:r>
          <w:rPr>
            <w:noProof/>
            <w:webHidden/>
          </w:rPr>
          <w:tab/>
        </w:r>
        <w:r>
          <w:rPr>
            <w:noProof/>
            <w:webHidden/>
          </w:rPr>
          <w:fldChar w:fldCharType="begin"/>
        </w:r>
        <w:r>
          <w:rPr>
            <w:noProof/>
            <w:webHidden/>
          </w:rPr>
          <w:instrText xml:space="preserve"> PAGEREF _Toc185261592 \h </w:instrText>
        </w:r>
        <w:r>
          <w:rPr>
            <w:noProof/>
            <w:webHidden/>
          </w:rPr>
        </w:r>
        <w:r>
          <w:rPr>
            <w:noProof/>
            <w:webHidden/>
          </w:rPr>
          <w:fldChar w:fldCharType="separate"/>
        </w:r>
        <w:r w:rsidR="00A82DE5">
          <w:rPr>
            <w:noProof/>
            <w:webHidden/>
          </w:rPr>
          <w:t>46</w:t>
        </w:r>
        <w:r>
          <w:rPr>
            <w:noProof/>
            <w:webHidden/>
          </w:rPr>
          <w:fldChar w:fldCharType="end"/>
        </w:r>
      </w:hyperlink>
    </w:p>
    <w:p w14:paraId="5BEAC1AB" w14:textId="38199B6F" w:rsidR="002947F5" w:rsidRDefault="002947F5">
      <w:pPr>
        <w:pStyle w:val="TableofFigures"/>
        <w:tabs>
          <w:tab w:val="right" w:leader="dot" w:pos="9220"/>
        </w:tabs>
        <w:rPr>
          <w:rFonts w:asciiTheme="minorHAnsi" w:eastAsiaTheme="minorEastAsia" w:hAnsiTheme="minorHAnsi" w:cstheme="minorBidi"/>
          <w:noProof/>
          <w:kern w:val="2"/>
          <w:sz w:val="24"/>
          <w:szCs w:val="24"/>
          <w:lang w:eastAsia="en-AU"/>
          <w14:ligatures w14:val="standardContextual"/>
        </w:rPr>
      </w:pPr>
      <w:hyperlink w:anchor="_Toc185261593" w:history="1">
        <w:r w:rsidRPr="00DD1F02">
          <w:rPr>
            <w:rStyle w:val="Hyperlink"/>
            <w:noProof/>
          </w:rPr>
          <w:t>Table 15. Contributing reviews for each population and intervention/co-intervention combination – insomnia/sleeping disorders, magnesium</w:t>
        </w:r>
        <w:r>
          <w:rPr>
            <w:noProof/>
            <w:webHidden/>
          </w:rPr>
          <w:tab/>
        </w:r>
        <w:r>
          <w:rPr>
            <w:noProof/>
            <w:webHidden/>
          </w:rPr>
          <w:fldChar w:fldCharType="begin"/>
        </w:r>
        <w:r>
          <w:rPr>
            <w:noProof/>
            <w:webHidden/>
          </w:rPr>
          <w:instrText xml:space="preserve"> PAGEREF _Toc185261593 \h </w:instrText>
        </w:r>
        <w:r>
          <w:rPr>
            <w:noProof/>
            <w:webHidden/>
          </w:rPr>
        </w:r>
        <w:r>
          <w:rPr>
            <w:noProof/>
            <w:webHidden/>
          </w:rPr>
          <w:fldChar w:fldCharType="separate"/>
        </w:r>
        <w:r w:rsidR="00A82DE5">
          <w:rPr>
            <w:noProof/>
            <w:webHidden/>
          </w:rPr>
          <w:t>47</w:t>
        </w:r>
        <w:r>
          <w:rPr>
            <w:noProof/>
            <w:webHidden/>
          </w:rPr>
          <w:fldChar w:fldCharType="end"/>
        </w:r>
      </w:hyperlink>
    </w:p>
    <w:p w14:paraId="5814A5B8" w14:textId="2D4E5C74" w:rsidR="002947F5" w:rsidRDefault="002947F5">
      <w:pPr>
        <w:pStyle w:val="TableofFigures"/>
        <w:tabs>
          <w:tab w:val="right" w:leader="dot" w:pos="9220"/>
        </w:tabs>
        <w:rPr>
          <w:rFonts w:asciiTheme="minorHAnsi" w:eastAsiaTheme="minorEastAsia" w:hAnsiTheme="minorHAnsi" w:cstheme="minorBidi"/>
          <w:noProof/>
          <w:kern w:val="2"/>
          <w:sz w:val="24"/>
          <w:szCs w:val="24"/>
          <w:lang w:eastAsia="en-AU"/>
          <w14:ligatures w14:val="standardContextual"/>
        </w:rPr>
      </w:pPr>
      <w:hyperlink w:anchor="_Toc185261594" w:history="1">
        <w:r w:rsidRPr="00DD1F02">
          <w:rPr>
            <w:rStyle w:val="Hyperlink"/>
            <w:noProof/>
          </w:rPr>
          <w:t>Table 16. Magnesium compared to placebo/inactive control for insomnia/sleep disorders</w:t>
        </w:r>
        <w:r>
          <w:rPr>
            <w:noProof/>
            <w:webHidden/>
          </w:rPr>
          <w:tab/>
        </w:r>
        <w:r>
          <w:rPr>
            <w:noProof/>
            <w:webHidden/>
          </w:rPr>
          <w:fldChar w:fldCharType="begin"/>
        </w:r>
        <w:r>
          <w:rPr>
            <w:noProof/>
            <w:webHidden/>
          </w:rPr>
          <w:instrText xml:space="preserve"> PAGEREF _Toc185261594 \h </w:instrText>
        </w:r>
        <w:r>
          <w:rPr>
            <w:noProof/>
            <w:webHidden/>
          </w:rPr>
        </w:r>
        <w:r>
          <w:rPr>
            <w:noProof/>
            <w:webHidden/>
          </w:rPr>
          <w:fldChar w:fldCharType="separate"/>
        </w:r>
        <w:r w:rsidR="00A82DE5">
          <w:rPr>
            <w:noProof/>
            <w:webHidden/>
          </w:rPr>
          <w:t>48</w:t>
        </w:r>
        <w:r>
          <w:rPr>
            <w:noProof/>
            <w:webHidden/>
          </w:rPr>
          <w:fldChar w:fldCharType="end"/>
        </w:r>
      </w:hyperlink>
    </w:p>
    <w:p w14:paraId="2B267390" w14:textId="28B9032C" w:rsidR="002947F5" w:rsidRDefault="002947F5">
      <w:pPr>
        <w:pStyle w:val="TableofFigures"/>
        <w:tabs>
          <w:tab w:val="right" w:leader="dot" w:pos="9220"/>
        </w:tabs>
        <w:rPr>
          <w:rFonts w:asciiTheme="minorHAnsi" w:eastAsiaTheme="minorEastAsia" w:hAnsiTheme="minorHAnsi" w:cstheme="minorBidi"/>
          <w:noProof/>
          <w:kern w:val="2"/>
          <w:sz w:val="24"/>
          <w:szCs w:val="24"/>
          <w:lang w:eastAsia="en-AU"/>
          <w14:ligatures w14:val="standardContextual"/>
        </w:rPr>
      </w:pPr>
      <w:hyperlink w:anchor="_Toc185261595" w:history="1">
        <w:r w:rsidRPr="00DD1F02">
          <w:rPr>
            <w:rStyle w:val="Hyperlink"/>
            <w:noProof/>
          </w:rPr>
          <w:t>Table 17. Magnesium + naturopathy co-intervention compared to placebo/inactive control for insomnia/sleep disorders</w:t>
        </w:r>
        <w:r>
          <w:rPr>
            <w:noProof/>
            <w:webHidden/>
          </w:rPr>
          <w:tab/>
        </w:r>
        <w:r>
          <w:rPr>
            <w:noProof/>
            <w:webHidden/>
          </w:rPr>
          <w:fldChar w:fldCharType="begin"/>
        </w:r>
        <w:r>
          <w:rPr>
            <w:noProof/>
            <w:webHidden/>
          </w:rPr>
          <w:instrText xml:space="preserve"> PAGEREF _Toc185261595 \h </w:instrText>
        </w:r>
        <w:r>
          <w:rPr>
            <w:noProof/>
            <w:webHidden/>
          </w:rPr>
        </w:r>
        <w:r>
          <w:rPr>
            <w:noProof/>
            <w:webHidden/>
          </w:rPr>
          <w:fldChar w:fldCharType="separate"/>
        </w:r>
        <w:r w:rsidR="00A82DE5">
          <w:rPr>
            <w:noProof/>
            <w:webHidden/>
          </w:rPr>
          <w:t>51</w:t>
        </w:r>
        <w:r>
          <w:rPr>
            <w:noProof/>
            <w:webHidden/>
          </w:rPr>
          <w:fldChar w:fldCharType="end"/>
        </w:r>
      </w:hyperlink>
    </w:p>
    <w:p w14:paraId="7D2C2E7B" w14:textId="79984A3E" w:rsidR="002947F5" w:rsidRDefault="002947F5">
      <w:pPr>
        <w:pStyle w:val="TableofFigures"/>
        <w:tabs>
          <w:tab w:val="right" w:leader="dot" w:pos="9220"/>
        </w:tabs>
        <w:rPr>
          <w:rFonts w:asciiTheme="minorHAnsi" w:eastAsiaTheme="minorEastAsia" w:hAnsiTheme="minorHAnsi" w:cstheme="minorBidi"/>
          <w:noProof/>
          <w:kern w:val="2"/>
          <w:sz w:val="24"/>
          <w:szCs w:val="24"/>
          <w:lang w:eastAsia="en-AU"/>
          <w14:ligatures w14:val="standardContextual"/>
        </w:rPr>
      </w:pPr>
      <w:hyperlink w:anchor="_Toc185261596" w:history="1">
        <w:r w:rsidRPr="00DD1F02">
          <w:rPr>
            <w:rStyle w:val="Hyperlink"/>
            <w:noProof/>
          </w:rPr>
          <w:t>Table 18. List of prioritised outcomes – Depression (including post-natal), Omega-3 fatty acids (as assessed as part of the Outcome Prioritisation Exercise by NTWC).</w:t>
        </w:r>
        <w:r>
          <w:rPr>
            <w:noProof/>
            <w:webHidden/>
          </w:rPr>
          <w:tab/>
        </w:r>
        <w:r>
          <w:rPr>
            <w:noProof/>
            <w:webHidden/>
          </w:rPr>
          <w:fldChar w:fldCharType="begin"/>
        </w:r>
        <w:r>
          <w:rPr>
            <w:noProof/>
            <w:webHidden/>
          </w:rPr>
          <w:instrText xml:space="preserve"> PAGEREF _Toc185261596 \h </w:instrText>
        </w:r>
        <w:r>
          <w:rPr>
            <w:noProof/>
            <w:webHidden/>
          </w:rPr>
        </w:r>
        <w:r>
          <w:rPr>
            <w:noProof/>
            <w:webHidden/>
          </w:rPr>
          <w:fldChar w:fldCharType="separate"/>
        </w:r>
        <w:r w:rsidR="00A82DE5">
          <w:rPr>
            <w:noProof/>
            <w:webHidden/>
          </w:rPr>
          <w:t>54</w:t>
        </w:r>
        <w:r>
          <w:rPr>
            <w:noProof/>
            <w:webHidden/>
          </w:rPr>
          <w:fldChar w:fldCharType="end"/>
        </w:r>
      </w:hyperlink>
    </w:p>
    <w:p w14:paraId="2300165A" w14:textId="1E6446CB" w:rsidR="002947F5" w:rsidRDefault="002947F5">
      <w:pPr>
        <w:pStyle w:val="TableofFigures"/>
        <w:tabs>
          <w:tab w:val="right" w:leader="dot" w:pos="9220"/>
        </w:tabs>
        <w:rPr>
          <w:rFonts w:asciiTheme="minorHAnsi" w:eastAsiaTheme="minorEastAsia" w:hAnsiTheme="minorHAnsi" w:cstheme="minorBidi"/>
          <w:noProof/>
          <w:kern w:val="2"/>
          <w:sz w:val="24"/>
          <w:szCs w:val="24"/>
          <w:lang w:eastAsia="en-AU"/>
          <w14:ligatures w14:val="standardContextual"/>
        </w:rPr>
      </w:pPr>
      <w:hyperlink w:anchor="_Toc185261597" w:history="1">
        <w:r w:rsidRPr="00DD1F02">
          <w:rPr>
            <w:rStyle w:val="Hyperlink"/>
            <w:noProof/>
          </w:rPr>
          <w:t>Table 19. Summary of ROBIS assessments – Depression (including post-natal), Omega-3 fatty acids.</w:t>
        </w:r>
        <w:r>
          <w:rPr>
            <w:noProof/>
            <w:webHidden/>
          </w:rPr>
          <w:tab/>
        </w:r>
        <w:r>
          <w:rPr>
            <w:noProof/>
            <w:webHidden/>
          </w:rPr>
          <w:fldChar w:fldCharType="begin"/>
        </w:r>
        <w:r>
          <w:rPr>
            <w:noProof/>
            <w:webHidden/>
          </w:rPr>
          <w:instrText xml:space="preserve"> PAGEREF _Toc185261597 \h </w:instrText>
        </w:r>
        <w:r>
          <w:rPr>
            <w:noProof/>
            <w:webHidden/>
          </w:rPr>
        </w:r>
        <w:r>
          <w:rPr>
            <w:noProof/>
            <w:webHidden/>
          </w:rPr>
          <w:fldChar w:fldCharType="separate"/>
        </w:r>
        <w:r w:rsidR="00A82DE5">
          <w:rPr>
            <w:noProof/>
            <w:webHidden/>
          </w:rPr>
          <w:t>55</w:t>
        </w:r>
        <w:r>
          <w:rPr>
            <w:noProof/>
            <w:webHidden/>
          </w:rPr>
          <w:fldChar w:fldCharType="end"/>
        </w:r>
      </w:hyperlink>
    </w:p>
    <w:p w14:paraId="5566434D" w14:textId="0287BF49" w:rsidR="002947F5" w:rsidRDefault="002947F5">
      <w:pPr>
        <w:pStyle w:val="TableofFigures"/>
        <w:tabs>
          <w:tab w:val="right" w:leader="dot" w:pos="9220"/>
        </w:tabs>
        <w:rPr>
          <w:rFonts w:asciiTheme="minorHAnsi" w:eastAsiaTheme="minorEastAsia" w:hAnsiTheme="minorHAnsi" w:cstheme="minorBidi"/>
          <w:noProof/>
          <w:kern w:val="2"/>
          <w:sz w:val="24"/>
          <w:szCs w:val="24"/>
          <w:lang w:eastAsia="en-AU"/>
          <w14:ligatures w14:val="standardContextual"/>
        </w:rPr>
      </w:pPr>
      <w:hyperlink w:anchor="_Toc185261598" w:history="1">
        <w:r w:rsidRPr="00DD1F02">
          <w:rPr>
            <w:rStyle w:val="Hyperlink"/>
            <w:noProof/>
          </w:rPr>
          <w:t>Table 20. Contributing reviews for each population and intervention/co-intervention combination – Depression (including post-natal), Omega-3 fatty acids.</w:t>
        </w:r>
        <w:r>
          <w:rPr>
            <w:noProof/>
            <w:webHidden/>
          </w:rPr>
          <w:tab/>
        </w:r>
        <w:r>
          <w:rPr>
            <w:noProof/>
            <w:webHidden/>
          </w:rPr>
          <w:fldChar w:fldCharType="begin"/>
        </w:r>
        <w:r>
          <w:rPr>
            <w:noProof/>
            <w:webHidden/>
          </w:rPr>
          <w:instrText xml:space="preserve"> PAGEREF _Toc185261598 \h </w:instrText>
        </w:r>
        <w:r>
          <w:rPr>
            <w:noProof/>
            <w:webHidden/>
          </w:rPr>
        </w:r>
        <w:r>
          <w:rPr>
            <w:noProof/>
            <w:webHidden/>
          </w:rPr>
          <w:fldChar w:fldCharType="separate"/>
        </w:r>
        <w:r w:rsidR="00A82DE5">
          <w:rPr>
            <w:noProof/>
            <w:webHidden/>
          </w:rPr>
          <w:t>56</w:t>
        </w:r>
        <w:r>
          <w:rPr>
            <w:noProof/>
            <w:webHidden/>
          </w:rPr>
          <w:fldChar w:fldCharType="end"/>
        </w:r>
      </w:hyperlink>
    </w:p>
    <w:p w14:paraId="4F30BB30" w14:textId="46583AA3" w:rsidR="002947F5" w:rsidRDefault="002947F5">
      <w:pPr>
        <w:pStyle w:val="TableofFigures"/>
        <w:tabs>
          <w:tab w:val="right" w:leader="dot" w:pos="9220"/>
        </w:tabs>
        <w:rPr>
          <w:rFonts w:asciiTheme="minorHAnsi" w:eastAsiaTheme="minorEastAsia" w:hAnsiTheme="minorHAnsi" w:cstheme="minorBidi"/>
          <w:noProof/>
          <w:kern w:val="2"/>
          <w:sz w:val="24"/>
          <w:szCs w:val="24"/>
          <w:lang w:eastAsia="en-AU"/>
          <w14:ligatures w14:val="standardContextual"/>
        </w:rPr>
      </w:pPr>
      <w:hyperlink w:anchor="_Toc185261599" w:history="1">
        <w:r w:rsidRPr="00DD1F02">
          <w:rPr>
            <w:rStyle w:val="Hyperlink"/>
            <w:noProof/>
          </w:rPr>
          <w:t>Table 21. Omega-3 fatty acids compared to placebo for depression (including postnatal)</w:t>
        </w:r>
        <w:r>
          <w:rPr>
            <w:noProof/>
            <w:webHidden/>
          </w:rPr>
          <w:tab/>
        </w:r>
        <w:r>
          <w:rPr>
            <w:noProof/>
            <w:webHidden/>
          </w:rPr>
          <w:fldChar w:fldCharType="begin"/>
        </w:r>
        <w:r>
          <w:rPr>
            <w:noProof/>
            <w:webHidden/>
          </w:rPr>
          <w:instrText xml:space="preserve"> PAGEREF _Toc185261599 \h </w:instrText>
        </w:r>
        <w:r>
          <w:rPr>
            <w:noProof/>
            <w:webHidden/>
          </w:rPr>
        </w:r>
        <w:r>
          <w:rPr>
            <w:noProof/>
            <w:webHidden/>
          </w:rPr>
          <w:fldChar w:fldCharType="separate"/>
        </w:r>
        <w:r w:rsidR="00A82DE5">
          <w:rPr>
            <w:noProof/>
            <w:webHidden/>
          </w:rPr>
          <w:t>58</w:t>
        </w:r>
        <w:r>
          <w:rPr>
            <w:noProof/>
            <w:webHidden/>
          </w:rPr>
          <w:fldChar w:fldCharType="end"/>
        </w:r>
      </w:hyperlink>
    </w:p>
    <w:p w14:paraId="1B89EE97" w14:textId="10B2DB25" w:rsidR="002947F5" w:rsidRDefault="002947F5">
      <w:pPr>
        <w:pStyle w:val="TableofFigures"/>
        <w:tabs>
          <w:tab w:val="right" w:leader="dot" w:pos="9220"/>
        </w:tabs>
        <w:rPr>
          <w:rFonts w:asciiTheme="minorHAnsi" w:eastAsiaTheme="minorEastAsia" w:hAnsiTheme="minorHAnsi" w:cstheme="minorBidi"/>
          <w:noProof/>
          <w:kern w:val="2"/>
          <w:sz w:val="24"/>
          <w:szCs w:val="24"/>
          <w:lang w:eastAsia="en-AU"/>
          <w14:ligatures w14:val="standardContextual"/>
        </w:rPr>
      </w:pPr>
      <w:hyperlink w:anchor="_Toc185261600" w:history="1">
        <w:r w:rsidRPr="00DD1F02">
          <w:rPr>
            <w:rStyle w:val="Hyperlink"/>
            <w:noProof/>
          </w:rPr>
          <w:t>Table 22. Omega-3 fatty acids compared to placebo for people at risk of depression (including postnatal)</w:t>
        </w:r>
        <w:r>
          <w:rPr>
            <w:noProof/>
            <w:webHidden/>
          </w:rPr>
          <w:tab/>
        </w:r>
        <w:r>
          <w:rPr>
            <w:noProof/>
            <w:webHidden/>
          </w:rPr>
          <w:fldChar w:fldCharType="begin"/>
        </w:r>
        <w:r>
          <w:rPr>
            <w:noProof/>
            <w:webHidden/>
          </w:rPr>
          <w:instrText xml:space="preserve"> PAGEREF _Toc185261600 \h </w:instrText>
        </w:r>
        <w:r>
          <w:rPr>
            <w:noProof/>
            <w:webHidden/>
          </w:rPr>
        </w:r>
        <w:r>
          <w:rPr>
            <w:noProof/>
            <w:webHidden/>
          </w:rPr>
          <w:fldChar w:fldCharType="separate"/>
        </w:r>
        <w:r w:rsidR="00A82DE5">
          <w:rPr>
            <w:noProof/>
            <w:webHidden/>
          </w:rPr>
          <w:t>62</w:t>
        </w:r>
        <w:r>
          <w:rPr>
            <w:noProof/>
            <w:webHidden/>
          </w:rPr>
          <w:fldChar w:fldCharType="end"/>
        </w:r>
      </w:hyperlink>
    </w:p>
    <w:p w14:paraId="1592DBA4" w14:textId="3FB1F58F" w:rsidR="002947F5" w:rsidRDefault="002947F5">
      <w:pPr>
        <w:pStyle w:val="TableofFigures"/>
        <w:tabs>
          <w:tab w:val="right" w:leader="dot" w:pos="9220"/>
        </w:tabs>
        <w:rPr>
          <w:rFonts w:asciiTheme="minorHAnsi" w:eastAsiaTheme="minorEastAsia" w:hAnsiTheme="minorHAnsi" w:cstheme="minorBidi"/>
          <w:noProof/>
          <w:kern w:val="2"/>
          <w:sz w:val="24"/>
          <w:szCs w:val="24"/>
          <w:lang w:eastAsia="en-AU"/>
          <w14:ligatures w14:val="standardContextual"/>
        </w:rPr>
      </w:pPr>
      <w:hyperlink w:anchor="_Toc185261601" w:history="1">
        <w:r w:rsidRPr="00DD1F02">
          <w:rPr>
            <w:rStyle w:val="Hyperlink"/>
            <w:noProof/>
          </w:rPr>
          <w:t>Table 23. List of prioritised outcomes – Dysmenorrhea, Cruciferous indoles (indole-3-carbinol, diindolylmethane) (as assessed as part of the Outcome Prioritisation Exercise by NTWC).</w:t>
        </w:r>
        <w:r>
          <w:rPr>
            <w:noProof/>
            <w:webHidden/>
          </w:rPr>
          <w:tab/>
        </w:r>
        <w:r>
          <w:rPr>
            <w:noProof/>
            <w:webHidden/>
          </w:rPr>
          <w:fldChar w:fldCharType="begin"/>
        </w:r>
        <w:r>
          <w:rPr>
            <w:noProof/>
            <w:webHidden/>
          </w:rPr>
          <w:instrText xml:space="preserve"> PAGEREF _Toc185261601 \h </w:instrText>
        </w:r>
        <w:r>
          <w:rPr>
            <w:noProof/>
            <w:webHidden/>
          </w:rPr>
        </w:r>
        <w:r>
          <w:rPr>
            <w:noProof/>
            <w:webHidden/>
          </w:rPr>
          <w:fldChar w:fldCharType="separate"/>
        </w:r>
        <w:r w:rsidR="00A82DE5">
          <w:rPr>
            <w:noProof/>
            <w:webHidden/>
          </w:rPr>
          <w:t>64</w:t>
        </w:r>
        <w:r>
          <w:rPr>
            <w:noProof/>
            <w:webHidden/>
          </w:rPr>
          <w:fldChar w:fldCharType="end"/>
        </w:r>
      </w:hyperlink>
    </w:p>
    <w:p w14:paraId="3E00F2AD" w14:textId="3EA61B32" w:rsidR="002947F5" w:rsidRDefault="002947F5">
      <w:pPr>
        <w:pStyle w:val="TableofFigures"/>
        <w:tabs>
          <w:tab w:val="right" w:leader="dot" w:pos="9220"/>
        </w:tabs>
        <w:rPr>
          <w:rFonts w:asciiTheme="minorHAnsi" w:eastAsiaTheme="minorEastAsia" w:hAnsiTheme="minorHAnsi" w:cstheme="minorBidi"/>
          <w:noProof/>
          <w:kern w:val="2"/>
          <w:sz w:val="24"/>
          <w:szCs w:val="24"/>
          <w:lang w:eastAsia="en-AU"/>
          <w14:ligatures w14:val="standardContextual"/>
        </w:rPr>
      </w:pPr>
      <w:hyperlink w:anchor="_Toc185261602" w:history="1">
        <w:r w:rsidRPr="00DD1F02">
          <w:rPr>
            <w:rStyle w:val="Hyperlink"/>
            <w:noProof/>
          </w:rPr>
          <w:t>Table 24. List of prioritised outcomes – Premenstrual syndrome (PMS), Cruciferous indoles (indole-3-carbinol, di-indolylmethane) (as assessed as part of the Outcome Prioritisation Exercise by NTWC).</w:t>
        </w:r>
        <w:r>
          <w:rPr>
            <w:noProof/>
            <w:webHidden/>
          </w:rPr>
          <w:tab/>
        </w:r>
        <w:r>
          <w:rPr>
            <w:noProof/>
            <w:webHidden/>
          </w:rPr>
          <w:fldChar w:fldCharType="begin"/>
        </w:r>
        <w:r>
          <w:rPr>
            <w:noProof/>
            <w:webHidden/>
          </w:rPr>
          <w:instrText xml:space="preserve"> PAGEREF _Toc185261602 \h </w:instrText>
        </w:r>
        <w:r>
          <w:rPr>
            <w:noProof/>
            <w:webHidden/>
          </w:rPr>
        </w:r>
        <w:r>
          <w:rPr>
            <w:noProof/>
            <w:webHidden/>
          </w:rPr>
          <w:fldChar w:fldCharType="separate"/>
        </w:r>
        <w:r w:rsidR="00A82DE5">
          <w:rPr>
            <w:noProof/>
            <w:webHidden/>
          </w:rPr>
          <w:t>67</w:t>
        </w:r>
        <w:r>
          <w:rPr>
            <w:noProof/>
            <w:webHidden/>
          </w:rPr>
          <w:fldChar w:fldCharType="end"/>
        </w:r>
      </w:hyperlink>
    </w:p>
    <w:p w14:paraId="456AB75B" w14:textId="10A4A4AC" w:rsidR="002947F5" w:rsidRDefault="002947F5">
      <w:pPr>
        <w:pStyle w:val="TableofFigures"/>
        <w:tabs>
          <w:tab w:val="right" w:leader="dot" w:pos="9220"/>
        </w:tabs>
        <w:rPr>
          <w:rFonts w:asciiTheme="minorHAnsi" w:eastAsiaTheme="minorEastAsia" w:hAnsiTheme="minorHAnsi" w:cstheme="minorBidi"/>
          <w:noProof/>
          <w:kern w:val="2"/>
          <w:sz w:val="24"/>
          <w:szCs w:val="24"/>
          <w:lang w:eastAsia="en-AU"/>
          <w14:ligatures w14:val="standardContextual"/>
        </w:rPr>
      </w:pPr>
      <w:hyperlink w:anchor="_Toc185261603" w:history="1">
        <w:r w:rsidRPr="00DD1F02">
          <w:rPr>
            <w:rStyle w:val="Hyperlink"/>
            <w:noProof/>
          </w:rPr>
          <w:t>Table 25. List of prioritised outcomes – atopic disorders (including eczema, dermatitis, allergic rhinitis, allergies), zinc (as assessed as part of the Outcome Prioritisation Exercise by NTWC).</w:t>
        </w:r>
        <w:r>
          <w:rPr>
            <w:noProof/>
            <w:webHidden/>
          </w:rPr>
          <w:tab/>
        </w:r>
        <w:r>
          <w:rPr>
            <w:noProof/>
            <w:webHidden/>
          </w:rPr>
          <w:fldChar w:fldCharType="begin"/>
        </w:r>
        <w:r>
          <w:rPr>
            <w:noProof/>
            <w:webHidden/>
          </w:rPr>
          <w:instrText xml:space="preserve"> PAGEREF _Toc185261603 \h </w:instrText>
        </w:r>
        <w:r>
          <w:rPr>
            <w:noProof/>
            <w:webHidden/>
          </w:rPr>
        </w:r>
        <w:r>
          <w:rPr>
            <w:noProof/>
            <w:webHidden/>
          </w:rPr>
          <w:fldChar w:fldCharType="separate"/>
        </w:r>
        <w:r w:rsidR="00A82DE5">
          <w:rPr>
            <w:noProof/>
            <w:webHidden/>
          </w:rPr>
          <w:t>71</w:t>
        </w:r>
        <w:r>
          <w:rPr>
            <w:noProof/>
            <w:webHidden/>
          </w:rPr>
          <w:fldChar w:fldCharType="end"/>
        </w:r>
      </w:hyperlink>
    </w:p>
    <w:p w14:paraId="2A08F61A" w14:textId="0B86C5A1" w:rsidR="002947F5" w:rsidRDefault="002947F5">
      <w:pPr>
        <w:pStyle w:val="TableofFigures"/>
        <w:tabs>
          <w:tab w:val="right" w:leader="dot" w:pos="9220"/>
        </w:tabs>
        <w:rPr>
          <w:rFonts w:asciiTheme="minorHAnsi" w:eastAsiaTheme="minorEastAsia" w:hAnsiTheme="minorHAnsi" w:cstheme="minorBidi"/>
          <w:noProof/>
          <w:kern w:val="2"/>
          <w:sz w:val="24"/>
          <w:szCs w:val="24"/>
          <w:lang w:eastAsia="en-AU"/>
          <w14:ligatures w14:val="standardContextual"/>
        </w:rPr>
      </w:pPr>
      <w:hyperlink w:anchor="_Toc185261604" w:history="1">
        <w:r w:rsidRPr="00DD1F02">
          <w:rPr>
            <w:rStyle w:val="Hyperlink"/>
            <w:noProof/>
          </w:rPr>
          <w:t>Table 26. Summary of ROBIS assessments – atopic disorders, zinc</w:t>
        </w:r>
        <w:r>
          <w:rPr>
            <w:noProof/>
            <w:webHidden/>
          </w:rPr>
          <w:tab/>
        </w:r>
        <w:r>
          <w:rPr>
            <w:noProof/>
            <w:webHidden/>
          </w:rPr>
          <w:fldChar w:fldCharType="begin"/>
        </w:r>
        <w:r>
          <w:rPr>
            <w:noProof/>
            <w:webHidden/>
          </w:rPr>
          <w:instrText xml:space="preserve"> PAGEREF _Toc185261604 \h </w:instrText>
        </w:r>
        <w:r>
          <w:rPr>
            <w:noProof/>
            <w:webHidden/>
          </w:rPr>
        </w:r>
        <w:r>
          <w:rPr>
            <w:noProof/>
            <w:webHidden/>
          </w:rPr>
          <w:fldChar w:fldCharType="separate"/>
        </w:r>
        <w:r w:rsidR="00A82DE5">
          <w:rPr>
            <w:noProof/>
            <w:webHidden/>
          </w:rPr>
          <w:t>72</w:t>
        </w:r>
        <w:r>
          <w:rPr>
            <w:noProof/>
            <w:webHidden/>
          </w:rPr>
          <w:fldChar w:fldCharType="end"/>
        </w:r>
      </w:hyperlink>
    </w:p>
    <w:p w14:paraId="34D60755" w14:textId="128F0267" w:rsidR="002947F5" w:rsidRDefault="002947F5">
      <w:pPr>
        <w:pStyle w:val="TableofFigures"/>
        <w:tabs>
          <w:tab w:val="right" w:leader="dot" w:pos="9220"/>
        </w:tabs>
        <w:rPr>
          <w:rFonts w:asciiTheme="minorHAnsi" w:eastAsiaTheme="minorEastAsia" w:hAnsiTheme="minorHAnsi" w:cstheme="minorBidi"/>
          <w:noProof/>
          <w:kern w:val="2"/>
          <w:sz w:val="24"/>
          <w:szCs w:val="24"/>
          <w:lang w:eastAsia="en-AU"/>
          <w14:ligatures w14:val="standardContextual"/>
        </w:rPr>
      </w:pPr>
      <w:hyperlink w:anchor="_Toc185261605" w:history="1">
        <w:r w:rsidRPr="00DD1F02">
          <w:rPr>
            <w:rStyle w:val="Hyperlink"/>
            <w:noProof/>
          </w:rPr>
          <w:t>Table 27. Contributing reviews for each population and intervention/co-intervention combination – atopic disorders, zinc</w:t>
        </w:r>
        <w:r>
          <w:rPr>
            <w:noProof/>
            <w:webHidden/>
          </w:rPr>
          <w:tab/>
        </w:r>
        <w:r>
          <w:rPr>
            <w:noProof/>
            <w:webHidden/>
          </w:rPr>
          <w:fldChar w:fldCharType="begin"/>
        </w:r>
        <w:r>
          <w:rPr>
            <w:noProof/>
            <w:webHidden/>
          </w:rPr>
          <w:instrText xml:space="preserve"> PAGEREF _Toc185261605 \h </w:instrText>
        </w:r>
        <w:r>
          <w:rPr>
            <w:noProof/>
            <w:webHidden/>
          </w:rPr>
        </w:r>
        <w:r>
          <w:rPr>
            <w:noProof/>
            <w:webHidden/>
          </w:rPr>
          <w:fldChar w:fldCharType="separate"/>
        </w:r>
        <w:r w:rsidR="00A82DE5">
          <w:rPr>
            <w:noProof/>
            <w:webHidden/>
          </w:rPr>
          <w:t>73</w:t>
        </w:r>
        <w:r>
          <w:rPr>
            <w:noProof/>
            <w:webHidden/>
          </w:rPr>
          <w:fldChar w:fldCharType="end"/>
        </w:r>
      </w:hyperlink>
    </w:p>
    <w:p w14:paraId="11E41116" w14:textId="201679BC" w:rsidR="002947F5" w:rsidRDefault="002947F5">
      <w:pPr>
        <w:pStyle w:val="TableofFigures"/>
        <w:tabs>
          <w:tab w:val="right" w:leader="dot" w:pos="9220"/>
        </w:tabs>
        <w:rPr>
          <w:rFonts w:asciiTheme="minorHAnsi" w:eastAsiaTheme="minorEastAsia" w:hAnsiTheme="minorHAnsi" w:cstheme="minorBidi"/>
          <w:noProof/>
          <w:kern w:val="2"/>
          <w:sz w:val="24"/>
          <w:szCs w:val="24"/>
          <w:lang w:eastAsia="en-AU"/>
          <w14:ligatures w14:val="standardContextual"/>
        </w:rPr>
      </w:pPr>
      <w:hyperlink w:anchor="_Toc185261606" w:history="1">
        <w:r w:rsidRPr="00DD1F02">
          <w:rPr>
            <w:rStyle w:val="Hyperlink"/>
            <w:noProof/>
          </w:rPr>
          <w:t>Table 28. Zinc compared to placebo/inactive control for atopic disorders</w:t>
        </w:r>
        <w:r>
          <w:rPr>
            <w:noProof/>
            <w:webHidden/>
          </w:rPr>
          <w:tab/>
        </w:r>
        <w:r>
          <w:rPr>
            <w:noProof/>
            <w:webHidden/>
          </w:rPr>
          <w:fldChar w:fldCharType="begin"/>
        </w:r>
        <w:r>
          <w:rPr>
            <w:noProof/>
            <w:webHidden/>
          </w:rPr>
          <w:instrText xml:space="preserve"> PAGEREF _Toc185261606 \h </w:instrText>
        </w:r>
        <w:r>
          <w:rPr>
            <w:noProof/>
            <w:webHidden/>
          </w:rPr>
        </w:r>
        <w:r>
          <w:rPr>
            <w:noProof/>
            <w:webHidden/>
          </w:rPr>
          <w:fldChar w:fldCharType="separate"/>
        </w:r>
        <w:r w:rsidR="00A82DE5">
          <w:rPr>
            <w:noProof/>
            <w:webHidden/>
          </w:rPr>
          <w:t>74</w:t>
        </w:r>
        <w:r>
          <w:rPr>
            <w:noProof/>
            <w:webHidden/>
          </w:rPr>
          <w:fldChar w:fldCharType="end"/>
        </w:r>
      </w:hyperlink>
    </w:p>
    <w:p w14:paraId="75703E39" w14:textId="7504841C" w:rsidR="002947F5" w:rsidRDefault="002947F5">
      <w:pPr>
        <w:pStyle w:val="TableofFigures"/>
        <w:tabs>
          <w:tab w:val="right" w:leader="dot" w:pos="9220"/>
        </w:tabs>
        <w:rPr>
          <w:rFonts w:asciiTheme="minorHAnsi" w:eastAsiaTheme="minorEastAsia" w:hAnsiTheme="minorHAnsi" w:cstheme="minorBidi"/>
          <w:noProof/>
          <w:kern w:val="2"/>
          <w:sz w:val="24"/>
          <w:szCs w:val="24"/>
          <w:lang w:eastAsia="en-AU"/>
          <w14:ligatures w14:val="standardContextual"/>
        </w:rPr>
      </w:pPr>
      <w:hyperlink w:anchor="_Toc185261607" w:history="1">
        <w:r w:rsidRPr="00DD1F02">
          <w:rPr>
            <w:rStyle w:val="Hyperlink"/>
            <w:noProof/>
          </w:rPr>
          <w:t>Table 29. List of prioritised outcomes – fatigue (general) (including CFS and ME), antioxidants (specifically CoQ10 and ALA) (as assessed as part of the Outcome Prioritisation Exercise by NTWC).</w:t>
        </w:r>
        <w:r>
          <w:rPr>
            <w:noProof/>
            <w:webHidden/>
          </w:rPr>
          <w:tab/>
        </w:r>
        <w:r>
          <w:rPr>
            <w:noProof/>
            <w:webHidden/>
          </w:rPr>
          <w:fldChar w:fldCharType="begin"/>
        </w:r>
        <w:r>
          <w:rPr>
            <w:noProof/>
            <w:webHidden/>
          </w:rPr>
          <w:instrText xml:space="preserve"> PAGEREF _Toc185261607 \h </w:instrText>
        </w:r>
        <w:r>
          <w:rPr>
            <w:noProof/>
            <w:webHidden/>
          </w:rPr>
        </w:r>
        <w:r>
          <w:rPr>
            <w:noProof/>
            <w:webHidden/>
          </w:rPr>
          <w:fldChar w:fldCharType="separate"/>
        </w:r>
        <w:r w:rsidR="00A82DE5">
          <w:rPr>
            <w:noProof/>
            <w:webHidden/>
          </w:rPr>
          <w:t>78</w:t>
        </w:r>
        <w:r>
          <w:rPr>
            <w:noProof/>
            <w:webHidden/>
          </w:rPr>
          <w:fldChar w:fldCharType="end"/>
        </w:r>
      </w:hyperlink>
    </w:p>
    <w:p w14:paraId="6E100A9D" w14:textId="2601365D" w:rsidR="002947F5" w:rsidRDefault="002947F5">
      <w:pPr>
        <w:pStyle w:val="TableofFigures"/>
        <w:tabs>
          <w:tab w:val="right" w:leader="dot" w:pos="9220"/>
        </w:tabs>
        <w:rPr>
          <w:rFonts w:asciiTheme="minorHAnsi" w:eastAsiaTheme="minorEastAsia" w:hAnsiTheme="minorHAnsi" w:cstheme="minorBidi"/>
          <w:noProof/>
          <w:kern w:val="2"/>
          <w:sz w:val="24"/>
          <w:szCs w:val="24"/>
          <w:lang w:eastAsia="en-AU"/>
          <w14:ligatures w14:val="standardContextual"/>
        </w:rPr>
      </w:pPr>
      <w:hyperlink w:anchor="_Toc185261608" w:history="1">
        <w:r w:rsidRPr="00DD1F02">
          <w:rPr>
            <w:rStyle w:val="Hyperlink"/>
            <w:noProof/>
          </w:rPr>
          <w:t>Table 30. Summary of ROBIS assessments – fatigue (general) (including CFS and ME), antioxidants (specifically CoQ10 and ALA)</w:t>
        </w:r>
        <w:r>
          <w:rPr>
            <w:noProof/>
            <w:webHidden/>
          </w:rPr>
          <w:tab/>
        </w:r>
        <w:r>
          <w:rPr>
            <w:noProof/>
            <w:webHidden/>
          </w:rPr>
          <w:fldChar w:fldCharType="begin"/>
        </w:r>
        <w:r>
          <w:rPr>
            <w:noProof/>
            <w:webHidden/>
          </w:rPr>
          <w:instrText xml:space="preserve"> PAGEREF _Toc185261608 \h </w:instrText>
        </w:r>
        <w:r>
          <w:rPr>
            <w:noProof/>
            <w:webHidden/>
          </w:rPr>
        </w:r>
        <w:r>
          <w:rPr>
            <w:noProof/>
            <w:webHidden/>
          </w:rPr>
          <w:fldChar w:fldCharType="separate"/>
        </w:r>
        <w:r w:rsidR="00A82DE5">
          <w:rPr>
            <w:noProof/>
            <w:webHidden/>
          </w:rPr>
          <w:t>79</w:t>
        </w:r>
        <w:r>
          <w:rPr>
            <w:noProof/>
            <w:webHidden/>
          </w:rPr>
          <w:fldChar w:fldCharType="end"/>
        </w:r>
      </w:hyperlink>
    </w:p>
    <w:p w14:paraId="78741740" w14:textId="07F50768" w:rsidR="002947F5" w:rsidRDefault="002947F5">
      <w:pPr>
        <w:pStyle w:val="TableofFigures"/>
        <w:tabs>
          <w:tab w:val="right" w:leader="dot" w:pos="9220"/>
        </w:tabs>
        <w:rPr>
          <w:rFonts w:asciiTheme="minorHAnsi" w:eastAsiaTheme="minorEastAsia" w:hAnsiTheme="minorHAnsi" w:cstheme="minorBidi"/>
          <w:noProof/>
          <w:kern w:val="2"/>
          <w:sz w:val="24"/>
          <w:szCs w:val="24"/>
          <w:lang w:eastAsia="en-AU"/>
          <w14:ligatures w14:val="standardContextual"/>
        </w:rPr>
      </w:pPr>
      <w:hyperlink w:anchor="_Toc185261609" w:history="1">
        <w:r w:rsidRPr="00DD1F02">
          <w:rPr>
            <w:rStyle w:val="Hyperlink"/>
            <w:noProof/>
          </w:rPr>
          <w:t>Table 31. Contributing reviews for each population and intervention/co-intervention combination – fatigue (general) (including CFS and ME), antioxidants (specifically CoQ10 and ALA)</w:t>
        </w:r>
        <w:r>
          <w:rPr>
            <w:noProof/>
            <w:webHidden/>
          </w:rPr>
          <w:tab/>
        </w:r>
        <w:r>
          <w:rPr>
            <w:noProof/>
            <w:webHidden/>
          </w:rPr>
          <w:fldChar w:fldCharType="begin"/>
        </w:r>
        <w:r>
          <w:rPr>
            <w:noProof/>
            <w:webHidden/>
          </w:rPr>
          <w:instrText xml:space="preserve"> PAGEREF _Toc185261609 \h </w:instrText>
        </w:r>
        <w:r>
          <w:rPr>
            <w:noProof/>
            <w:webHidden/>
          </w:rPr>
        </w:r>
        <w:r>
          <w:rPr>
            <w:noProof/>
            <w:webHidden/>
          </w:rPr>
          <w:fldChar w:fldCharType="separate"/>
        </w:r>
        <w:r w:rsidR="00A82DE5">
          <w:rPr>
            <w:noProof/>
            <w:webHidden/>
          </w:rPr>
          <w:t>80</w:t>
        </w:r>
        <w:r>
          <w:rPr>
            <w:noProof/>
            <w:webHidden/>
          </w:rPr>
          <w:fldChar w:fldCharType="end"/>
        </w:r>
      </w:hyperlink>
    </w:p>
    <w:p w14:paraId="18ACF9F3" w14:textId="0EAC5B0D" w:rsidR="002947F5" w:rsidRDefault="002947F5">
      <w:pPr>
        <w:pStyle w:val="TableofFigures"/>
        <w:tabs>
          <w:tab w:val="right" w:leader="dot" w:pos="9220"/>
        </w:tabs>
        <w:rPr>
          <w:rFonts w:asciiTheme="minorHAnsi" w:eastAsiaTheme="minorEastAsia" w:hAnsiTheme="minorHAnsi" w:cstheme="minorBidi"/>
          <w:noProof/>
          <w:kern w:val="2"/>
          <w:sz w:val="24"/>
          <w:szCs w:val="24"/>
          <w:lang w:eastAsia="en-AU"/>
          <w14:ligatures w14:val="standardContextual"/>
        </w:rPr>
      </w:pPr>
      <w:hyperlink w:anchor="_Toc185261610" w:history="1">
        <w:r w:rsidRPr="00DD1F02">
          <w:rPr>
            <w:rStyle w:val="Hyperlink"/>
            <w:noProof/>
          </w:rPr>
          <w:t>Table 32. Antioxidants (specifically CoQ10 and ALA) compared to placebo/inactive control for fatigue (general) (including CFS and ME).</w:t>
        </w:r>
        <w:r>
          <w:rPr>
            <w:noProof/>
            <w:webHidden/>
          </w:rPr>
          <w:tab/>
        </w:r>
        <w:r>
          <w:rPr>
            <w:noProof/>
            <w:webHidden/>
          </w:rPr>
          <w:fldChar w:fldCharType="begin"/>
        </w:r>
        <w:r>
          <w:rPr>
            <w:noProof/>
            <w:webHidden/>
          </w:rPr>
          <w:instrText xml:space="preserve"> PAGEREF _Toc185261610 \h </w:instrText>
        </w:r>
        <w:r>
          <w:rPr>
            <w:noProof/>
            <w:webHidden/>
          </w:rPr>
        </w:r>
        <w:r>
          <w:rPr>
            <w:noProof/>
            <w:webHidden/>
          </w:rPr>
          <w:fldChar w:fldCharType="separate"/>
        </w:r>
        <w:r w:rsidR="00A82DE5">
          <w:rPr>
            <w:noProof/>
            <w:webHidden/>
          </w:rPr>
          <w:t>81</w:t>
        </w:r>
        <w:r>
          <w:rPr>
            <w:noProof/>
            <w:webHidden/>
          </w:rPr>
          <w:fldChar w:fldCharType="end"/>
        </w:r>
      </w:hyperlink>
    </w:p>
    <w:p w14:paraId="3EFD90F5" w14:textId="01C517E8" w:rsidR="002947F5" w:rsidRDefault="002947F5">
      <w:pPr>
        <w:pStyle w:val="TableofFigures"/>
        <w:tabs>
          <w:tab w:val="right" w:leader="dot" w:pos="9220"/>
        </w:tabs>
        <w:rPr>
          <w:rFonts w:asciiTheme="minorHAnsi" w:eastAsiaTheme="minorEastAsia" w:hAnsiTheme="minorHAnsi" w:cstheme="minorBidi"/>
          <w:noProof/>
          <w:kern w:val="2"/>
          <w:sz w:val="24"/>
          <w:szCs w:val="24"/>
          <w:lang w:eastAsia="en-AU"/>
          <w14:ligatures w14:val="standardContextual"/>
        </w:rPr>
      </w:pPr>
      <w:hyperlink w:anchor="_Toc185261611" w:history="1">
        <w:r w:rsidRPr="00DD1F02">
          <w:rPr>
            <w:rStyle w:val="Hyperlink"/>
            <w:noProof/>
          </w:rPr>
          <w:t>Table 33. List of prioritised outcomes – Headache and migraine, magnesium (as assessed as part of the Outcome Prioritisation Exercise by NTWC).</w:t>
        </w:r>
        <w:r>
          <w:rPr>
            <w:noProof/>
            <w:webHidden/>
          </w:rPr>
          <w:tab/>
        </w:r>
        <w:r>
          <w:rPr>
            <w:noProof/>
            <w:webHidden/>
          </w:rPr>
          <w:fldChar w:fldCharType="begin"/>
        </w:r>
        <w:r>
          <w:rPr>
            <w:noProof/>
            <w:webHidden/>
          </w:rPr>
          <w:instrText xml:space="preserve"> PAGEREF _Toc185261611 \h </w:instrText>
        </w:r>
        <w:r>
          <w:rPr>
            <w:noProof/>
            <w:webHidden/>
          </w:rPr>
        </w:r>
        <w:r>
          <w:rPr>
            <w:noProof/>
            <w:webHidden/>
          </w:rPr>
          <w:fldChar w:fldCharType="separate"/>
        </w:r>
        <w:r w:rsidR="00A82DE5">
          <w:rPr>
            <w:noProof/>
            <w:webHidden/>
          </w:rPr>
          <w:t>84</w:t>
        </w:r>
        <w:r>
          <w:rPr>
            <w:noProof/>
            <w:webHidden/>
          </w:rPr>
          <w:fldChar w:fldCharType="end"/>
        </w:r>
      </w:hyperlink>
    </w:p>
    <w:p w14:paraId="20AECAE4" w14:textId="49FFBFA0" w:rsidR="002947F5" w:rsidRDefault="002947F5">
      <w:pPr>
        <w:pStyle w:val="TableofFigures"/>
        <w:tabs>
          <w:tab w:val="right" w:leader="dot" w:pos="9220"/>
        </w:tabs>
        <w:rPr>
          <w:rFonts w:asciiTheme="minorHAnsi" w:eastAsiaTheme="minorEastAsia" w:hAnsiTheme="minorHAnsi" w:cstheme="minorBidi"/>
          <w:noProof/>
          <w:kern w:val="2"/>
          <w:sz w:val="24"/>
          <w:szCs w:val="24"/>
          <w:lang w:eastAsia="en-AU"/>
          <w14:ligatures w14:val="standardContextual"/>
        </w:rPr>
      </w:pPr>
      <w:hyperlink w:anchor="_Toc185261612" w:history="1">
        <w:r w:rsidRPr="00DD1F02">
          <w:rPr>
            <w:rStyle w:val="Hyperlink"/>
            <w:noProof/>
          </w:rPr>
          <w:t>Table 34. Summary of ROBIS assessments – Headache and migraine, magnesium</w:t>
        </w:r>
        <w:r>
          <w:rPr>
            <w:noProof/>
            <w:webHidden/>
          </w:rPr>
          <w:tab/>
        </w:r>
        <w:r>
          <w:rPr>
            <w:noProof/>
            <w:webHidden/>
          </w:rPr>
          <w:fldChar w:fldCharType="begin"/>
        </w:r>
        <w:r>
          <w:rPr>
            <w:noProof/>
            <w:webHidden/>
          </w:rPr>
          <w:instrText xml:space="preserve"> PAGEREF _Toc185261612 \h </w:instrText>
        </w:r>
        <w:r>
          <w:rPr>
            <w:noProof/>
            <w:webHidden/>
          </w:rPr>
        </w:r>
        <w:r>
          <w:rPr>
            <w:noProof/>
            <w:webHidden/>
          </w:rPr>
          <w:fldChar w:fldCharType="separate"/>
        </w:r>
        <w:r w:rsidR="00A82DE5">
          <w:rPr>
            <w:noProof/>
            <w:webHidden/>
          </w:rPr>
          <w:t>85</w:t>
        </w:r>
        <w:r>
          <w:rPr>
            <w:noProof/>
            <w:webHidden/>
          </w:rPr>
          <w:fldChar w:fldCharType="end"/>
        </w:r>
      </w:hyperlink>
    </w:p>
    <w:p w14:paraId="6CAA5608" w14:textId="1CF7B63E" w:rsidR="002947F5" w:rsidRDefault="002947F5">
      <w:pPr>
        <w:pStyle w:val="TableofFigures"/>
        <w:tabs>
          <w:tab w:val="right" w:leader="dot" w:pos="9220"/>
        </w:tabs>
        <w:rPr>
          <w:rFonts w:asciiTheme="minorHAnsi" w:eastAsiaTheme="minorEastAsia" w:hAnsiTheme="minorHAnsi" w:cstheme="minorBidi"/>
          <w:noProof/>
          <w:kern w:val="2"/>
          <w:sz w:val="24"/>
          <w:szCs w:val="24"/>
          <w:lang w:eastAsia="en-AU"/>
          <w14:ligatures w14:val="standardContextual"/>
        </w:rPr>
      </w:pPr>
      <w:hyperlink w:anchor="_Toc185261613" w:history="1">
        <w:r w:rsidRPr="00DD1F02">
          <w:rPr>
            <w:rStyle w:val="Hyperlink"/>
            <w:noProof/>
          </w:rPr>
          <w:t>Table 35. Preferred reviews for each population and intervention/co-intervention combination – headache and migraine, magnesium.</w:t>
        </w:r>
        <w:r>
          <w:rPr>
            <w:noProof/>
            <w:webHidden/>
          </w:rPr>
          <w:tab/>
        </w:r>
        <w:r>
          <w:rPr>
            <w:noProof/>
            <w:webHidden/>
          </w:rPr>
          <w:fldChar w:fldCharType="begin"/>
        </w:r>
        <w:r>
          <w:rPr>
            <w:noProof/>
            <w:webHidden/>
          </w:rPr>
          <w:instrText xml:space="preserve"> PAGEREF _Toc185261613 \h </w:instrText>
        </w:r>
        <w:r>
          <w:rPr>
            <w:noProof/>
            <w:webHidden/>
          </w:rPr>
        </w:r>
        <w:r>
          <w:rPr>
            <w:noProof/>
            <w:webHidden/>
          </w:rPr>
          <w:fldChar w:fldCharType="separate"/>
        </w:r>
        <w:r w:rsidR="00A82DE5">
          <w:rPr>
            <w:noProof/>
            <w:webHidden/>
          </w:rPr>
          <w:t>86</w:t>
        </w:r>
        <w:r>
          <w:rPr>
            <w:noProof/>
            <w:webHidden/>
          </w:rPr>
          <w:fldChar w:fldCharType="end"/>
        </w:r>
      </w:hyperlink>
    </w:p>
    <w:p w14:paraId="5DB35C80" w14:textId="14A498AC" w:rsidR="002947F5" w:rsidRDefault="002947F5">
      <w:pPr>
        <w:pStyle w:val="TableofFigures"/>
        <w:tabs>
          <w:tab w:val="right" w:leader="dot" w:pos="9220"/>
        </w:tabs>
        <w:rPr>
          <w:rFonts w:asciiTheme="minorHAnsi" w:eastAsiaTheme="minorEastAsia" w:hAnsiTheme="minorHAnsi" w:cstheme="minorBidi"/>
          <w:noProof/>
          <w:kern w:val="2"/>
          <w:sz w:val="24"/>
          <w:szCs w:val="24"/>
          <w:lang w:eastAsia="en-AU"/>
          <w14:ligatures w14:val="standardContextual"/>
        </w:rPr>
      </w:pPr>
      <w:hyperlink w:anchor="_Toc185261614" w:history="1">
        <w:r w:rsidRPr="00DD1F02">
          <w:rPr>
            <w:rStyle w:val="Hyperlink"/>
            <w:noProof/>
          </w:rPr>
          <w:t>Table 36. Magnesium compared to placebo/inactive control for headache and migraine.</w:t>
        </w:r>
        <w:r>
          <w:rPr>
            <w:noProof/>
            <w:webHidden/>
          </w:rPr>
          <w:tab/>
        </w:r>
        <w:r>
          <w:rPr>
            <w:noProof/>
            <w:webHidden/>
          </w:rPr>
          <w:fldChar w:fldCharType="begin"/>
        </w:r>
        <w:r>
          <w:rPr>
            <w:noProof/>
            <w:webHidden/>
          </w:rPr>
          <w:instrText xml:space="preserve"> PAGEREF _Toc185261614 \h </w:instrText>
        </w:r>
        <w:r>
          <w:rPr>
            <w:noProof/>
            <w:webHidden/>
          </w:rPr>
        </w:r>
        <w:r>
          <w:rPr>
            <w:noProof/>
            <w:webHidden/>
          </w:rPr>
          <w:fldChar w:fldCharType="separate"/>
        </w:r>
        <w:r w:rsidR="00A82DE5">
          <w:rPr>
            <w:noProof/>
            <w:webHidden/>
          </w:rPr>
          <w:t>87</w:t>
        </w:r>
        <w:r>
          <w:rPr>
            <w:noProof/>
            <w:webHidden/>
          </w:rPr>
          <w:fldChar w:fldCharType="end"/>
        </w:r>
      </w:hyperlink>
    </w:p>
    <w:p w14:paraId="44F09469" w14:textId="504AF0CC" w:rsidR="002947F5" w:rsidRDefault="002947F5">
      <w:pPr>
        <w:pStyle w:val="TableofFigures"/>
        <w:tabs>
          <w:tab w:val="right" w:leader="dot" w:pos="9220"/>
        </w:tabs>
        <w:rPr>
          <w:rFonts w:asciiTheme="minorHAnsi" w:eastAsiaTheme="minorEastAsia" w:hAnsiTheme="minorHAnsi" w:cstheme="minorBidi"/>
          <w:noProof/>
          <w:kern w:val="2"/>
          <w:sz w:val="24"/>
          <w:szCs w:val="24"/>
          <w:lang w:eastAsia="en-AU"/>
          <w14:ligatures w14:val="standardContextual"/>
        </w:rPr>
      </w:pPr>
      <w:hyperlink w:anchor="_Toc185261615" w:history="1">
        <w:r w:rsidRPr="00DD1F02">
          <w:rPr>
            <w:rStyle w:val="Hyperlink"/>
            <w:noProof/>
          </w:rPr>
          <w:t>Table 37. List of prioritised outcomes – arthritis/osteoarthritis, magnesium (as assessed as part of the Outcome Prioritisation Exercise by NTWC).</w:t>
        </w:r>
        <w:r>
          <w:rPr>
            <w:noProof/>
            <w:webHidden/>
          </w:rPr>
          <w:tab/>
        </w:r>
        <w:r>
          <w:rPr>
            <w:noProof/>
            <w:webHidden/>
          </w:rPr>
          <w:fldChar w:fldCharType="begin"/>
        </w:r>
        <w:r>
          <w:rPr>
            <w:noProof/>
            <w:webHidden/>
          </w:rPr>
          <w:instrText xml:space="preserve"> PAGEREF _Toc185261615 \h </w:instrText>
        </w:r>
        <w:r>
          <w:rPr>
            <w:noProof/>
            <w:webHidden/>
          </w:rPr>
        </w:r>
        <w:r>
          <w:rPr>
            <w:noProof/>
            <w:webHidden/>
          </w:rPr>
          <w:fldChar w:fldCharType="separate"/>
        </w:r>
        <w:r w:rsidR="00A82DE5">
          <w:rPr>
            <w:noProof/>
            <w:webHidden/>
          </w:rPr>
          <w:t>90</w:t>
        </w:r>
        <w:r>
          <w:rPr>
            <w:noProof/>
            <w:webHidden/>
          </w:rPr>
          <w:fldChar w:fldCharType="end"/>
        </w:r>
      </w:hyperlink>
    </w:p>
    <w:p w14:paraId="5C7A47ED" w14:textId="47993E21" w:rsidR="002947F5" w:rsidRDefault="002947F5">
      <w:pPr>
        <w:pStyle w:val="TableofFigures"/>
        <w:tabs>
          <w:tab w:val="right" w:leader="dot" w:pos="9220"/>
        </w:tabs>
        <w:rPr>
          <w:rFonts w:asciiTheme="minorHAnsi" w:eastAsiaTheme="minorEastAsia" w:hAnsiTheme="minorHAnsi" w:cstheme="minorBidi"/>
          <w:noProof/>
          <w:kern w:val="2"/>
          <w:sz w:val="24"/>
          <w:szCs w:val="24"/>
          <w:lang w:eastAsia="en-AU"/>
          <w14:ligatures w14:val="standardContextual"/>
        </w:rPr>
      </w:pPr>
      <w:hyperlink w:anchor="_Toc185261616" w:history="1">
        <w:r w:rsidRPr="00DD1F02">
          <w:rPr>
            <w:rStyle w:val="Hyperlink"/>
            <w:noProof/>
          </w:rPr>
          <w:t>Table 38. List of prioritised outcomes – hypertension, omega-3 fatty acids (as assessed as part of the Outcome Prioritisation Exercise by NTWC).</w:t>
        </w:r>
        <w:r>
          <w:rPr>
            <w:noProof/>
            <w:webHidden/>
          </w:rPr>
          <w:tab/>
        </w:r>
        <w:r>
          <w:rPr>
            <w:noProof/>
            <w:webHidden/>
          </w:rPr>
          <w:fldChar w:fldCharType="begin"/>
        </w:r>
        <w:r>
          <w:rPr>
            <w:noProof/>
            <w:webHidden/>
          </w:rPr>
          <w:instrText xml:space="preserve"> PAGEREF _Toc185261616 \h </w:instrText>
        </w:r>
        <w:r>
          <w:rPr>
            <w:noProof/>
            <w:webHidden/>
          </w:rPr>
        </w:r>
        <w:r>
          <w:rPr>
            <w:noProof/>
            <w:webHidden/>
          </w:rPr>
          <w:fldChar w:fldCharType="separate"/>
        </w:r>
        <w:r w:rsidR="00A82DE5">
          <w:rPr>
            <w:noProof/>
            <w:webHidden/>
          </w:rPr>
          <w:t>93</w:t>
        </w:r>
        <w:r>
          <w:rPr>
            <w:noProof/>
            <w:webHidden/>
          </w:rPr>
          <w:fldChar w:fldCharType="end"/>
        </w:r>
      </w:hyperlink>
    </w:p>
    <w:p w14:paraId="5A262963" w14:textId="4692E7CD" w:rsidR="002947F5" w:rsidRDefault="002947F5">
      <w:pPr>
        <w:pStyle w:val="TableofFigures"/>
        <w:tabs>
          <w:tab w:val="right" w:leader="dot" w:pos="9220"/>
        </w:tabs>
        <w:rPr>
          <w:rFonts w:asciiTheme="minorHAnsi" w:eastAsiaTheme="minorEastAsia" w:hAnsiTheme="minorHAnsi" w:cstheme="minorBidi"/>
          <w:noProof/>
          <w:kern w:val="2"/>
          <w:sz w:val="24"/>
          <w:szCs w:val="24"/>
          <w:lang w:eastAsia="en-AU"/>
          <w14:ligatures w14:val="standardContextual"/>
        </w:rPr>
      </w:pPr>
      <w:hyperlink w:anchor="_Toc185261617" w:history="1">
        <w:r w:rsidRPr="00DD1F02">
          <w:rPr>
            <w:rStyle w:val="Hyperlink"/>
            <w:noProof/>
          </w:rPr>
          <w:t>Table 39. Summary of ROBIS assessments – hypertension, omega-3 fatty acids</w:t>
        </w:r>
        <w:r>
          <w:rPr>
            <w:noProof/>
            <w:webHidden/>
          </w:rPr>
          <w:tab/>
        </w:r>
        <w:r>
          <w:rPr>
            <w:noProof/>
            <w:webHidden/>
          </w:rPr>
          <w:fldChar w:fldCharType="begin"/>
        </w:r>
        <w:r>
          <w:rPr>
            <w:noProof/>
            <w:webHidden/>
          </w:rPr>
          <w:instrText xml:space="preserve"> PAGEREF _Toc185261617 \h </w:instrText>
        </w:r>
        <w:r>
          <w:rPr>
            <w:noProof/>
            <w:webHidden/>
          </w:rPr>
        </w:r>
        <w:r>
          <w:rPr>
            <w:noProof/>
            <w:webHidden/>
          </w:rPr>
          <w:fldChar w:fldCharType="separate"/>
        </w:r>
        <w:r w:rsidR="00A82DE5">
          <w:rPr>
            <w:noProof/>
            <w:webHidden/>
          </w:rPr>
          <w:t>94</w:t>
        </w:r>
        <w:r>
          <w:rPr>
            <w:noProof/>
            <w:webHidden/>
          </w:rPr>
          <w:fldChar w:fldCharType="end"/>
        </w:r>
      </w:hyperlink>
    </w:p>
    <w:p w14:paraId="050E9016" w14:textId="5FBDCE91" w:rsidR="002947F5" w:rsidRDefault="002947F5">
      <w:pPr>
        <w:pStyle w:val="TableofFigures"/>
        <w:tabs>
          <w:tab w:val="right" w:leader="dot" w:pos="9220"/>
        </w:tabs>
        <w:rPr>
          <w:rFonts w:asciiTheme="minorHAnsi" w:eastAsiaTheme="minorEastAsia" w:hAnsiTheme="minorHAnsi" w:cstheme="minorBidi"/>
          <w:noProof/>
          <w:kern w:val="2"/>
          <w:sz w:val="24"/>
          <w:szCs w:val="24"/>
          <w:lang w:eastAsia="en-AU"/>
          <w14:ligatures w14:val="standardContextual"/>
        </w:rPr>
      </w:pPr>
      <w:hyperlink w:anchor="_Toc185261618" w:history="1">
        <w:r w:rsidRPr="00DD1F02">
          <w:rPr>
            <w:rStyle w:val="Hyperlink"/>
            <w:noProof/>
          </w:rPr>
          <w:t>Table 40. Contributing reviews for each population and intervention/co-intervention combination – hypertension, omega-3 fatty acids.</w:t>
        </w:r>
        <w:r>
          <w:rPr>
            <w:noProof/>
            <w:webHidden/>
          </w:rPr>
          <w:tab/>
        </w:r>
        <w:r>
          <w:rPr>
            <w:noProof/>
            <w:webHidden/>
          </w:rPr>
          <w:fldChar w:fldCharType="begin"/>
        </w:r>
        <w:r>
          <w:rPr>
            <w:noProof/>
            <w:webHidden/>
          </w:rPr>
          <w:instrText xml:space="preserve"> PAGEREF _Toc185261618 \h </w:instrText>
        </w:r>
        <w:r>
          <w:rPr>
            <w:noProof/>
            <w:webHidden/>
          </w:rPr>
        </w:r>
        <w:r>
          <w:rPr>
            <w:noProof/>
            <w:webHidden/>
          </w:rPr>
          <w:fldChar w:fldCharType="separate"/>
        </w:r>
        <w:r w:rsidR="00A82DE5">
          <w:rPr>
            <w:noProof/>
            <w:webHidden/>
          </w:rPr>
          <w:t>95</w:t>
        </w:r>
        <w:r>
          <w:rPr>
            <w:noProof/>
            <w:webHidden/>
          </w:rPr>
          <w:fldChar w:fldCharType="end"/>
        </w:r>
      </w:hyperlink>
    </w:p>
    <w:p w14:paraId="1ABA5CA8" w14:textId="3FAD1F38" w:rsidR="002947F5" w:rsidRDefault="002947F5">
      <w:pPr>
        <w:pStyle w:val="TableofFigures"/>
        <w:tabs>
          <w:tab w:val="right" w:leader="dot" w:pos="9220"/>
        </w:tabs>
        <w:rPr>
          <w:rFonts w:asciiTheme="minorHAnsi" w:eastAsiaTheme="minorEastAsia" w:hAnsiTheme="minorHAnsi" w:cstheme="minorBidi"/>
          <w:noProof/>
          <w:kern w:val="2"/>
          <w:sz w:val="24"/>
          <w:szCs w:val="24"/>
          <w:lang w:eastAsia="en-AU"/>
          <w14:ligatures w14:val="standardContextual"/>
        </w:rPr>
      </w:pPr>
      <w:hyperlink w:anchor="_Toc185261619" w:history="1">
        <w:r w:rsidRPr="00DD1F02">
          <w:rPr>
            <w:rStyle w:val="Hyperlink"/>
            <w:noProof/>
          </w:rPr>
          <w:t>Table 41. Omega-3 fatty acids compared to placebo/inactive control for people with hypertension</w:t>
        </w:r>
        <w:r>
          <w:rPr>
            <w:noProof/>
            <w:webHidden/>
          </w:rPr>
          <w:tab/>
        </w:r>
        <w:r>
          <w:rPr>
            <w:noProof/>
            <w:webHidden/>
          </w:rPr>
          <w:fldChar w:fldCharType="begin"/>
        </w:r>
        <w:r>
          <w:rPr>
            <w:noProof/>
            <w:webHidden/>
          </w:rPr>
          <w:instrText xml:space="preserve"> PAGEREF _Toc185261619 \h </w:instrText>
        </w:r>
        <w:r>
          <w:rPr>
            <w:noProof/>
            <w:webHidden/>
          </w:rPr>
        </w:r>
        <w:r>
          <w:rPr>
            <w:noProof/>
            <w:webHidden/>
          </w:rPr>
          <w:fldChar w:fldCharType="separate"/>
        </w:r>
        <w:r w:rsidR="00A82DE5">
          <w:rPr>
            <w:noProof/>
            <w:webHidden/>
          </w:rPr>
          <w:t>96</w:t>
        </w:r>
        <w:r>
          <w:rPr>
            <w:noProof/>
            <w:webHidden/>
          </w:rPr>
          <w:fldChar w:fldCharType="end"/>
        </w:r>
      </w:hyperlink>
    </w:p>
    <w:p w14:paraId="7A816980" w14:textId="26041C23" w:rsidR="002947F5" w:rsidRDefault="002947F5">
      <w:pPr>
        <w:pStyle w:val="TableofFigures"/>
        <w:tabs>
          <w:tab w:val="right" w:leader="dot" w:pos="9220"/>
        </w:tabs>
        <w:rPr>
          <w:rFonts w:asciiTheme="minorHAnsi" w:eastAsiaTheme="minorEastAsia" w:hAnsiTheme="minorHAnsi" w:cstheme="minorBidi"/>
          <w:noProof/>
          <w:kern w:val="2"/>
          <w:sz w:val="24"/>
          <w:szCs w:val="24"/>
          <w:lang w:eastAsia="en-AU"/>
          <w14:ligatures w14:val="standardContextual"/>
        </w:rPr>
      </w:pPr>
      <w:hyperlink w:anchor="_Toc185261620" w:history="1">
        <w:r w:rsidRPr="00DD1F02">
          <w:rPr>
            <w:rStyle w:val="Hyperlink"/>
            <w:noProof/>
          </w:rPr>
          <w:t>Table 42. List of prioritised outcomes – fibromyalgia, magnesium (as assessed as part of the Outcome Prioritisation Exercise by NTWC).</w:t>
        </w:r>
        <w:r>
          <w:rPr>
            <w:noProof/>
            <w:webHidden/>
          </w:rPr>
          <w:tab/>
        </w:r>
        <w:r>
          <w:rPr>
            <w:noProof/>
            <w:webHidden/>
          </w:rPr>
          <w:fldChar w:fldCharType="begin"/>
        </w:r>
        <w:r>
          <w:rPr>
            <w:noProof/>
            <w:webHidden/>
          </w:rPr>
          <w:instrText xml:space="preserve"> PAGEREF _Toc185261620 \h </w:instrText>
        </w:r>
        <w:r>
          <w:rPr>
            <w:noProof/>
            <w:webHidden/>
          </w:rPr>
        </w:r>
        <w:r>
          <w:rPr>
            <w:noProof/>
            <w:webHidden/>
          </w:rPr>
          <w:fldChar w:fldCharType="separate"/>
        </w:r>
        <w:r w:rsidR="00A82DE5">
          <w:rPr>
            <w:noProof/>
            <w:webHidden/>
          </w:rPr>
          <w:t>99</w:t>
        </w:r>
        <w:r>
          <w:rPr>
            <w:noProof/>
            <w:webHidden/>
          </w:rPr>
          <w:fldChar w:fldCharType="end"/>
        </w:r>
      </w:hyperlink>
    </w:p>
    <w:p w14:paraId="51B956D9" w14:textId="23BBFBDA" w:rsidR="002947F5" w:rsidRDefault="002947F5">
      <w:pPr>
        <w:pStyle w:val="TableofFigures"/>
        <w:tabs>
          <w:tab w:val="right" w:leader="dot" w:pos="9220"/>
        </w:tabs>
        <w:rPr>
          <w:rFonts w:asciiTheme="minorHAnsi" w:eastAsiaTheme="minorEastAsia" w:hAnsiTheme="minorHAnsi" w:cstheme="minorBidi"/>
          <w:noProof/>
          <w:kern w:val="2"/>
          <w:sz w:val="24"/>
          <w:szCs w:val="24"/>
          <w:lang w:eastAsia="en-AU"/>
          <w14:ligatures w14:val="standardContextual"/>
        </w:rPr>
      </w:pPr>
      <w:hyperlink w:anchor="_Toc185261621" w:history="1">
        <w:r w:rsidRPr="00DD1F02">
          <w:rPr>
            <w:rStyle w:val="Hyperlink"/>
            <w:noProof/>
          </w:rPr>
          <w:t>Table 43. Summary of ROBIS assessments – fibromyalgia, magnesium</w:t>
        </w:r>
        <w:r>
          <w:rPr>
            <w:noProof/>
            <w:webHidden/>
          </w:rPr>
          <w:tab/>
        </w:r>
        <w:r>
          <w:rPr>
            <w:noProof/>
            <w:webHidden/>
          </w:rPr>
          <w:fldChar w:fldCharType="begin"/>
        </w:r>
        <w:r>
          <w:rPr>
            <w:noProof/>
            <w:webHidden/>
          </w:rPr>
          <w:instrText xml:space="preserve"> PAGEREF _Toc185261621 \h </w:instrText>
        </w:r>
        <w:r>
          <w:rPr>
            <w:noProof/>
            <w:webHidden/>
          </w:rPr>
        </w:r>
        <w:r>
          <w:rPr>
            <w:noProof/>
            <w:webHidden/>
          </w:rPr>
          <w:fldChar w:fldCharType="separate"/>
        </w:r>
        <w:r w:rsidR="00A82DE5">
          <w:rPr>
            <w:noProof/>
            <w:webHidden/>
          </w:rPr>
          <w:t>100</w:t>
        </w:r>
        <w:r>
          <w:rPr>
            <w:noProof/>
            <w:webHidden/>
          </w:rPr>
          <w:fldChar w:fldCharType="end"/>
        </w:r>
      </w:hyperlink>
    </w:p>
    <w:p w14:paraId="4E45ACB5" w14:textId="139347AB" w:rsidR="002947F5" w:rsidRDefault="002947F5">
      <w:pPr>
        <w:pStyle w:val="TableofFigures"/>
        <w:tabs>
          <w:tab w:val="right" w:leader="dot" w:pos="9220"/>
        </w:tabs>
        <w:rPr>
          <w:rFonts w:asciiTheme="minorHAnsi" w:eastAsiaTheme="minorEastAsia" w:hAnsiTheme="minorHAnsi" w:cstheme="minorBidi"/>
          <w:noProof/>
          <w:kern w:val="2"/>
          <w:sz w:val="24"/>
          <w:szCs w:val="24"/>
          <w:lang w:eastAsia="en-AU"/>
          <w14:ligatures w14:val="standardContextual"/>
        </w:rPr>
      </w:pPr>
      <w:hyperlink w:anchor="_Toc185261622" w:history="1">
        <w:r w:rsidRPr="00DD1F02">
          <w:rPr>
            <w:rStyle w:val="Hyperlink"/>
            <w:noProof/>
          </w:rPr>
          <w:t>Table 44. Contributing reviews for each population and intervention/co-intervention combination – fibromyalgia, magnesium.</w:t>
        </w:r>
        <w:r>
          <w:rPr>
            <w:noProof/>
            <w:webHidden/>
          </w:rPr>
          <w:tab/>
        </w:r>
        <w:r>
          <w:rPr>
            <w:noProof/>
            <w:webHidden/>
          </w:rPr>
          <w:fldChar w:fldCharType="begin"/>
        </w:r>
        <w:r>
          <w:rPr>
            <w:noProof/>
            <w:webHidden/>
          </w:rPr>
          <w:instrText xml:space="preserve"> PAGEREF _Toc185261622 \h </w:instrText>
        </w:r>
        <w:r>
          <w:rPr>
            <w:noProof/>
            <w:webHidden/>
          </w:rPr>
        </w:r>
        <w:r>
          <w:rPr>
            <w:noProof/>
            <w:webHidden/>
          </w:rPr>
          <w:fldChar w:fldCharType="separate"/>
        </w:r>
        <w:r w:rsidR="00A82DE5">
          <w:rPr>
            <w:noProof/>
            <w:webHidden/>
          </w:rPr>
          <w:t>101</w:t>
        </w:r>
        <w:r>
          <w:rPr>
            <w:noProof/>
            <w:webHidden/>
          </w:rPr>
          <w:fldChar w:fldCharType="end"/>
        </w:r>
      </w:hyperlink>
    </w:p>
    <w:p w14:paraId="61FF687B" w14:textId="79CD2BFF" w:rsidR="002947F5" w:rsidRDefault="002947F5">
      <w:pPr>
        <w:pStyle w:val="TableofFigures"/>
        <w:tabs>
          <w:tab w:val="right" w:leader="dot" w:pos="9220"/>
        </w:tabs>
        <w:rPr>
          <w:rFonts w:asciiTheme="minorHAnsi" w:eastAsiaTheme="minorEastAsia" w:hAnsiTheme="minorHAnsi" w:cstheme="minorBidi"/>
          <w:noProof/>
          <w:kern w:val="2"/>
          <w:sz w:val="24"/>
          <w:szCs w:val="24"/>
          <w:lang w:eastAsia="en-AU"/>
          <w14:ligatures w14:val="standardContextual"/>
        </w:rPr>
      </w:pPr>
      <w:hyperlink w:anchor="_Toc185261623" w:history="1">
        <w:r w:rsidRPr="00DD1F02">
          <w:rPr>
            <w:rStyle w:val="Hyperlink"/>
            <w:noProof/>
          </w:rPr>
          <w:t>Table 45. Magnesium + naturopathy cointervention compared to placebo for people with fibromyalgia</w:t>
        </w:r>
        <w:r>
          <w:rPr>
            <w:noProof/>
            <w:webHidden/>
          </w:rPr>
          <w:tab/>
        </w:r>
        <w:r>
          <w:rPr>
            <w:noProof/>
            <w:webHidden/>
          </w:rPr>
          <w:fldChar w:fldCharType="begin"/>
        </w:r>
        <w:r>
          <w:rPr>
            <w:noProof/>
            <w:webHidden/>
          </w:rPr>
          <w:instrText xml:space="preserve"> PAGEREF _Toc185261623 \h </w:instrText>
        </w:r>
        <w:r>
          <w:rPr>
            <w:noProof/>
            <w:webHidden/>
          </w:rPr>
        </w:r>
        <w:r>
          <w:rPr>
            <w:noProof/>
            <w:webHidden/>
          </w:rPr>
          <w:fldChar w:fldCharType="separate"/>
        </w:r>
        <w:r w:rsidR="00A82DE5">
          <w:rPr>
            <w:noProof/>
            <w:webHidden/>
          </w:rPr>
          <w:t>102</w:t>
        </w:r>
        <w:r>
          <w:rPr>
            <w:noProof/>
            <w:webHidden/>
          </w:rPr>
          <w:fldChar w:fldCharType="end"/>
        </w:r>
      </w:hyperlink>
    </w:p>
    <w:p w14:paraId="1E581086" w14:textId="7F01398B" w:rsidR="002947F5" w:rsidRDefault="002947F5">
      <w:pPr>
        <w:pStyle w:val="TableofFigures"/>
        <w:tabs>
          <w:tab w:val="right" w:leader="dot" w:pos="9220"/>
        </w:tabs>
        <w:rPr>
          <w:rFonts w:asciiTheme="minorHAnsi" w:eastAsiaTheme="minorEastAsia" w:hAnsiTheme="minorHAnsi" w:cstheme="minorBidi"/>
          <w:noProof/>
          <w:kern w:val="2"/>
          <w:sz w:val="24"/>
          <w:szCs w:val="24"/>
          <w:lang w:eastAsia="en-AU"/>
          <w14:ligatures w14:val="standardContextual"/>
        </w:rPr>
      </w:pPr>
      <w:hyperlink w:anchor="_Toc185261624" w:history="1">
        <w:r w:rsidRPr="00DD1F02">
          <w:rPr>
            <w:rStyle w:val="Hyperlink"/>
            <w:noProof/>
          </w:rPr>
          <w:t>Table 46. List of prioritised outcomes – recurrent infections, zinc (as assessed as part of the Outcome Prioritisation Exercise by NTWC).</w:t>
        </w:r>
        <w:r>
          <w:rPr>
            <w:noProof/>
            <w:webHidden/>
          </w:rPr>
          <w:tab/>
        </w:r>
        <w:r>
          <w:rPr>
            <w:noProof/>
            <w:webHidden/>
          </w:rPr>
          <w:fldChar w:fldCharType="begin"/>
        </w:r>
        <w:r>
          <w:rPr>
            <w:noProof/>
            <w:webHidden/>
          </w:rPr>
          <w:instrText xml:space="preserve"> PAGEREF _Toc185261624 \h </w:instrText>
        </w:r>
        <w:r>
          <w:rPr>
            <w:noProof/>
            <w:webHidden/>
          </w:rPr>
        </w:r>
        <w:r>
          <w:rPr>
            <w:noProof/>
            <w:webHidden/>
          </w:rPr>
          <w:fldChar w:fldCharType="separate"/>
        </w:r>
        <w:r w:rsidR="00A82DE5">
          <w:rPr>
            <w:noProof/>
            <w:webHidden/>
          </w:rPr>
          <w:t>105</w:t>
        </w:r>
        <w:r>
          <w:rPr>
            <w:noProof/>
            <w:webHidden/>
          </w:rPr>
          <w:fldChar w:fldCharType="end"/>
        </w:r>
      </w:hyperlink>
    </w:p>
    <w:p w14:paraId="337EB65A" w14:textId="579137F5" w:rsidR="002947F5" w:rsidRDefault="002947F5">
      <w:pPr>
        <w:pStyle w:val="TableofFigures"/>
        <w:tabs>
          <w:tab w:val="right" w:leader="dot" w:pos="9220"/>
        </w:tabs>
        <w:rPr>
          <w:rFonts w:asciiTheme="minorHAnsi" w:eastAsiaTheme="minorEastAsia" w:hAnsiTheme="minorHAnsi" w:cstheme="minorBidi"/>
          <w:noProof/>
          <w:kern w:val="2"/>
          <w:sz w:val="24"/>
          <w:szCs w:val="24"/>
          <w:lang w:eastAsia="en-AU"/>
          <w14:ligatures w14:val="standardContextual"/>
        </w:rPr>
      </w:pPr>
      <w:hyperlink w:anchor="_Toc185261625" w:history="1">
        <w:r w:rsidRPr="00DD1F02">
          <w:rPr>
            <w:rStyle w:val="Hyperlink"/>
            <w:noProof/>
          </w:rPr>
          <w:t>Table 47. Summary of ROBIS assessments – recurrent infections, zinc</w:t>
        </w:r>
        <w:r>
          <w:rPr>
            <w:noProof/>
            <w:webHidden/>
          </w:rPr>
          <w:tab/>
        </w:r>
        <w:r>
          <w:rPr>
            <w:noProof/>
            <w:webHidden/>
          </w:rPr>
          <w:fldChar w:fldCharType="begin"/>
        </w:r>
        <w:r>
          <w:rPr>
            <w:noProof/>
            <w:webHidden/>
          </w:rPr>
          <w:instrText xml:space="preserve"> PAGEREF _Toc185261625 \h </w:instrText>
        </w:r>
        <w:r>
          <w:rPr>
            <w:noProof/>
            <w:webHidden/>
          </w:rPr>
        </w:r>
        <w:r>
          <w:rPr>
            <w:noProof/>
            <w:webHidden/>
          </w:rPr>
          <w:fldChar w:fldCharType="separate"/>
        </w:r>
        <w:r w:rsidR="00A82DE5">
          <w:rPr>
            <w:noProof/>
            <w:webHidden/>
          </w:rPr>
          <w:t>106</w:t>
        </w:r>
        <w:r>
          <w:rPr>
            <w:noProof/>
            <w:webHidden/>
          </w:rPr>
          <w:fldChar w:fldCharType="end"/>
        </w:r>
      </w:hyperlink>
    </w:p>
    <w:p w14:paraId="1F267416" w14:textId="5A94C574" w:rsidR="002947F5" w:rsidRDefault="002947F5">
      <w:pPr>
        <w:pStyle w:val="TableofFigures"/>
        <w:tabs>
          <w:tab w:val="right" w:leader="dot" w:pos="9220"/>
        </w:tabs>
        <w:rPr>
          <w:rFonts w:asciiTheme="minorHAnsi" w:eastAsiaTheme="minorEastAsia" w:hAnsiTheme="minorHAnsi" w:cstheme="minorBidi"/>
          <w:noProof/>
          <w:kern w:val="2"/>
          <w:sz w:val="24"/>
          <w:szCs w:val="24"/>
          <w:lang w:eastAsia="en-AU"/>
          <w14:ligatures w14:val="standardContextual"/>
        </w:rPr>
      </w:pPr>
      <w:hyperlink w:anchor="_Toc185261626" w:history="1">
        <w:r w:rsidRPr="00DD1F02">
          <w:rPr>
            <w:rStyle w:val="Hyperlink"/>
            <w:noProof/>
          </w:rPr>
          <w:t>Table 48. Contributing reviews for types of populations and interventions examined in each review – recurrent infections, zinc</w:t>
        </w:r>
        <w:r>
          <w:rPr>
            <w:noProof/>
            <w:webHidden/>
          </w:rPr>
          <w:tab/>
        </w:r>
        <w:r>
          <w:rPr>
            <w:noProof/>
            <w:webHidden/>
          </w:rPr>
          <w:fldChar w:fldCharType="begin"/>
        </w:r>
        <w:r>
          <w:rPr>
            <w:noProof/>
            <w:webHidden/>
          </w:rPr>
          <w:instrText xml:space="preserve"> PAGEREF _Toc185261626 \h </w:instrText>
        </w:r>
        <w:r>
          <w:rPr>
            <w:noProof/>
            <w:webHidden/>
          </w:rPr>
        </w:r>
        <w:r>
          <w:rPr>
            <w:noProof/>
            <w:webHidden/>
          </w:rPr>
          <w:fldChar w:fldCharType="separate"/>
        </w:r>
        <w:r w:rsidR="00A82DE5">
          <w:rPr>
            <w:noProof/>
            <w:webHidden/>
          </w:rPr>
          <w:t>107</w:t>
        </w:r>
        <w:r>
          <w:rPr>
            <w:noProof/>
            <w:webHidden/>
          </w:rPr>
          <w:fldChar w:fldCharType="end"/>
        </w:r>
      </w:hyperlink>
    </w:p>
    <w:p w14:paraId="21403E38" w14:textId="0C84AA71" w:rsidR="002947F5" w:rsidRDefault="002947F5">
      <w:pPr>
        <w:pStyle w:val="TableofFigures"/>
        <w:tabs>
          <w:tab w:val="right" w:leader="dot" w:pos="9220"/>
        </w:tabs>
        <w:rPr>
          <w:rFonts w:asciiTheme="minorHAnsi" w:eastAsiaTheme="minorEastAsia" w:hAnsiTheme="minorHAnsi" w:cstheme="minorBidi"/>
          <w:noProof/>
          <w:kern w:val="2"/>
          <w:sz w:val="24"/>
          <w:szCs w:val="24"/>
          <w:lang w:eastAsia="en-AU"/>
          <w14:ligatures w14:val="standardContextual"/>
        </w:rPr>
      </w:pPr>
      <w:hyperlink w:anchor="_Toc185261627" w:history="1">
        <w:r w:rsidRPr="00DD1F02">
          <w:rPr>
            <w:rStyle w:val="Hyperlink"/>
            <w:noProof/>
          </w:rPr>
          <w:t>Table 49. Zinc compared to placebo for recurrent infection/s</w:t>
        </w:r>
        <w:r>
          <w:rPr>
            <w:noProof/>
            <w:webHidden/>
          </w:rPr>
          <w:tab/>
        </w:r>
        <w:r>
          <w:rPr>
            <w:noProof/>
            <w:webHidden/>
          </w:rPr>
          <w:fldChar w:fldCharType="begin"/>
        </w:r>
        <w:r>
          <w:rPr>
            <w:noProof/>
            <w:webHidden/>
          </w:rPr>
          <w:instrText xml:space="preserve"> PAGEREF _Toc185261627 \h </w:instrText>
        </w:r>
        <w:r>
          <w:rPr>
            <w:noProof/>
            <w:webHidden/>
          </w:rPr>
        </w:r>
        <w:r>
          <w:rPr>
            <w:noProof/>
            <w:webHidden/>
          </w:rPr>
          <w:fldChar w:fldCharType="separate"/>
        </w:r>
        <w:r w:rsidR="00A82DE5">
          <w:rPr>
            <w:noProof/>
            <w:webHidden/>
          </w:rPr>
          <w:t>108</w:t>
        </w:r>
        <w:r>
          <w:rPr>
            <w:noProof/>
            <w:webHidden/>
          </w:rPr>
          <w:fldChar w:fldCharType="end"/>
        </w:r>
      </w:hyperlink>
    </w:p>
    <w:p w14:paraId="389FB619" w14:textId="117F209F" w:rsidR="002947F5" w:rsidRDefault="002947F5">
      <w:pPr>
        <w:pStyle w:val="TableofFigures"/>
        <w:tabs>
          <w:tab w:val="right" w:leader="dot" w:pos="9220"/>
        </w:tabs>
        <w:rPr>
          <w:rFonts w:asciiTheme="minorHAnsi" w:eastAsiaTheme="minorEastAsia" w:hAnsiTheme="minorHAnsi" w:cstheme="minorBidi"/>
          <w:noProof/>
          <w:kern w:val="2"/>
          <w:sz w:val="24"/>
          <w:szCs w:val="24"/>
          <w:lang w:eastAsia="en-AU"/>
          <w14:ligatures w14:val="standardContextual"/>
        </w:rPr>
      </w:pPr>
      <w:hyperlink w:anchor="_Toc185261628" w:history="1">
        <w:r w:rsidRPr="00DD1F02">
          <w:rPr>
            <w:rStyle w:val="Hyperlink"/>
            <w:noProof/>
          </w:rPr>
          <w:t>Table 50. List of prioritised outcomes – Diabetes (Type lI) (including metabolic syndrome), antioxidants (specifically CoQ10 and ALA) (as assessed as part of the Outcome Prioritisation Exercise by NTWC).</w:t>
        </w:r>
        <w:r>
          <w:rPr>
            <w:noProof/>
            <w:webHidden/>
          </w:rPr>
          <w:tab/>
        </w:r>
        <w:r>
          <w:rPr>
            <w:noProof/>
            <w:webHidden/>
          </w:rPr>
          <w:fldChar w:fldCharType="begin"/>
        </w:r>
        <w:r>
          <w:rPr>
            <w:noProof/>
            <w:webHidden/>
          </w:rPr>
          <w:instrText xml:space="preserve"> PAGEREF _Toc185261628 \h </w:instrText>
        </w:r>
        <w:r>
          <w:rPr>
            <w:noProof/>
            <w:webHidden/>
          </w:rPr>
        </w:r>
        <w:r>
          <w:rPr>
            <w:noProof/>
            <w:webHidden/>
          </w:rPr>
          <w:fldChar w:fldCharType="separate"/>
        </w:r>
        <w:r w:rsidR="00A82DE5">
          <w:rPr>
            <w:noProof/>
            <w:webHidden/>
          </w:rPr>
          <w:t>112</w:t>
        </w:r>
        <w:r>
          <w:rPr>
            <w:noProof/>
            <w:webHidden/>
          </w:rPr>
          <w:fldChar w:fldCharType="end"/>
        </w:r>
      </w:hyperlink>
    </w:p>
    <w:p w14:paraId="6219A90F" w14:textId="4B423A64" w:rsidR="002947F5" w:rsidRDefault="002947F5">
      <w:pPr>
        <w:pStyle w:val="TableofFigures"/>
        <w:tabs>
          <w:tab w:val="right" w:leader="dot" w:pos="9220"/>
        </w:tabs>
        <w:rPr>
          <w:rFonts w:asciiTheme="minorHAnsi" w:eastAsiaTheme="minorEastAsia" w:hAnsiTheme="minorHAnsi" w:cstheme="minorBidi"/>
          <w:noProof/>
          <w:kern w:val="2"/>
          <w:sz w:val="24"/>
          <w:szCs w:val="24"/>
          <w:lang w:eastAsia="en-AU"/>
          <w14:ligatures w14:val="standardContextual"/>
        </w:rPr>
      </w:pPr>
      <w:hyperlink w:anchor="_Toc185261629" w:history="1">
        <w:r w:rsidRPr="00DD1F02">
          <w:rPr>
            <w:rStyle w:val="Hyperlink"/>
            <w:noProof/>
          </w:rPr>
          <w:t>Table 51. Summary of ROBIS assessments – Diabetes (Type lI) (including metabolic syndrome), antioxidants (specifically CoQ10 and ALA)</w:t>
        </w:r>
        <w:r>
          <w:rPr>
            <w:noProof/>
            <w:webHidden/>
          </w:rPr>
          <w:tab/>
        </w:r>
        <w:r>
          <w:rPr>
            <w:noProof/>
            <w:webHidden/>
          </w:rPr>
          <w:fldChar w:fldCharType="begin"/>
        </w:r>
        <w:r>
          <w:rPr>
            <w:noProof/>
            <w:webHidden/>
          </w:rPr>
          <w:instrText xml:space="preserve"> PAGEREF _Toc185261629 \h </w:instrText>
        </w:r>
        <w:r>
          <w:rPr>
            <w:noProof/>
            <w:webHidden/>
          </w:rPr>
        </w:r>
        <w:r>
          <w:rPr>
            <w:noProof/>
            <w:webHidden/>
          </w:rPr>
          <w:fldChar w:fldCharType="separate"/>
        </w:r>
        <w:r w:rsidR="00A82DE5">
          <w:rPr>
            <w:noProof/>
            <w:webHidden/>
          </w:rPr>
          <w:t>113</w:t>
        </w:r>
        <w:r>
          <w:rPr>
            <w:noProof/>
            <w:webHidden/>
          </w:rPr>
          <w:fldChar w:fldCharType="end"/>
        </w:r>
      </w:hyperlink>
    </w:p>
    <w:p w14:paraId="0D778556" w14:textId="1D3D4690" w:rsidR="002947F5" w:rsidRDefault="002947F5">
      <w:pPr>
        <w:pStyle w:val="TableofFigures"/>
        <w:tabs>
          <w:tab w:val="right" w:leader="dot" w:pos="9220"/>
        </w:tabs>
        <w:rPr>
          <w:rFonts w:asciiTheme="minorHAnsi" w:eastAsiaTheme="minorEastAsia" w:hAnsiTheme="minorHAnsi" w:cstheme="minorBidi"/>
          <w:noProof/>
          <w:kern w:val="2"/>
          <w:sz w:val="24"/>
          <w:szCs w:val="24"/>
          <w:lang w:eastAsia="en-AU"/>
          <w14:ligatures w14:val="standardContextual"/>
        </w:rPr>
      </w:pPr>
      <w:hyperlink w:anchor="_Toc185261630" w:history="1">
        <w:r w:rsidRPr="00DD1F02">
          <w:rPr>
            <w:rStyle w:val="Hyperlink"/>
            <w:noProof/>
          </w:rPr>
          <w:t>Table 52. Contributing reviews for types of populations and interventions examined in each review – Diabetes (Type II) (including metabolic syndrome), antioxidants (specifically CoQ10 and ALA)</w:t>
        </w:r>
        <w:r>
          <w:rPr>
            <w:noProof/>
            <w:webHidden/>
          </w:rPr>
          <w:tab/>
        </w:r>
        <w:r>
          <w:rPr>
            <w:noProof/>
            <w:webHidden/>
          </w:rPr>
          <w:fldChar w:fldCharType="begin"/>
        </w:r>
        <w:r>
          <w:rPr>
            <w:noProof/>
            <w:webHidden/>
          </w:rPr>
          <w:instrText xml:space="preserve"> PAGEREF _Toc185261630 \h </w:instrText>
        </w:r>
        <w:r>
          <w:rPr>
            <w:noProof/>
            <w:webHidden/>
          </w:rPr>
        </w:r>
        <w:r>
          <w:rPr>
            <w:noProof/>
            <w:webHidden/>
          </w:rPr>
          <w:fldChar w:fldCharType="separate"/>
        </w:r>
        <w:r w:rsidR="00A82DE5">
          <w:rPr>
            <w:noProof/>
            <w:webHidden/>
          </w:rPr>
          <w:t>114</w:t>
        </w:r>
        <w:r>
          <w:rPr>
            <w:noProof/>
            <w:webHidden/>
          </w:rPr>
          <w:fldChar w:fldCharType="end"/>
        </w:r>
      </w:hyperlink>
    </w:p>
    <w:p w14:paraId="3D42E266" w14:textId="019FE72B" w:rsidR="002947F5" w:rsidRDefault="002947F5">
      <w:pPr>
        <w:pStyle w:val="TableofFigures"/>
        <w:tabs>
          <w:tab w:val="right" w:leader="dot" w:pos="9220"/>
        </w:tabs>
        <w:rPr>
          <w:rFonts w:asciiTheme="minorHAnsi" w:eastAsiaTheme="minorEastAsia" w:hAnsiTheme="minorHAnsi" w:cstheme="minorBidi"/>
          <w:noProof/>
          <w:kern w:val="2"/>
          <w:sz w:val="24"/>
          <w:szCs w:val="24"/>
          <w:lang w:eastAsia="en-AU"/>
          <w14:ligatures w14:val="standardContextual"/>
        </w:rPr>
      </w:pPr>
      <w:hyperlink w:anchor="_Toc185261631" w:history="1">
        <w:r w:rsidRPr="00DD1F02">
          <w:rPr>
            <w:rStyle w:val="Hyperlink"/>
            <w:noProof/>
          </w:rPr>
          <w:t>Table 53. Antioxidants compared to placebo/inactive control for people with T2DM</w:t>
        </w:r>
        <w:r>
          <w:rPr>
            <w:noProof/>
            <w:webHidden/>
          </w:rPr>
          <w:tab/>
        </w:r>
        <w:r>
          <w:rPr>
            <w:noProof/>
            <w:webHidden/>
          </w:rPr>
          <w:fldChar w:fldCharType="begin"/>
        </w:r>
        <w:r>
          <w:rPr>
            <w:noProof/>
            <w:webHidden/>
          </w:rPr>
          <w:instrText xml:space="preserve"> PAGEREF _Toc185261631 \h </w:instrText>
        </w:r>
        <w:r>
          <w:rPr>
            <w:noProof/>
            <w:webHidden/>
          </w:rPr>
        </w:r>
        <w:r>
          <w:rPr>
            <w:noProof/>
            <w:webHidden/>
          </w:rPr>
          <w:fldChar w:fldCharType="separate"/>
        </w:r>
        <w:r w:rsidR="00A82DE5">
          <w:rPr>
            <w:noProof/>
            <w:webHidden/>
          </w:rPr>
          <w:t>115</w:t>
        </w:r>
        <w:r>
          <w:rPr>
            <w:noProof/>
            <w:webHidden/>
          </w:rPr>
          <w:fldChar w:fldCharType="end"/>
        </w:r>
      </w:hyperlink>
    </w:p>
    <w:p w14:paraId="49F438B3" w14:textId="1B7CF866" w:rsidR="002947F5" w:rsidRDefault="002947F5">
      <w:pPr>
        <w:pStyle w:val="TableofFigures"/>
        <w:tabs>
          <w:tab w:val="right" w:leader="dot" w:pos="9220"/>
        </w:tabs>
        <w:rPr>
          <w:rFonts w:asciiTheme="minorHAnsi" w:eastAsiaTheme="minorEastAsia" w:hAnsiTheme="minorHAnsi" w:cstheme="minorBidi"/>
          <w:noProof/>
          <w:kern w:val="2"/>
          <w:sz w:val="24"/>
          <w:szCs w:val="24"/>
          <w:lang w:eastAsia="en-AU"/>
          <w14:ligatures w14:val="standardContextual"/>
        </w:rPr>
      </w:pPr>
      <w:hyperlink w:anchor="_Toc185261632" w:history="1">
        <w:r w:rsidRPr="00DD1F02">
          <w:rPr>
            <w:rStyle w:val="Hyperlink"/>
            <w:noProof/>
          </w:rPr>
          <w:t>Table 54. Antioxidants compared to placebo/inactive control for people at risk of T2DM</w:t>
        </w:r>
        <w:r>
          <w:rPr>
            <w:noProof/>
            <w:webHidden/>
          </w:rPr>
          <w:tab/>
        </w:r>
        <w:r>
          <w:rPr>
            <w:noProof/>
            <w:webHidden/>
          </w:rPr>
          <w:fldChar w:fldCharType="begin"/>
        </w:r>
        <w:r>
          <w:rPr>
            <w:noProof/>
            <w:webHidden/>
          </w:rPr>
          <w:instrText xml:space="preserve"> PAGEREF _Toc185261632 \h </w:instrText>
        </w:r>
        <w:r>
          <w:rPr>
            <w:noProof/>
            <w:webHidden/>
          </w:rPr>
        </w:r>
        <w:r>
          <w:rPr>
            <w:noProof/>
            <w:webHidden/>
          </w:rPr>
          <w:fldChar w:fldCharType="separate"/>
        </w:r>
        <w:r w:rsidR="00A82DE5">
          <w:rPr>
            <w:noProof/>
            <w:webHidden/>
          </w:rPr>
          <w:t>116</w:t>
        </w:r>
        <w:r>
          <w:rPr>
            <w:noProof/>
            <w:webHidden/>
          </w:rPr>
          <w:fldChar w:fldCharType="end"/>
        </w:r>
      </w:hyperlink>
    </w:p>
    <w:p w14:paraId="5172D83A" w14:textId="392FF61B" w:rsidR="00A24D67" w:rsidRPr="0054775B" w:rsidRDefault="00A24D67" w:rsidP="009E6F7F">
      <w:pPr>
        <w:pStyle w:val="TableofFigures"/>
        <w:rPr>
          <w:rStyle w:val="Heading1Char"/>
          <w:rFonts w:ascii="Aptos" w:hAnsi="Aptos"/>
          <w:b w:val="0"/>
          <w:bCs w:val="0"/>
          <w:sz w:val="18"/>
          <w:szCs w:val="18"/>
          <w:highlight w:val="yellow"/>
        </w:rPr>
      </w:pPr>
      <w:r w:rsidRPr="0054775B">
        <w:rPr>
          <w:rStyle w:val="Hyperlink"/>
          <w:sz w:val="20"/>
          <w:szCs w:val="20"/>
          <w:highlight w:val="yellow"/>
        </w:rPr>
        <w:fldChar w:fldCharType="end"/>
      </w:r>
    </w:p>
    <w:p w14:paraId="4142FC0A" w14:textId="77777777" w:rsidR="00743F4D" w:rsidRDefault="00743F4D">
      <w:pPr>
        <w:spacing w:before="0" w:after="160" w:line="259" w:lineRule="auto"/>
        <w:rPr>
          <w:rStyle w:val="Heading1Char"/>
          <w:rFonts w:ascii="Aptos" w:hAnsi="Aptos"/>
        </w:rPr>
      </w:pPr>
      <w:bookmarkStart w:id="22" w:name="_Toc111119265"/>
      <w:r>
        <w:rPr>
          <w:rStyle w:val="Heading1Char"/>
          <w:rFonts w:ascii="Aptos" w:hAnsi="Aptos"/>
          <w:b w:val="0"/>
          <w:bCs w:val="0"/>
        </w:rPr>
        <w:br w:type="page"/>
      </w:r>
    </w:p>
    <w:p w14:paraId="3DDE1471" w14:textId="34126895" w:rsidR="00A24D67" w:rsidRPr="0054775B" w:rsidRDefault="00A24D67" w:rsidP="00A81E6A">
      <w:pPr>
        <w:pStyle w:val="2024HEADER1"/>
        <w:numPr>
          <w:ilvl w:val="0"/>
          <w:numId w:val="0"/>
        </w:numPr>
        <w:ind w:left="851" w:hanging="851"/>
        <w:rPr>
          <w:rStyle w:val="Heading1Char"/>
          <w:rFonts w:ascii="Aptos" w:hAnsi="Aptos"/>
          <w:b/>
          <w:bCs/>
        </w:rPr>
      </w:pPr>
      <w:bookmarkStart w:id="23" w:name="_Toc179379605"/>
      <w:r w:rsidRPr="0054775B">
        <w:rPr>
          <w:rStyle w:val="Heading1Char"/>
          <w:rFonts w:ascii="Aptos" w:hAnsi="Aptos"/>
          <w:b/>
          <w:bCs/>
        </w:rPr>
        <w:lastRenderedPageBreak/>
        <w:t>List of Figures</w:t>
      </w:r>
      <w:bookmarkEnd w:id="22"/>
      <w:bookmarkEnd w:id="23"/>
    </w:p>
    <w:bookmarkStart w:id="24" w:name="_Toc111119266"/>
    <w:p w14:paraId="42B53BD8" w14:textId="564E8852" w:rsidR="009A26A4" w:rsidRDefault="00A24D67">
      <w:pPr>
        <w:pStyle w:val="TableofFigures"/>
        <w:tabs>
          <w:tab w:val="right" w:leader="dot" w:pos="9220"/>
        </w:tabs>
        <w:rPr>
          <w:rFonts w:asciiTheme="minorHAnsi" w:eastAsiaTheme="minorEastAsia" w:hAnsiTheme="minorHAnsi" w:cstheme="minorBidi"/>
          <w:noProof/>
          <w:kern w:val="2"/>
          <w:sz w:val="24"/>
          <w:szCs w:val="24"/>
          <w14:ligatures w14:val="standardContextual"/>
        </w:rPr>
      </w:pPr>
      <w:r w:rsidRPr="0054775B">
        <w:rPr>
          <w:rStyle w:val="Hyperlink"/>
          <w:sz w:val="20"/>
          <w:szCs w:val="20"/>
          <w:highlight w:val="yellow"/>
        </w:rPr>
        <w:fldChar w:fldCharType="begin"/>
      </w:r>
      <w:r w:rsidRPr="0054775B">
        <w:rPr>
          <w:rStyle w:val="Hyperlink"/>
          <w:sz w:val="20"/>
          <w:szCs w:val="20"/>
          <w:highlight w:val="yellow"/>
        </w:rPr>
        <w:instrText xml:space="preserve"> TOC \h \z \c "Figure" </w:instrText>
      </w:r>
      <w:r w:rsidRPr="0054775B">
        <w:rPr>
          <w:rStyle w:val="Hyperlink"/>
          <w:sz w:val="20"/>
          <w:szCs w:val="20"/>
          <w:highlight w:val="yellow"/>
        </w:rPr>
        <w:fldChar w:fldCharType="separate"/>
      </w:r>
      <w:hyperlink w:anchor="_Toc178348004" w:history="1">
        <w:r w:rsidR="009A26A4" w:rsidRPr="006B0BD3">
          <w:rPr>
            <w:rStyle w:val="Hyperlink"/>
            <w:noProof/>
          </w:rPr>
          <w:t>Figure 1. PRISMA flowchart – anxiety (including post-natal), magnesium.</w:t>
        </w:r>
        <w:r w:rsidR="009A26A4">
          <w:rPr>
            <w:noProof/>
            <w:webHidden/>
          </w:rPr>
          <w:tab/>
        </w:r>
        <w:r w:rsidR="009A26A4">
          <w:rPr>
            <w:noProof/>
            <w:webHidden/>
          </w:rPr>
          <w:fldChar w:fldCharType="begin"/>
        </w:r>
        <w:r w:rsidR="009A26A4">
          <w:rPr>
            <w:noProof/>
            <w:webHidden/>
          </w:rPr>
          <w:instrText xml:space="preserve"> PAGEREF _Toc178348004 \h </w:instrText>
        </w:r>
        <w:r w:rsidR="009A26A4">
          <w:rPr>
            <w:noProof/>
            <w:webHidden/>
          </w:rPr>
        </w:r>
        <w:r w:rsidR="009A26A4">
          <w:rPr>
            <w:noProof/>
            <w:webHidden/>
          </w:rPr>
          <w:fldChar w:fldCharType="separate"/>
        </w:r>
        <w:r w:rsidR="00A82DE5">
          <w:rPr>
            <w:noProof/>
            <w:webHidden/>
          </w:rPr>
          <w:t>25</w:t>
        </w:r>
        <w:r w:rsidR="009A26A4">
          <w:rPr>
            <w:noProof/>
            <w:webHidden/>
          </w:rPr>
          <w:fldChar w:fldCharType="end"/>
        </w:r>
      </w:hyperlink>
    </w:p>
    <w:p w14:paraId="3DC5B745" w14:textId="5701BB54" w:rsidR="009A26A4" w:rsidRDefault="009A26A4">
      <w:pPr>
        <w:pStyle w:val="TableofFigures"/>
        <w:tabs>
          <w:tab w:val="right" w:leader="dot" w:pos="9220"/>
        </w:tabs>
        <w:rPr>
          <w:rFonts w:asciiTheme="minorHAnsi" w:eastAsiaTheme="minorEastAsia" w:hAnsiTheme="minorHAnsi" w:cstheme="minorBidi"/>
          <w:noProof/>
          <w:kern w:val="2"/>
          <w:sz w:val="24"/>
          <w:szCs w:val="24"/>
          <w14:ligatures w14:val="standardContextual"/>
        </w:rPr>
      </w:pPr>
      <w:hyperlink w:anchor="_Toc178348005" w:history="1">
        <w:r w:rsidRPr="006B0BD3">
          <w:rPr>
            <w:rStyle w:val="Hyperlink"/>
            <w:noProof/>
          </w:rPr>
          <w:t>Figure 2. PRISMA flowchart – stress (perceived, occupational), magnesium.</w:t>
        </w:r>
        <w:r>
          <w:rPr>
            <w:noProof/>
            <w:webHidden/>
          </w:rPr>
          <w:tab/>
        </w:r>
        <w:r>
          <w:rPr>
            <w:noProof/>
            <w:webHidden/>
          </w:rPr>
          <w:fldChar w:fldCharType="begin"/>
        </w:r>
        <w:r>
          <w:rPr>
            <w:noProof/>
            <w:webHidden/>
          </w:rPr>
          <w:instrText xml:space="preserve"> PAGEREF _Toc178348005 \h </w:instrText>
        </w:r>
        <w:r>
          <w:rPr>
            <w:noProof/>
            <w:webHidden/>
          </w:rPr>
        </w:r>
        <w:r>
          <w:rPr>
            <w:noProof/>
            <w:webHidden/>
          </w:rPr>
          <w:fldChar w:fldCharType="separate"/>
        </w:r>
        <w:r w:rsidR="00A82DE5">
          <w:rPr>
            <w:noProof/>
            <w:webHidden/>
          </w:rPr>
          <w:t>33</w:t>
        </w:r>
        <w:r>
          <w:rPr>
            <w:noProof/>
            <w:webHidden/>
          </w:rPr>
          <w:fldChar w:fldCharType="end"/>
        </w:r>
      </w:hyperlink>
    </w:p>
    <w:p w14:paraId="6514A349" w14:textId="65BF7254" w:rsidR="009A26A4" w:rsidRDefault="009A26A4">
      <w:pPr>
        <w:pStyle w:val="TableofFigures"/>
        <w:tabs>
          <w:tab w:val="right" w:leader="dot" w:pos="9220"/>
        </w:tabs>
        <w:rPr>
          <w:rFonts w:asciiTheme="minorHAnsi" w:eastAsiaTheme="minorEastAsia" w:hAnsiTheme="minorHAnsi" w:cstheme="minorBidi"/>
          <w:noProof/>
          <w:kern w:val="2"/>
          <w:sz w:val="24"/>
          <w:szCs w:val="24"/>
          <w14:ligatures w14:val="standardContextual"/>
        </w:rPr>
      </w:pPr>
      <w:hyperlink w:anchor="_Toc178348006" w:history="1">
        <w:r w:rsidRPr="006B0BD3">
          <w:rPr>
            <w:rStyle w:val="Hyperlink"/>
            <w:noProof/>
          </w:rPr>
          <w:t>Figure 3. PRISMA flowchart – irritable bowel syndrome, probiotics.</w:t>
        </w:r>
        <w:r>
          <w:rPr>
            <w:noProof/>
            <w:webHidden/>
          </w:rPr>
          <w:tab/>
        </w:r>
        <w:r>
          <w:rPr>
            <w:noProof/>
            <w:webHidden/>
          </w:rPr>
          <w:fldChar w:fldCharType="begin"/>
        </w:r>
        <w:r>
          <w:rPr>
            <w:noProof/>
            <w:webHidden/>
          </w:rPr>
          <w:instrText xml:space="preserve"> PAGEREF _Toc178348006 \h </w:instrText>
        </w:r>
        <w:r>
          <w:rPr>
            <w:noProof/>
            <w:webHidden/>
          </w:rPr>
        </w:r>
        <w:r>
          <w:rPr>
            <w:noProof/>
            <w:webHidden/>
          </w:rPr>
          <w:fldChar w:fldCharType="separate"/>
        </w:r>
        <w:r w:rsidR="00A82DE5">
          <w:rPr>
            <w:noProof/>
            <w:webHidden/>
          </w:rPr>
          <w:t>36</w:t>
        </w:r>
        <w:r>
          <w:rPr>
            <w:noProof/>
            <w:webHidden/>
          </w:rPr>
          <w:fldChar w:fldCharType="end"/>
        </w:r>
      </w:hyperlink>
    </w:p>
    <w:p w14:paraId="63C923D3" w14:textId="129CEF87" w:rsidR="009A26A4" w:rsidRDefault="009A26A4">
      <w:pPr>
        <w:pStyle w:val="TableofFigures"/>
        <w:tabs>
          <w:tab w:val="right" w:leader="dot" w:pos="9220"/>
        </w:tabs>
        <w:rPr>
          <w:rFonts w:asciiTheme="minorHAnsi" w:eastAsiaTheme="minorEastAsia" w:hAnsiTheme="minorHAnsi" w:cstheme="minorBidi"/>
          <w:noProof/>
          <w:kern w:val="2"/>
          <w:sz w:val="24"/>
          <w:szCs w:val="24"/>
          <w14:ligatures w14:val="standardContextual"/>
        </w:rPr>
      </w:pPr>
      <w:hyperlink w:anchor="_Toc178348007" w:history="1">
        <w:r w:rsidRPr="006B0BD3">
          <w:rPr>
            <w:rStyle w:val="Hyperlink"/>
            <w:noProof/>
          </w:rPr>
          <w:t>Figure 4. PRISMA flowchart – insomnia/sleeping disorders, magnesium.</w:t>
        </w:r>
        <w:r>
          <w:rPr>
            <w:noProof/>
            <w:webHidden/>
          </w:rPr>
          <w:tab/>
        </w:r>
        <w:r>
          <w:rPr>
            <w:noProof/>
            <w:webHidden/>
          </w:rPr>
          <w:fldChar w:fldCharType="begin"/>
        </w:r>
        <w:r>
          <w:rPr>
            <w:noProof/>
            <w:webHidden/>
          </w:rPr>
          <w:instrText xml:space="preserve"> PAGEREF _Toc178348007 \h </w:instrText>
        </w:r>
        <w:r>
          <w:rPr>
            <w:noProof/>
            <w:webHidden/>
          </w:rPr>
        </w:r>
        <w:r>
          <w:rPr>
            <w:noProof/>
            <w:webHidden/>
          </w:rPr>
          <w:fldChar w:fldCharType="separate"/>
        </w:r>
        <w:r w:rsidR="00A82DE5">
          <w:rPr>
            <w:noProof/>
            <w:webHidden/>
          </w:rPr>
          <w:t>46</w:t>
        </w:r>
        <w:r>
          <w:rPr>
            <w:noProof/>
            <w:webHidden/>
          </w:rPr>
          <w:fldChar w:fldCharType="end"/>
        </w:r>
      </w:hyperlink>
    </w:p>
    <w:p w14:paraId="36703C9B" w14:textId="3C483428" w:rsidR="009A26A4" w:rsidRDefault="009A26A4">
      <w:pPr>
        <w:pStyle w:val="TableofFigures"/>
        <w:tabs>
          <w:tab w:val="right" w:leader="dot" w:pos="9220"/>
        </w:tabs>
        <w:rPr>
          <w:rFonts w:asciiTheme="minorHAnsi" w:eastAsiaTheme="minorEastAsia" w:hAnsiTheme="minorHAnsi" w:cstheme="minorBidi"/>
          <w:noProof/>
          <w:kern w:val="2"/>
          <w:sz w:val="24"/>
          <w:szCs w:val="24"/>
          <w14:ligatures w14:val="standardContextual"/>
        </w:rPr>
      </w:pPr>
      <w:hyperlink w:anchor="_Toc178348008" w:history="1">
        <w:r w:rsidRPr="006B0BD3">
          <w:rPr>
            <w:rStyle w:val="Hyperlink"/>
            <w:noProof/>
          </w:rPr>
          <w:t>Figure 5. PRISMA flowchart – Depression (including post-natal), Omega-3</w:t>
        </w:r>
        <w:r>
          <w:rPr>
            <w:noProof/>
            <w:webHidden/>
          </w:rPr>
          <w:tab/>
        </w:r>
        <w:r>
          <w:rPr>
            <w:noProof/>
            <w:webHidden/>
          </w:rPr>
          <w:fldChar w:fldCharType="begin"/>
        </w:r>
        <w:r>
          <w:rPr>
            <w:noProof/>
            <w:webHidden/>
          </w:rPr>
          <w:instrText xml:space="preserve"> PAGEREF _Toc178348008 \h </w:instrText>
        </w:r>
        <w:r>
          <w:rPr>
            <w:noProof/>
            <w:webHidden/>
          </w:rPr>
        </w:r>
        <w:r>
          <w:rPr>
            <w:noProof/>
            <w:webHidden/>
          </w:rPr>
          <w:fldChar w:fldCharType="separate"/>
        </w:r>
        <w:r w:rsidR="00A82DE5">
          <w:rPr>
            <w:noProof/>
            <w:webHidden/>
          </w:rPr>
          <w:t>55</w:t>
        </w:r>
        <w:r>
          <w:rPr>
            <w:noProof/>
            <w:webHidden/>
          </w:rPr>
          <w:fldChar w:fldCharType="end"/>
        </w:r>
      </w:hyperlink>
    </w:p>
    <w:p w14:paraId="0AD1CFD1" w14:textId="43102B30" w:rsidR="009A26A4" w:rsidRDefault="009A26A4">
      <w:pPr>
        <w:pStyle w:val="TableofFigures"/>
        <w:tabs>
          <w:tab w:val="right" w:leader="dot" w:pos="9220"/>
        </w:tabs>
        <w:rPr>
          <w:rFonts w:asciiTheme="minorHAnsi" w:eastAsiaTheme="minorEastAsia" w:hAnsiTheme="minorHAnsi" w:cstheme="minorBidi"/>
          <w:noProof/>
          <w:kern w:val="2"/>
          <w:sz w:val="24"/>
          <w:szCs w:val="24"/>
          <w14:ligatures w14:val="standardContextual"/>
        </w:rPr>
      </w:pPr>
      <w:hyperlink w:anchor="_Toc178348009" w:history="1">
        <w:r w:rsidRPr="006B0BD3">
          <w:rPr>
            <w:rStyle w:val="Hyperlink"/>
            <w:noProof/>
          </w:rPr>
          <w:t>Figure 6. PRISMA flowchart – Dysmenorrhea, Cruciferous indoles (indole-3-carbinol, di-indolylmethane)</w:t>
        </w:r>
        <w:r>
          <w:rPr>
            <w:noProof/>
            <w:webHidden/>
          </w:rPr>
          <w:tab/>
        </w:r>
        <w:r>
          <w:rPr>
            <w:noProof/>
            <w:webHidden/>
          </w:rPr>
          <w:fldChar w:fldCharType="begin"/>
        </w:r>
        <w:r>
          <w:rPr>
            <w:noProof/>
            <w:webHidden/>
          </w:rPr>
          <w:instrText xml:space="preserve"> PAGEREF _Toc178348009 \h </w:instrText>
        </w:r>
        <w:r>
          <w:rPr>
            <w:noProof/>
            <w:webHidden/>
          </w:rPr>
        </w:r>
        <w:r>
          <w:rPr>
            <w:noProof/>
            <w:webHidden/>
          </w:rPr>
          <w:fldChar w:fldCharType="separate"/>
        </w:r>
        <w:r w:rsidR="00A82DE5">
          <w:rPr>
            <w:noProof/>
            <w:webHidden/>
          </w:rPr>
          <w:t>65</w:t>
        </w:r>
        <w:r>
          <w:rPr>
            <w:noProof/>
            <w:webHidden/>
          </w:rPr>
          <w:fldChar w:fldCharType="end"/>
        </w:r>
      </w:hyperlink>
    </w:p>
    <w:p w14:paraId="2E1E3FAC" w14:textId="45FA5E82" w:rsidR="009A26A4" w:rsidRDefault="009A26A4">
      <w:pPr>
        <w:pStyle w:val="TableofFigures"/>
        <w:tabs>
          <w:tab w:val="right" w:leader="dot" w:pos="9220"/>
        </w:tabs>
        <w:rPr>
          <w:rFonts w:asciiTheme="minorHAnsi" w:eastAsiaTheme="minorEastAsia" w:hAnsiTheme="minorHAnsi" w:cstheme="minorBidi"/>
          <w:noProof/>
          <w:kern w:val="2"/>
          <w:sz w:val="24"/>
          <w:szCs w:val="24"/>
          <w14:ligatures w14:val="standardContextual"/>
        </w:rPr>
      </w:pPr>
      <w:hyperlink w:anchor="_Toc178348010" w:history="1">
        <w:r w:rsidRPr="006B0BD3">
          <w:rPr>
            <w:rStyle w:val="Hyperlink"/>
            <w:noProof/>
          </w:rPr>
          <w:t>Figure 7. PRISMA flowchart − Premenstrual syndrome (PMS), Cruciferous indoles (indole-3-carbinol, di-indolylmethane)</w:t>
        </w:r>
        <w:r>
          <w:rPr>
            <w:noProof/>
            <w:webHidden/>
          </w:rPr>
          <w:tab/>
        </w:r>
        <w:r>
          <w:rPr>
            <w:noProof/>
            <w:webHidden/>
          </w:rPr>
          <w:fldChar w:fldCharType="begin"/>
        </w:r>
        <w:r>
          <w:rPr>
            <w:noProof/>
            <w:webHidden/>
          </w:rPr>
          <w:instrText xml:space="preserve"> PAGEREF _Toc178348010 \h </w:instrText>
        </w:r>
        <w:r>
          <w:rPr>
            <w:noProof/>
            <w:webHidden/>
          </w:rPr>
        </w:r>
        <w:r>
          <w:rPr>
            <w:noProof/>
            <w:webHidden/>
          </w:rPr>
          <w:fldChar w:fldCharType="separate"/>
        </w:r>
        <w:r w:rsidR="00A82DE5">
          <w:rPr>
            <w:noProof/>
            <w:webHidden/>
          </w:rPr>
          <w:t>69</w:t>
        </w:r>
        <w:r>
          <w:rPr>
            <w:noProof/>
            <w:webHidden/>
          </w:rPr>
          <w:fldChar w:fldCharType="end"/>
        </w:r>
      </w:hyperlink>
    </w:p>
    <w:p w14:paraId="597D6C8B" w14:textId="0C1D6950" w:rsidR="009A26A4" w:rsidRDefault="009A26A4">
      <w:pPr>
        <w:pStyle w:val="TableofFigures"/>
        <w:tabs>
          <w:tab w:val="right" w:leader="dot" w:pos="9220"/>
        </w:tabs>
        <w:rPr>
          <w:rFonts w:asciiTheme="minorHAnsi" w:eastAsiaTheme="minorEastAsia" w:hAnsiTheme="minorHAnsi" w:cstheme="minorBidi"/>
          <w:noProof/>
          <w:kern w:val="2"/>
          <w:sz w:val="24"/>
          <w:szCs w:val="24"/>
          <w14:ligatures w14:val="standardContextual"/>
        </w:rPr>
      </w:pPr>
      <w:hyperlink w:anchor="_Toc178348011" w:history="1">
        <w:r w:rsidRPr="006B0BD3">
          <w:rPr>
            <w:rStyle w:val="Hyperlink"/>
            <w:noProof/>
          </w:rPr>
          <w:t>Figure 8. PRISMA flowchart – atopic disorders, zinc.</w:t>
        </w:r>
        <w:r>
          <w:rPr>
            <w:noProof/>
            <w:webHidden/>
          </w:rPr>
          <w:tab/>
        </w:r>
        <w:r>
          <w:rPr>
            <w:noProof/>
            <w:webHidden/>
          </w:rPr>
          <w:fldChar w:fldCharType="begin"/>
        </w:r>
        <w:r>
          <w:rPr>
            <w:noProof/>
            <w:webHidden/>
          </w:rPr>
          <w:instrText xml:space="preserve"> PAGEREF _Toc178348011 \h </w:instrText>
        </w:r>
        <w:r>
          <w:rPr>
            <w:noProof/>
            <w:webHidden/>
          </w:rPr>
        </w:r>
        <w:r>
          <w:rPr>
            <w:noProof/>
            <w:webHidden/>
          </w:rPr>
          <w:fldChar w:fldCharType="separate"/>
        </w:r>
        <w:r w:rsidR="00A82DE5">
          <w:rPr>
            <w:noProof/>
            <w:webHidden/>
          </w:rPr>
          <w:t>72</w:t>
        </w:r>
        <w:r>
          <w:rPr>
            <w:noProof/>
            <w:webHidden/>
          </w:rPr>
          <w:fldChar w:fldCharType="end"/>
        </w:r>
      </w:hyperlink>
    </w:p>
    <w:p w14:paraId="3BBA0024" w14:textId="669F1D6A" w:rsidR="009A26A4" w:rsidRDefault="009A26A4">
      <w:pPr>
        <w:pStyle w:val="TableofFigures"/>
        <w:tabs>
          <w:tab w:val="right" w:leader="dot" w:pos="9220"/>
        </w:tabs>
        <w:rPr>
          <w:rFonts w:asciiTheme="minorHAnsi" w:eastAsiaTheme="minorEastAsia" w:hAnsiTheme="minorHAnsi" w:cstheme="minorBidi"/>
          <w:noProof/>
          <w:kern w:val="2"/>
          <w:sz w:val="24"/>
          <w:szCs w:val="24"/>
          <w14:ligatures w14:val="standardContextual"/>
        </w:rPr>
      </w:pPr>
      <w:hyperlink w:anchor="_Toc178348012" w:history="1">
        <w:r w:rsidRPr="006B0BD3">
          <w:rPr>
            <w:rStyle w:val="Hyperlink"/>
            <w:noProof/>
          </w:rPr>
          <w:t>Figure 9. PRISMA flowchart – fatigue (general) (including CFS and ME), antioxidants (specifically CoQ10 and alpha-lipoic acid).</w:t>
        </w:r>
        <w:r>
          <w:rPr>
            <w:noProof/>
            <w:webHidden/>
          </w:rPr>
          <w:tab/>
        </w:r>
        <w:r>
          <w:rPr>
            <w:noProof/>
            <w:webHidden/>
          </w:rPr>
          <w:fldChar w:fldCharType="begin"/>
        </w:r>
        <w:r>
          <w:rPr>
            <w:noProof/>
            <w:webHidden/>
          </w:rPr>
          <w:instrText xml:space="preserve"> PAGEREF _Toc178348012 \h </w:instrText>
        </w:r>
        <w:r>
          <w:rPr>
            <w:noProof/>
            <w:webHidden/>
          </w:rPr>
        </w:r>
        <w:r>
          <w:rPr>
            <w:noProof/>
            <w:webHidden/>
          </w:rPr>
          <w:fldChar w:fldCharType="separate"/>
        </w:r>
        <w:r w:rsidR="00A82DE5">
          <w:rPr>
            <w:noProof/>
            <w:webHidden/>
          </w:rPr>
          <w:t>79</w:t>
        </w:r>
        <w:r>
          <w:rPr>
            <w:noProof/>
            <w:webHidden/>
          </w:rPr>
          <w:fldChar w:fldCharType="end"/>
        </w:r>
      </w:hyperlink>
    </w:p>
    <w:p w14:paraId="69A43147" w14:textId="200B50BC" w:rsidR="009A26A4" w:rsidRDefault="009A26A4">
      <w:pPr>
        <w:pStyle w:val="TableofFigures"/>
        <w:tabs>
          <w:tab w:val="right" w:leader="dot" w:pos="9220"/>
        </w:tabs>
        <w:rPr>
          <w:rFonts w:asciiTheme="minorHAnsi" w:eastAsiaTheme="minorEastAsia" w:hAnsiTheme="minorHAnsi" w:cstheme="minorBidi"/>
          <w:noProof/>
          <w:kern w:val="2"/>
          <w:sz w:val="24"/>
          <w:szCs w:val="24"/>
          <w14:ligatures w14:val="standardContextual"/>
        </w:rPr>
      </w:pPr>
      <w:hyperlink w:anchor="_Toc178348013" w:history="1">
        <w:r w:rsidRPr="006B0BD3">
          <w:rPr>
            <w:rStyle w:val="Hyperlink"/>
            <w:noProof/>
          </w:rPr>
          <w:t>Figure 10. PRISMA flowchart – Headache and migraine, magnesium</w:t>
        </w:r>
        <w:r>
          <w:rPr>
            <w:noProof/>
            <w:webHidden/>
          </w:rPr>
          <w:tab/>
        </w:r>
        <w:r>
          <w:rPr>
            <w:noProof/>
            <w:webHidden/>
          </w:rPr>
          <w:fldChar w:fldCharType="begin"/>
        </w:r>
        <w:r>
          <w:rPr>
            <w:noProof/>
            <w:webHidden/>
          </w:rPr>
          <w:instrText xml:space="preserve"> PAGEREF _Toc178348013 \h </w:instrText>
        </w:r>
        <w:r>
          <w:rPr>
            <w:noProof/>
            <w:webHidden/>
          </w:rPr>
        </w:r>
        <w:r>
          <w:rPr>
            <w:noProof/>
            <w:webHidden/>
          </w:rPr>
          <w:fldChar w:fldCharType="separate"/>
        </w:r>
        <w:r w:rsidR="00A82DE5">
          <w:rPr>
            <w:noProof/>
            <w:webHidden/>
          </w:rPr>
          <w:t>85</w:t>
        </w:r>
        <w:r>
          <w:rPr>
            <w:noProof/>
            <w:webHidden/>
          </w:rPr>
          <w:fldChar w:fldCharType="end"/>
        </w:r>
      </w:hyperlink>
    </w:p>
    <w:p w14:paraId="5B036694" w14:textId="00599D46" w:rsidR="009A26A4" w:rsidRDefault="009A26A4">
      <w:pPr>
        <w:pStyle w:val="TableofFigures"/>
        <w:tabs>
          <w:tab w:val="right" w:leader="dot" w:pos="9220"/>
        </w:tabs>
        <w:rPr>
          <w:rFonts w:asciiTheme="minorHAnsi" w:eastAsiaTheme="minorEastAsia" w:hAnsiTheme="minorHAnsi" w:cstheme="minorBidi"/>
          <w:noProof/>
          <w:kern w:val="2"/>
          <w:sz w:val="24"/>
          <w:szCs w:val="24"/>
          <w14:ligatures w14:val="standardContextual"/>
        </w:rPr>
      </w:pPr>
      <w:hyperlink w:anchor="_Toc178348014" w:history="1">
        <w:r w:rsidRPr="006B0BD3">
          <w:rPr>
            <w:rStyle w:val="Hyperlink"/>
            <w:noProof/>
          </w:rPr>
          <w:t>Figure 11. PRISMA flowchart – Arthritis/Osteoarthritis, Magnesium.</w:t>
        </w:r>
        <w:r>
          <w:rPr>
            <w:noProof/>
            <w:webHidden/>
          </w:rPr>
          <w:tab/>
        </w:r>
        <w:r>
          <w:rPr>
            <w:noProof/>
            <w:webHidden/>
          </w:rPr>
          <w:fldChar w:fldCharType="begin"/>
        </w:r>
        <w:r>
          <w:rPr>
            <w:noProof/>
            <w:webHidden/>
          </w:rPr>
          <w:instrText xml:space="preserve"> PAGEREF _Toc178348014 \h </w:instrText>
        </w:r>
        <w:r>
          <w:rPr>
            <w:noProof/>
            <w:webHidden/>
          </w:rPr>
        </w:r>
        <w:r>
          <w:rPr>
            <w:noProof/>
            <w:webHidden/>
          </w:rPr>
          <w:fldChar w:fldCharType="separate"/>
        </w:r>
        <w:r w:rsidR="00A82DE5">
          <w:rPr>
            <w:noProof/>
            <w:webHidden/>
          </w:rPr>
          <w:t>91</w:t>
        </w:r>
        <w:r>
          <w:rPr>
            <w:noProof/>
            <w:webHidden/>
          </w:rPr>
          <w:fldChar w:fldCharType="end"/>
        </w:r>
      </w:hyperlink>
    </w:p>
    <w:p w14:paraId="2C832A49" w14:textId="038F0657" w:rsidR="009A26A4" w:rsidRDefault="009A26A4">
      <w:pPr>
        <w:pStyle w:val="TableofFigures"/>
        <w:tabs>
          <w:tab w:val="right" w:leader="dot" w:pos="9220"/>
        </w:tabs>
        <w:rPr>
          <w:rFonts w:asciiTheme="minorHAnsi" w:eastAsiaTheme="minorEastAsia" w:hAnsiTheme="minorHAnsi" w:cstheme="minorBidi"/>
          <w:noProof/>
          <w:kern w:val="2"/>
          <w:sz w:val="24"/>
          <w:szCs w:val="24"/>
          <w14:ligatures w14:val="standardContextual"/>
        </w:rPr>
      </w:pPr>
      <w:hyperlink w:anchor="_Toc178348015" w:history="1">
        <w:r w:rsidRPr="006B0BD3">
          <w:rPr>
            <w:rStyle w:val="Hyperlink"/>
            <w:noProof/>
          </w:rPr>
          <w:t>Figure 12. PRISMA flowchart – hypertension, omega-3.</w:t>
        </w:r>
        <w:r>
          <w:rPr>
            <w:noProof/>
            <w:webHidden/>
          </w:rPr>
          <w:tab/>
        </w:r>
        <w:r>
          <w:rPr>
            <w:noProof/>
            <w:webHidden/>
          </w:rPr>
          <w:fldChar w:fldCharType="begin"/>
        </w:r>
        <w:r>
          <w:rPr>
            <w:noProof/>
            <w:webHidden/>
          </w:rPr>
          <w:instrText xml:space="preserve"> PAGEREF _Toc178348015 \h </w:instrText>
        </w:r>
        <w:r>
          <w:rPr>
            <w:noProof/>
            <w:webHidden/>
          </w:rPr>
        </w:r>
        <w:r>
          <w:rPr>
            <w:noProof/>
            <w:webHidden/>
          </w:rPr>
          <w:fldChar w:fldCharType="separate"/>
        </w:r>
        <w:r w:rsidR="00A82DE5">
          <w:rPr>
            <w:noProof/>
            <w:webHidden/>
          </w:rPr>
          <w:t>94</w:t>
        </w:r>
        <w:r>
          <w:rPr>
            <w:noProof/>
            <w:webHidden/>
          </w:rPr>
          <w:fldChar w:fldCharType="end"/>
        </w:r>
      </w:hyperlink>
    </w:p>
    <w:p w14:paraId="3EFA0949" w14:textId="59EFB07C" w:rsidR="009A26A4" w:rsidRDefault="009A26A4">
      <w:pPr>
        <w:pStyle w:val="TableofFigures"/>
        <w:tabs>
          <w:tab w:val="right" w:leader="dot" w:pos="9220"/>
        </w:tabs>
        <w:rPr>
          <w:rFonts w:asciiTheme="minorHAnsi" w:eastAsiaTheme="minorEastAsia" w:hAnsiTheme="minorHAnsi" w:cstheme="minorBidi"/>
          <w:noProof/>
          <w:kern w:val="2"/>
          <w:sz w:val="24"/>
          <w:szCs w:val="24"/>
          <w14:ligatures w14:val="standardContextual"/>
        </w:rPr>
      </w:pPr>
      <w:hyperlink w:anchor="_Toc178348016" w:history="1">
        <w:r w:rsidRPr="006B0BD3">
          <w:rPr>
            <w:rStyle w:val="Hyperlink"/>
            <w:noProof/>
          </w:rPr>
          <w:t>Figure 13. PRISMA flowchart – fibromyalgia, magnesium.</w:t>
        </w:r>
        <w:r>
          <w:rPr>
            <w:noProof/>
            <w:webHidden/>
          </w:rPr>
          <w:tab/>
        </w:r>
        <w:r>
          <w:rPr>
            <w:noProof/>
            <w:webHidden/>
          </w:rPr>
          <w:fldChar w:fldCharType="begin"/>
        </w:r>
        <w:r>
          <w:rPr>
            <w:noProof/>
            <w:webHidden/>
          </w:rPr>
          <w:instrText xml:space="preserve"> PAGEREF _Toc178348016 \h </w:instrText>
        </w:r>
        <w:r>
          <w:rPr>
            <w:noProof/>
            <w:webHidden/>
          </w:rPr>
        </w:r>
        <w:r>
          <w:rPr>
            <w:noProof/>
            <w:webHidden/>
          </w:rPr>
          <w:fldChar w:fldCharType="separate"/>
        </w:r>
        <w:r w:rsidR="00A82DE5">
          <w:rPr>
            <w:noProof/>
            <w:webHidden/>
          </w:rPr>
          <w:t>100</w:t>
        </w:r>
        <w:r>
          <w:rPr>
            <w:noProof/>
            <w:webHidden/>
          </w:rPr>
          <w:fldChar w:fldCharType="end"/>
        </w:r>
      </w:hyperlink>
    </w:p>
    <w:p w14:paraId="19431C66" w14:textId="59DC7E42" w:rsidR="009A26A4" w:rsidRDefault="009A26A4">
      <w:pPr>
        <w:pStyle w:val="TableofFigures"/>
        <w:tabs>
          <w:tab w:val="right" w:leader="dot" w:pos="9220"/>
        </w:tabs>
        <w:rPr>
          <w:rFonts w:asciiTheme="minorHAnsi" w:eastAsiaTheme="minorEastAsia" w:hAnsiTheme="minorHAnsi" w:cstheme="minorBidi"/>
          <w:noProof/>
          <w:kern w:val="2"/>
          <w:sz w:val="24"/>
          <w:szCs w:val="24"/>
          <w14:ligatures w14:val="standardContextual"/>
        </w:rPr>
      </w:pPr>
      <w:hyperlink w:anchor="_Toc178348017" w:history="1">
        <w:r w:rsidRPr="006B0BD3">
          <w:rPr>
            <w:rStyle w:val="Hyperlink"/>
            <w:noProof/>
          </w:rPr>
          <w:t>Figure 14. PRISMA flowchart – recurrent infections, zinc.</w:t>
        </w:r>
        <w:r>
          <w:rPr>
            <w:noProof/>
            <w:webHidden/>
          </w:rPr>
          <w:tab/>
        </w:r>
        <w:r>
          <w:rPr>
            <w:noProof/>
            <w:webHidden/>
          </w:rPr>
          <w:fldChar w:fldCharType="begin"/>
        </w:r>
        <w:r>
          <w:rPr>
            <w:noProof/>
            <w:webHidden/>
          </w:rPr>
          <w:instrText xml:space="preserve"> PAGEREF _Toc178348017 \h </w:instrText>
        </w:r>
        <w:r>
          <w:rPr>
            <w:noProof/>
            <w:webHidden/>
          </w:rPr>
        </w:r>
        <w:r>
          <w:rPr>
            <w:noProof/>
            <w:webHidden/>
          </w:rPr>
          <w:fldChar w:fldCharType="separate"/>
        </w:r>
        <w:r w:rsidR="00A82DE5">
          <w:rPr>
            <w:noProof/>
            <w:webHidden/>
          </w:rPr>
          <w:t>106</w:t>
        </w:r>
        <w:r>
          <w:rPr>
            <w:noProof/>
            <w:webHidden/>
          </w:rPr>
          <w:fldChar w:fldCharType="end"/>
        </w:r>
      </w:hyperlink>
    </w:p>
    <w:p w14:paraId="3EA53797" w14:textId="7F232942" w:rsidR="009A26A4" w:rsidRDefault="009A26A4">
      <w:pPr>
        <w:pStyle w:val="TableofFigures"/>
        <w:tabs>
          <w:tab w:val="right" w:leader="dot" w:pos="9220"/>
        </w:tabs>
        <w:rPr>
          <w:rFonts w:asciiTheme="minorHAnsi" w:eastAsiaTheme="minorEastAsia" w:hAnsiTheme="minorHAnsi" w:cstheme="minorBidi"/>
          <w:noProof/>
          <w:kern w:val="2"/>
          <w:sz w:val="24"/>
          <w:szCs w:val="24"/>
          <w14:ligatures w14:val="standardContextual"/>
        </w:rPr>
      </w:pPr>
      <w:hyperlink w:anchor="_Toc178348018" w:history="1">
        <w:r w:rsidRPr="006B0BD3">
          <w:rPr>
            <w:rStyle w:val="Hyperlink"/>
            <w:noProof/>
          </w:rPr>
          <w:t>Figure 15. PRISMA flowchart – Diabetes (Type II) (including metabolic syndrome), antioxidants (specifically CoQ10 and ALA).</w:t>
        </w:r>
        <w:r>
          <w:rPr>
            <w:noProof/>
            <w:webHidden/>
          </w:rPr>
          <w:tab/>
        </w:r>
        <w:r>
          <w:rPr>
            <w:noProof/>
            <w:webHidden/>
          </w:rPr>
          <w:fldChar w:fldCharType="begin"/>
        </w:r>
        <w:r>
          <w:rPr>
            <w:noProof/>
            <w:webHidden/>
          </w:rPr>
          <w:instrText xml:space="preserve"> PAGEREF _Toc178348018 \h </w:instrText>
        </w:r>
        <w:r>
          <w:rPr>
            <w:noProof/>
            <w:webHidden/>
          </w:rPr>
        </w:r>
        <w:r>
          <w:rPr>
            <w:noProof/>
            <w:webHidden/>
          </w:rPr>
          <w:fldChar w:fldCharType="separate"/>
        </w:r>
        <w:r w:rsidR="00A82DE5">
          <w:rPr>
            <w:noProof/>
            <w:webHidden/>
          </w:rPr>
          <w:t>113</w:t>
        </w:r>
        <w:r>
          <w:rPr>
            <w:noProof/>
            <w:webHidden/>
          </w:rPr>
          <w:fldChar w:fldCharType="end"/>
        </w:r>
      </w:hyperlink>
    </w:p>
    <w:p w14:paraId="567EA53B" w14:textId="63528115" w:rsidR="00A24D67" w:rsidRPr="0054775B" w:rsidRDefault="00A24D67" w:rsidP="009E6F7F">
      <w:pPr>
        <w:pStyle w:val="TableofFigures"/>
        <w:rPr>
          <w:highlight w:val="yellow"/>
        </w:rPr>
      </w:pPr>
      <w:r w:rsidRPr="0054775B">
        <w:rPr>
          <w:rStyle w:val="Hyperlink"/>
          <w:sz w:val="20"/>
          <w:szCs w:val="20"/>
          <w:highlight w:val="yellow"/>
        </w:rPr>
        <w:fldChar w:fldCharType="end"/>
      </w:r>
    </w:p>
    <w:p w14:paraId="49CDAF74" w14:textId="77777777" w:rsidR="00A3068F" w:rsidRPr="0054775B" w:rsidRDefault="00A3068F" w:rsidP="009E6F7F">
      <w:pPr>
        <w:rPr>
          <w:rStyle w:val="Heading1Char"/>
          <w:rFonts w:ascii="Aptos" w:hAnsi="Aptos"/>
          <w:b w:val="0"/>
          <w:bCs w:val="0"/>
          <w:spacing w:val="-2"/>
          <w:w w:val="105"/>
          <w:highlight w:val="yellow"/>
        </w:rPr>
      </w:pPr>
      <w:r w:rsidRPr="0054775B">
        <w:rPr>
          <w:rStyle w:val="Heading1Char"/>
          <w:rFonts w:ascii="Aptos" w:hAnsi="Aptos"/>
          <w:highlight w:val="yellow"/>
        </w:rPr>
        <w:br w:type="page"/>
      </w:r>
    </w:p>
    <w:p w14:paraId="5395A199" w14:textId="3AF450D4" w:rsidR="00A24D67" w:rsidRPr="0054775B" w:rsidRDefault="00A24D67" w:rsidP="00A81E6A">
      <w:pPr>
        <w:pStyle w:val="2024HEADER1"/>
        <w:numPr>
          <w:ilvl w:val="0"/>
          <w:numId w:val="0"/>
        </w:numPr>
        <w:ind w:left="851" w:hanging="851"/>
        <w:rPr>
          <w:rStyle w:val="Heading1Char"/>
          <w:rFonts w:ascii="Aptos" w:hAnsi="Aptos"/>
          <w:b/>
          <w:bCs/>
        </w:rPr>
      </w:pPr>
      <w:bookmarkStart w:id="25" w:name="_Toc179379606"/>
      <w:r w:rsidRPr="0054775B">
        <w:rPr>
          <w:rStyle w:val="Heading1Char"/>
          <w:rFonts w:ascii="Aptos" w:hAnsi="Aptos"/>
          <w:b/>
          <w:bCs/>
        </w:rPr>
        <w:lastRenderedPageBreak/>
        <w:t>List of Appendices</w:t>
      </w:r>
      <w:bookmarkEnd w:id="24"/>
      <w:bookmarkEnd w:id="25"/>
    </w:p>
    <w:p w14:paraId="26A20CA4" w14:textId="2773911D" w:rsidR="00FB0A70" w:rsidRPr="0054775B" w:rsidRDefault="00FB0A70" w:rsidP="009E6F7F">
      <w:r w:rsidRPr="0054775B">
        <w:t>Appendix A</w:t>
      </w:r>
      <w:r w:rsidRPr="0054775B">
        <w:tab/>
      </w:r>
      <w:r w:rsidR="00A53D8A" w:rsidRPr="00A53D8A">
        <w:rPr>
          <w:rFonts w:cs="Arial"/>
          <w:w w:val="105"/>
        </w:rPr>
        <w:t>Searching, selection criteria and screening</w:t>
      </w:r>
    </w:p>
    <w:p w14:paraId="383E736E" w14:textId="096ECCF4" w:rsidR="00675C17" w:rsidRPr="0054775B" w:rsidRDefault="00675C17" w:rsidP="00675C17">
      <w:r w:rsidRPr="0054775B">
        <w:t xml:space="preserve">Appendix B </w:t>
      </w:r>
      <w:r w:rsidRPr="0054775B">
        <w:tab/>
      </w:r>
      <w:bookmarkStart w:id="26" w:name="_Toc164254843"/>
      <w:r w:rsidR="0098435D" w:rsidRPr="0098435D">
        <w:rPr>
          <w:rFonts w:eastAsia="Calibri"/>
          <w:bCs/>
          <w:w w:val="105"/>
        </w:rPr>
        <w:t>Methods of data collection, appraisal and reporting</w:t>
      </w:r>
      <w:bookmarkEnd w:id="26"/>
      <w:r w:rsidR="0098435D" w:rsidRPr="0098435D">
        <w:t xml:space="preserve"> </w:t>
      </w:r>
    </w:p>
    <w:p w14:paraId="2E654A44" w14:textId="73C71E4A" w:rsidR="00A24D67" w:rsidRPr="0054775B" w:rsidRDefault="00A24D67" w:rsidP="009E6F7F">
      <w:r w:rsidRPr="0054775B">
        <w:t xml:space="preserve">Appendix </w:t>
      </w:r>
      <w:r w:rsidR="00FB0A70" w:rsidRPr="0054775B">
        <w:t>C</w:t>
      </w:r>
      <w:r w:rsidRPr="0054775B">
        <w:tab/>
      </w:r>
      <w:bookmarkStart w:id="27" w:name="_Toc164254859"/>
      <w:r w:rsidR="008C58F0" w:rsidRPr="008C58F0">
        <w:rPr>
          <w:rStyle w:val="Heading1Char"/>
          <w:rFonts w:ascii="Aptos" w:hAnsi="Aptos"/>
          <w:b w:val="0"/>
          <w:bCs w:val="0"/>
          <w:color w:val="auto"/>
          <w:sz w:val="22"/>
          <w:szCs w:val="22"/>
        </w:rPr>
        <w:t xml:space="preserve">Citation details of reviews assessed at full text but not included </w:t>
      </w:r>
      <w:bookmarkEnd w:id="27"/>
    </w:p>
    <w:p w14:paraId="7EDEEAD1" w14:textId="14567AF0" w:rsidR="00A24D67" w:rsidRPr="0054775B" w:rsidRDefault="00A24D67" w:rsidP="009E6F7F">
      <w:r w:rsidRPr="0054775B">
        <w:t xml:space="preserve">Appendix </w:t>
      </w:r>
      <w:r w:rsidR="00D633FA" w:rsidRPr="0054775B">
        <w:t>D</w:t>
      </w:r>
      <w:r w:rsidRPr="0054775B">
        <w:tab/>
      </w:r>
      <w:r w:rsidR="00D83D3F" w:rsidRPr="0054775B">
        <w:t xml:space="preserve">Characteristics of included reviews </w:t>
      </w:r>
    </w:p>
    <w:p w14:paraId="48E34524" w14:textId="54B6F29F" w:rsidR="00A24D67" w:rsidRPr="0054775B" w:rsidRDefault="00A24D67" w:rsidP="009E6F7F">
      <w:r w:rsidRPr="0054775B">
        <w:t xml:space="preserve">Appendix </w:t>
      </w:r>
      <w:r w:rsidR="00C433CE" w:rsidRPr="0054775B">
        <w:t>E</w:t>
      </w:r>
      <w:r w:rsidRPr="0054775B">
        <w:tab/>
      </w:r>
      <w:r w:rsidR="00D83D3F" w:rsidRPr="0054775B">
        <w:t>Results of included reviews</w:t>
      </w:r>
      <w:r w:rsidR="00D83D3F" w:rsidRPr="0054775B" w:rsidDel="00D83D3F">
        <w:t xml:space="preserve"> </w:t>
      </w:r>
      <w:r w:rsidR="00585037" w:rsidRPr="0054775B">
        <w:t xml:space="preserve"> </w:t>
      </w:r>
    </w:p>
    <w:p w14:paraId="51E06199" w14:textId="2C55B100" w:rsidR="00A24D67" w:rsidRPr="0054775B" w:rsidRDefault="00A24D67" w:rsidP="009E6F7F">
      <w:r w:rsidRPr="0054775B">
        <w:t xml:space="preserve">Appendix </w:t>
      </w:r>
      <w:r w:rsidR="005115B6" w:rsidRPr="0054775B">
        <w:t>F</w:t>
      </w:r>
      <w:r w:rsidRPr="0054775B">
        <w:tab/>
      </w:r>
      <w:r w:rsidR="00D83D3F" w:rsidRPr="0054775B">
        <w:t xml:space="preserve">ROBIS assessments </w:t>
      </w:r>
    </w:p>
    <w:p w14:paraId="3D0E66F4" w14:textId="6E742005" w:rsidR="00585037" w:rsidRPr="0054775B" w:rsidRDefault="00A24D67" w:rsidP="00585037">
      <w:r w:rsidRPr="0054775B">
        <w:t xml:space="preserve">Appendix </w:t>
      </w:r>
      <w:r w:rsidR="00805B69" w:rsidRPr="0054775B">
        <w:t>G</w:t>
      </w:r>
      <w:r w:rsidRPr="0054775B">
        <w:tab/>
      </w:r>
      <w:r w:rsidR="007755DA" w:rsidRPr="0054775B">
        <w:t xml:space="preserve">Differences between protocol and overview </w:t>
      </w:r>
    </w:p>
    <w:p w14:paraId="1A326996" w14:textId="304745A2" w:rsidR="00A24D67" w:rsidRPr="0054775B" w:rsidRDefault="00A24D67" w:rsidP="009E6F7F">
      <w:r w:rsidRPr="0054775B">
        <w:t xml:space="preserve">Appendix </w:t>
      </w:r>
      <w:r w:rsidR="007B465F" w:rsidRPr="0054775B">
        <w:t>H</w:t>
      </w:r>
      <w:r w:rsidRPr="0054775B">
        <w:tab/>
      </w:r>
      <w:r w:rsidR="007940BC">
        <w:t>How comments from methodological review were addressed</w:t>
      </w:r>
      <w:r w:rsidR="008F633F">
        <w:t xml:space="preserve"> </w:t>
      </w:r>
      <w:r w:rsidR="007B465F" w:rsidRPr="0054775B">
        <w:t xml:space="preserve"> </w:t>
      </w:r>
    </w:p>
    <w:p w14:paraId="3E41C635" w14:textId="38A639E5" w:rsidR="00940423" w:rsidRPr="0054775B" w:rsidRDefault="00940423" w:rsidP="00DB73D1">
      <w:bookmarkStart w:id="28" w:name="_Toc111119270"/>
      <w:r w:rsidRPr="0054775B">
        <w:br w:type="page"/>
      </w:r>
    </w:p>
    <w:p w14:paraId="66B5FE11" w14:textId="40AB9F3D" w:rsidR="009E6F7F" w:rsidRPr="0054775B" w:rsidRDefault="00A24D67" w:rsidP="00703071">
      <w:pPr>
        <w:pStyle w:val="2024HEADER1"/>
      </w:pPr>
      <w:bookmarkStart w:id="29" w:name="_Toc179379607"/>
      <w:r w:rsidRPr="0054775B">
        <w:lastRenderedPageBreak/>
        <w:t>Background</w:t>
      </w:r>
      <w:bookmarkStart w:id="30" w:name="_Toc111119272"/>
      <w:bookmarkEnd w:id="28"/>
      <w:bookmarkEnd w:id="29"/>
    </w:p>
    <w:p w14:paraId="7614D18F" w14:textId="16D96918" w:rsidR="001262A2" w:rsidRPr="0054775B" w:rsidRDefault="001262A2" w:rsidP="00703071">
      <w:r w:rsidRPr="0054775B">
        <w:t xml:space="preserve">In 2015, an </w:t>
      </w:r>
      <w:r w:rsidR="00912F03" w:rsidRPr="0054775B">
        <w:t>overview</w:t>
      </w:r>
      <w:r w:rsidRPr="0054775B">
        <w:t xml:space="preserve"> of systematic reviews (</w:t>
      </w:r>
      <w:r w:rsidR="00912F03" w:rsidRPr="0054775B">
        <w:t>overview</w:t>
      </w:r>
      <w:r w:rsidRPr="0054775B">
        <w:t xml:space="preserve">) conducted for the Australian Government found no reliable evidence on the effectiveness of naturopathy as a health service </w:t>
      </w:r>
      <w:r w:rsidR="009C18E0" w:rsidRPr="0054775B">
        <w:rPr>
          <w:noProof/>
        </w:rPr>
        <w:t>(1)</w:t>
      </w:r>
      <w:r w:rsidRPr="0054775B">
        <w:t xml:space="preserve">. The 2015 </w:t>
      </w:r>
      <w:r w:rsidR="00912F03" w:rsidRPr="0054775B">
        <w:t>overview</w:t>
      </w:r>
      <w:r w:rsidRPr="0054775B">
        <w:t xml:space="preserve"> included systematic reviews published in the English language between 2008 to May 2013. The 2015 </w:t>
      </w:r>
      <w:r w:rsidR="00912F03" w:rsidRPr="0054775B">
        <w:t>overview</w:t>
      </w:r>
      <w:r w:rsidRPr="0054775B">
        <w:t xml:space="preserve"> informed the 2015 Review of the Australian Government Rebate on Private Health Insurance for Natural Therapies, which resulted in naturopathy, along with 15 other natural therapies, being excluded from private health insurance rebates </w:t>
      </w:r>
      <w:r w:rsidR="009C18E0" w:rsidRPr="0054775B">
        <w:rPr>
          <w:noProof/>
        </w:rPr>
        <w:t>(2)</w:t>
      </w:r>
      <w:r w:rsidRPr="0054775B">
        <w:t>.</w:t>
      </w:r>
    </w:p>
    <w:p w14:paraId="17B84EA4" w14:textId="348F24FD" w:rsidR="001262A2" w:rsidRPr="0054775B" w:rsidRDefault="001262A2" w:rsidP="00703071">
      <w:r w:rsidRPr="0054775B">
        <w:t xml:space="preserve">In the 2015 </w:t>
      </w:r>
      <w:r w:rsidR="00912F03" w:rsidRPr="0054775B">
        <w:t>overview</w:t>
      </w:r>
      <w:r w:rsidRPr="0054775B">
        <w:t xml:space="preserve">, systematic reviews of components (or “tools of the trade”) of naturopathy were not eligible for inclusion. However, because naturopathy includes many different treatment methods (prescribed and used in varying ways in the Australian population), it was determined important to review the evidence for commonly used standalone naturopathy modalities, as well as the wider naturopathic practice. This </w:t>
      </w:r>
      <w:r w:rsidR="00912F03" w:rsidRPr="0054775B">
        <w:t>overview</w:t>
      </w:r>
      <w:r w:rsidRPr="0054775B">
        <w:t xml:space="preserve"> </w:t>
      </w:r>
      <w:r w:rsidR="00695FEB">
        <w:t xml:space="preserve">of systematic reviews </w:t>
      </w:r>
      <w:r w:rsidR="006760BF">
        <w:t>is a companion to</w:t>
      </w:r>
      <w:r w:rsidR="006760BF" w:rsidRPr="0054775B">
        <w:t xml:space="preserve"> </w:t>
      </w:r>
      <w:r w:rsidRPr="0054775B">
        <w:t xml:space="preserve">the evidence evaluation for </w:t>
      </w:r>
      <w:r w:rsidRPr="0054775B">
        <w:rPr>
          <w:i/>
          <w:iCs/>
        </w:rPr>
        <w:t xml:space="preserve">“Whole system, multi-modal or single modal interventions delivered in the context of naturopathic practice, for preventing and treating health conditions” </w:t>
      </w:r>
      <w:r w:rsidRPr="0054775B">
        <w:t>(PROSPERO registration: CRD42021266381), which assess</w:t>
      </w:r>
      <w:r w:rsidR="00844AE9" w:rsidRPr="0054775B">
        <w:t>ed</w:t>
      </w:r>
      <w:r w:rsidRPr="0054775B">
        <w:t xml:space="preserve"> the clinical effectiveness of individual and/or multi-modality treatments delivered by naturopaths as part of naturopathic whole-system practice.</w:t>
      </w:r>
      <w:r w:rsidR="00695FEB" w:rsidRPr="00695FEB">
        <w:t xml:space="preserve"> </w:t>
      </w:r>
      <w:r w:rsidR="00695FEB">
        <w:t>Th</w:t>
      </w:r>
      <w:r w:rsidR="0006608D">
        <w:t>is</w:t>
      </w:r>
      <w:r w:rsidR="00695FEB" w:rsidRPr="0054775B">
        <w:t xml:space="preserve"> overview examine</w:t>
      </w:r>
      <w:r w:rsidR="00695FEB">
        <w:t>s</w:t>
      </w:r>
      <w:r w:rsidR="00695FEB" w:rsidRPr="0054775B">
        <w:t xml:space="preserve"> the evidence for the clinical effectiveness of nutritional supplements (prescribed in the context of naturopathic practice) for preventing and/or treating specific conditions.</w:t>
      </w:r>
    </w:p>
    <w:p w14:paraId="14ADAE71" w14:textId="6B66D229" w:rsidR="001262A2" w:rsidRPr="0054775B" w:rsidRDefault="001262A2" w:rsidP="009E6F7F">
      <w:r w:rsidRPr="0054775B">
        <w:t xml:space="preserve">This </w:t>
      </w:r>
      <w:r w:rsidR="00912F03" w:rsidRPr="0054775B">
        <w:t>overview</w:t>
      </w:r>
      <w:r w:rsidRPr="0054775B">
        <w:t xml:space="preserve"> focus</w:t>
      </w:r>
      <w:r w:rsidR="00844AE9" w:rsidRPr="0054775B">
        <w:t>ed</w:t>
      </w:r>
      <w:r w:rsidRPr="0054775B">
        <w:t xml:space="preserve"> on the populations and conditions commonly seen and treated by naturopaths in Australia and some of the core nutritional supplements taught to naturopaths in Australia </w:t>
      </w:r>
      <w:r w:rsidR="00747284">
        <w:t>for treating those populations and conditions. P</w:t>
      </w:r>
      <w:r w:rsidRPr="0054775B">
        <w:t>rioritis</w:t>
      </w:r>
      <w:r w:rsidR="00747284">
        <w:t xml:space="preserve">ation was </w:t>
      </w:r>
      <w:r w:rsidRPr="0054775B">
        <w:t xml:space="preserve">by NHMRC’s </w:t>
      </w:r>
      <w:r w:rsidR="00D84626" w:rsidRPr="0054775B">
        <w:t>Natural Therapies Working Committee (NTWC)</w:t>
      </w:r>
      <w:r w:rsidRPr="0054775B">
        <w:t xml:space="preserve">, with advice from the Department’s </w:t>
      </w:r>
      <w:r w:rsidR="00FE2B65" w:rsidRPr="0054775B">
        <w:t>Natural Therapies Review Expert Advisory Panel (</w:t>
      </w:r>
      <w:r w:rsidRPr="0054775B">
        <w:t>NTREAP</w:t>
      </w:r>
      <w:r w:rsidR="00D84626" w:rsidRPr="0054775B">
        <w:t>)</w:t>
      </w:r>
      <w:r w:rsidR="00747284">
        <w:t xml:space="preserve"> and was conducted </w:t>
      </w:r>
      <w:r w:rsidR="00BF4911">
        <w:t>as part of the protocol development</w:t>
      </w:r>
      <w:r w:rsidRPr="0054775B">
        <w:t xml:space="preserve">. This </w:t>
      </w:r>
      <w:r w:rsidR="00912F03" w:rsidRPr="0054775B">
        <w:t>overview</w:t>
      </w:r>
      <w:r w:rsidRPr="0054775B">
        <w:t xml:space="preserve"> is not intended to be an exhaustive review of all nutritional supplements prescribed by naturopaths; and</w:t>
      </w:r>
      <w:r w:rsidR="00643BD7" w:rsidRPr="0054775B">
        <w:t xml:space="preserve"> the</w:t>
      </w:r>
      <w:r w:rsidRPr="0054775B">
        <w:t xml:space="preserve"> </w:t>
      </w:r>
      <w:r w:rsidR="00D84626" w:rsidRPr="0054775B">
        <w:t>assessment of safety or cost effectiveness was considered out of</w:t>
      </w:r>
      <w:r w:rsidRPr="0054775B">
        <w:t xml:space="preserve"> scope of this </w:t>
      </w:r>
      <w:r w:rsidR="00912F03" w:rsidRPr="0054775B">
        <w:t>overview</w:t>
      </w:r>
      <w:r w:rsidRPr="0054775B">
        <w:t xml:space="preserve">. </w:t>
      </w:r>
    </w:p>
    <w:p w14:paraId="143F0ADA" w14:textId="6B8E7929" w:rsidR="00A24D67" w:rsidRPr="0054775B" w:rsidRDefault="00593A28" w:rsidP="00F9201F">
      <w:pPr>
        <w:pStyle w:val="2024HEADER2"/>
      </w:pPr>
      <w:bookmarkStart w:id="31" w:name="_Toc179379608"/>
      <w:bookmarkEnd w:id="30"/>
      <w:r w:rsidRPr="0054775B">
        <w:t>Description of condition and setting</w:t>
      </w:r>
      <w:bookmarkEnd w:id="31"/>
    </w:p>
    <w:p w14:paraId="57AD61B1" w14:textId="5092A67B" w:rsidR="00613F61" w:rsidRPr="0054775B" w:rsidRDefault="00613F61" w:rsidP="009E6F7F">
      <w:bookmarkStart w:id="32" w:name="_Toc111119273"/>
      <w:r w:rsidRPr="0054775B">
        <w:t xml:space="preserve">Naturopathy is a holistic treatment approach grounded in enabling and restoring a body’s natural healing abilities to prevent and treat a broad range of conditions </w:t>
      </w:r>
      <w:r w:rsidR="009C18E0" w:rsidRPr="0054775B">
        <w:rPr>
          <w:noProof/>
        </w:rPr>
        <w:t>(3)</w:t>
      </w:r>
      <w:r w:rsidRPr="0054775B">
        <w:t xml:space="preserve">. Naturopathy practice encompasses a variety of treatment methods and health management strategies. Some of the most common naturopathic modalities include lifestyle recommendations, nutritional supplementation, exercise prescription, and herbal medicine </w:t>
      </w:r>
      <w:r w:rsidR="009C18E0" w:rsidRPr="0054775B">
        <w:rPr>
          <w:noProof/>
        </w:rPr>
        <w:t>(3, 4)</w:t>
      </w:r>
      <w:r w:rsidRPr="0054775B">
        <w:t xml:space="preserve">. Naturopaths generally practice in a variety of settings, including in private practice, multi-modality clinical settings, and in collaboration with multi-disciplinary teams. </w:t>
      </w:r>
    </w:p>
    <w:p w14:paraId="31899ECA" w14:textId="7D087707" w:rsidR="00613F61" w:rsidRPr="0054775B" w:rsidRDefault="00613F61" w:rsidP="009E6F7F">
      <w:r w:rsidRPr="0054775B">
        <w:t xml:space="preserve">This </w:t>
      </w:r>
      <w:r w:rsidR="00912F03" w:rsidRPr="0054775B">
        <w:t>overview</w:t>
      </w:r>
      <w:r w:rsidRPr="0054775B">
        <w:t xml:space="preserve"> focus</w:t>
      </w:r>
      <w:r w:rsidR="00D84626" w:rsidRPr="0054775B">
        <w:t>ed</w:t>
      </w:r>
      <w:r w:rsidRPr="0054775B">
        <w:t xml:space="preserve"> specifically on prescription of nutritional supplementation in the context of naturopathy. To ensure this </w:t>
      </w:r>
      <w:r w:rsidR="00912F03" w:rsidRPr="0054775B">
        <w:t>overview</w:t>
      </w:r>
      <w:r w:rsidRPr="0054775B">
        <w:t xml:space="preserve"> </w:t>
      </w:r>
      <w:r w:rsidR="00D84626" w:rsidRPr="0054775B">
        <w:t>was</w:t>
      </w:r>
      <w:r w:rsidRPr="0054775B">
        <w:t xml:space="preserve"> manageable and most relevant to the Australian context, the target population, intervention, and conditions of interest were determined as those </w:t>
      </w:r>
      <w:r w:rsidR="003C5AB0">
        <w:t xml:space="preserve">for </w:t>
      </w:r>
      <w:r w:rsidRPr="0054775B">
        <w:t xml:space="preserve">which </w:t>
      </w:r>
      <w:r w:rsidR="003C5AB0">
        <w:t>people seek treatment from</w:t>
      </w:r>
      <w:r w:rsidRPr="0054775B">
        <w:t xml:space="preserve"> naturopaths in Australia. The conditions included in this </w:t>
      </w:r>
      <w:r w:rsidR="00912F03" w:rsidRPr="0054775B">
        <w:t>overview</w:t>
      </w:r>
      <w:r w:rsidRPr="0054775B">
        <w:t xml:space="preserve"> were pre-specified and ranked in order of relative importance by NTWC in collaboration with NTREAP. The list of target populations and conditions was derived using Tertiary Education Quality and Standards Agency (TEQSA) approved naturopathic </w:t>
      </w:r>
      <w:r w:rsidR="00C117F4" w:rsidRPr="0054775B">
        <w:t>curricul</w:t>
      </w:r>
      <w:r w:rsidR="00C117F4">
        <w:t>a</w:t>
      </w:r>
      <w:r w:rsidRPr="0054775B">
        <w:t xml:space="preserve">, in consultation with educational providers, and Australian survey data derived from </w:t>
      </w:r>
      <w:r w:rsidR="00BC6FC9">
        <w:t xml:space="preserve">the </w:t>
      </w:r>
      <w:r w:rsidRPr="0054775B">
        <w:t xml:space="preserve">Practitioner Research and </w:t>
      </w:r>
      <w:r w:rsidRPr="0054775B">
        <w:lastRenderedPageBreak/>
        <w:t xml:space="preserve">Collaboration Initiative (PRACI) survey </w:t>
      </w:r>
      <w:r w:rsidR="009C18E0" w:rsidRPr="0054775B">
        <w:rPr>
          <w:noProof/>
        </w:rPr>
        <w:t>(4, 5)</w:t>
      </w:r>
      <w:r w:rsidRPr="0054775B">
        <w:t xml:space="preserve"> </w:t>
      </w:r>
      <w:r w:rsidR="00BC6FC9">
        <w:t xml:space="preserve">on conditions </w:t>
      </w:r>
      <w:r w:rsidR="00DC39CD">
        <w:t xml:space="preserve">for which </w:t>
      </w:r>
      <w:r w:rsidR="00BC6FC9">
        <w:t xml:space="preserve">people seek treatment from naturopaths. </w:t>
      </w:r>
      <w:r w:rsidRPr="0054775B">
        <w:t>The final list was priority ranked by NTWC, with advice from NTREAP.</w:t>
      </w:r>
    </w:p>
    <w:p w14:paraId="7865C135" w14:textId="09A04A9C" w:rsidR="00DC630C" w:rsidRPr="0054775B" w:rsidRDefault="00DC630C" w:rsidP="00F9201F">
      <w:pPr>
        <w:pStyle w:val="2024HEADER2"/>
      </w:pPr>
      <w:bookmarkStart w:id="33" w:name="_Toc100711473"/>
      <w:bookmarkStart w:id="34" w:name="_Toc126835770"/>
      <w:bookmarkStart w:id="35" w:name="_Toc179379609"/>
      <w:bookmarkStart w:id="36" w:name="_Toc111119275"/>
      <w:bookmarkEnd w:id="32"/>
      <w:r w:rsidRPr="0054775B">
        <w:t>Description of intervention</w:t>
      </w:r>
      <w:bookmarkEnd w:id="33"/>
      <w:bookmarkEnd w:id="34"/>
      <w:bookmarkEnd w:id="35"/>
    </w:p>
    <w:p w14:paraId="331B191A" w14:textId="457B737A" w:rsidR="00DC630C" w:rsidRPr="0054775B" w:rsidRDefault="00DC630C" w:rsidP="009E6F7F">
      <w:r w:rsidRPr="0054775B">
        <w:t xml:space="preserve">Naturopathy covers a wide range of modalities. The use of nutritional supplementation (sometimes termed “clinical nutrition”) is one of the most frequently used interventions in naturopathic practice </w:t>
      </w:r>
      <w:r w:rsidR="009C18E0" w:rsidRPr="0054775B">
        <w:rPr>
          <w:noProof/>
        </w:rPr>
        <w:t>(3)</w:t>
      </w:r>
      <w:r w:rsidRPr="0054775B">
        <w:t xml:space="preserve">; a survey conducted by PRACI identified that nutritional supplementation is prescribed by approximately 65% of Australian naturopaths surveyed </w:t>
      </w:r>
      <w:r w:rsidR="009C18E0" w:rsidRPr="0054775B">
        <w:rPr>
          <w:noProof/>
        </w:rPr>
        <w:t>(4)</w:t>
      </w:r>
      <w:r w:rsidRPr="0054775B">
        <w:t>. When prescribed in the context of naturopathic practice, nutritional supplements as an intervention are used</w:t>
      </w:r>
      <w:r w:rsidRPr="0054775B" w:rsidDel="004B5B1A">
        <w:t xml:space="preserve"> to treat </w:t>
      </w:r>
      <w:r w:rsidR="005A29C7" w:rsidRPr="0054775B">
        <w:t xml:space="preserve">or prevent </w:t>
      </w:r>
      <w:r w:rsidRPr="0054775B">
        <w:t xml:space="preserve">certain conditions </w:t>
      </w:r>
      <w:r w:rsidR="009C18E0" w:rsidRPr="0054775B">
        <w:rPr>
          <w:noProof/>
        </w:rPr>
        <w:t>(3)</w:t>
      </w:r>
      <w:r w:rsidRPr="0054775B">
        <w:t xml:space="preserve">. In prescribing nutritional supplements, naturopaths may consider nutrient adequacy, food quality, dietary behaviours, and lifestyle to develop an individualised nutrition care plan. </w:t>
      </w:r>
    </w:p>
    <w:p w14:paraId="319EBD5C" w14:textId="50412DC1" w:rsidR="00DC630C" w:rsidRPr="0054775B" w:rsidRDefault="00DC630C" w:rsidP="009E6F7F">
      <w:r w:rsidRPr="0054775B">
        <w:t xml:space="preserve">This </w:t>
      </w:r>
      <w:r w:rsidR="00912F03" w:rsidRPr="0054775B">
        <w:t>overview</w:t>
      </w:r>
      <w:r w:rsidRPr="0054775B">
        <w:t xml:space="preserve"> focus</w:t>
      </w:r>
      <w:r w:rsidR="005A29C7" w:rsidRPr="0054775B">
        <w:t>ed</w:t>
      </w:r>
      <w:r w:rsidRPr="0054775B">
        <w:t xml:space="preserve"> on nutritional supplements commonly prescribed by naturopaths for certain populations and conditions in Australia. The list of nutritional supplements eligible for this </w:t>
      </w:r>
      <w:r w:rsidR="00912F03" w:rsidRPr="0054775B">
        <w:t>overview</w:t>
      </w:r>
      <w:r w:rsidRPr="0054775B">
        <w:t xml:space="preserve"> were pre-specified by NTWC in consultation with NTREAP. Similarly to the list of target populations and conditions eligible for this </w:t>
      </w:r>
      <w:r w:rsidR="00912F03" w:rsidRPr="0054775B">
        <w:t>overview</w:t>
      </w:r>
      <w:r w:rsidRPr="0054775B">
        <w:t xml:space="preserve">, the list of nutritional supplements </w:t>
      </w:r>
      <w:r w:rsidR="00522F99">
        <w:t xml:space="preserve">was </w:t>
      </w:r>
      <w:r w:rsidRPr="0054775B">
        <w:t xml:space="preserve">derived using TEQSA approved naturopathic curriculums, in consultation with educational providers, and data derived from a PRACI survey </w:t>
      </w:r>
      <w:r w:rsidR="009C18E0" w:rsidRPr="0054775B">
        <w:rPr>
          <w:noProof/>
        </w:rPr>
        <w:t>(4)</w:t>
      </w:r>
      <w:r w:rsidRPr="0054775B">
        <w:t>. The final list was priority ranked by NTWC, with advice from NTREAP.</w:t>
      </w:r>
    </w:p>
    <w:p w14:paraId="31D32DC4" w14:textId="16CE5772" w:rsidR="00DC630C" w:rsidRPr="0054775B" w:rsidRDefault="005E6F1E" w:rsidP="00F9201F">
      <w:pPr>
        <w:pStyle w:val="2024HEADER2"/>
      </w:pPr>
      <w:bookmarkStart w:id="37" w:name="_heading=h.3dy6vkm" w:colFirst="0" w:colLast="0"/>
      <w:bookmarkStart w:id="38" w:name="_Toc100711474"/>
      <w:bookmarkStart w:id="39" w:name="_Toc126835771"/>
      <w:bookmarkStart w:id="40" w:name="_Toc179379610"/>
      <w:bookmarkEnd w:id="37"/>
      <w:r w:rsidRPr="0054775B">
        <w:t>H</w:t>
      </w:r>
      <w:r w:rsidR="00DC630C" w:rsidRPr="0054775B">
        <w:t>ow the intervention might work</w:t>
      </w:r>
      <w:bookmarkEnd w:id="38"/>
      <w:bookmarkEnd w:id="39"/>
      <w:bookmarkEnd w:id="40"/>
    </w:p>
    <w:p w14:paraId="0D8F8CA7" w14:textId="3DC04B95" w:rsidR="00DC630C" w:rsidRPr="0054775B" w:rsidRDefault="00DC630C" w:rsidP="009E6F7F">
      <w:r w:rsidRPr="0054775B">
        <w:t xml:space="preserve">In addition to diet and nutrition being a core tenet of naturopathic philosophy in a holistic sense, nutritional supplements are also prescribed as a targeted intervention for certain conditions </w:t>
      </w:r>
      <w:r w:rsidR="009C18E0" w:rsidRPr="0054775B">
        <w:rPr>
          <w:noProof/>
        </w:rPr>
        <w:t>(3)</w:t>
      </w:r>
      <w:r w:rsidRPr="0054775B">
        <w:t xml:space="preserve">. Naturopaths prescribe nutritional supplements to restore balance, to detoxify, and/or to treat or prevent illnesses and disease </w:t>
      </w:r>
      <w:r w:rsidR="009C18E0" w:rsidRPr="0054775B">
        <w:rPr>
          <w:noProof/>
        </w:rPr>
        <w:t>(3)</w:t>
      </w:r>
      <w:r w:rsidRPr="0054775B">
        <w:t xml:space="preserve">. </w:t>
      </w:r>
    </w:p>
    <w:p w14:paraId="57138AFA" w14:textId="02357E8D" w:rsidR="00DC630C" w:rsidRPr="0054775B" w:rsidRDefault="00DC630C" w:rsidP="009E6F7F">
      <w:r w:rsidRPr="0054775B">
        <w:t xml:space="preserve">Nutritional supplements are either naturally derived or synthetically manufactured single ingredients or compounds (e.g. vitamins, minerals, amino acids) which also naturally occur in foods </w:t>
      </w:r>
      <w:r w:rsidR="009C18E0" w:rsidRPr="0054775B">
        <w:rPr>
          <w:noProof/>
        </w:rPr>
        <w:t>(6)</w:t>
      </w:r>
      <w:r w:rsidRPr="0054775B">
        <w:t xml:space="preserve">. They are designed to mimic naturally occurring biochemical compounds within the body </w:t>
      </w:r>
      <w:r w:rsidR="009C18E0" w:rsidRPr="0054775B">
        <w:rPr>
          <w:noProof/>
        </w:rPr>
        <w:t>(3)</w:t>
      </w:r>
      <w:r w:rsidRPr="0054775B">
        <w:t>.</w:t>
      </w:r>
      <w:r w:rsidRPr="0054775B" w:rsidDel="006D7567">
        <w:t xml:space="preserve"> </w:t>
      </w:r>
      <w:r w:rsidRPr="0054775B">
        <w:t xml:space="preserve">The term ‘supplement’ refers to the use of these individual nutritional compounds to bolster or replace what is </w:t>
      </w:r>
      <w:r w:rsidR="00BB0257" w:rsidRPr="0054775B">
        <w:t xml:space="preserve">considered as </w:t>
      </w:r>
      <w:r w:rsidRPr="0054775B">
        <w:t xml:space="preserve">missing from a person’s diet or that may be needed to treat certain conditions (such as providing the necessary nutritional building blocks for production of chemicals in the body) </w:t>
      </w:r>
      <w:r w:rsidR="009C18E0" w:rsidRPr="0054775B">
        <w:rPr>
          <w:noProof/>
        </w:rPr>
        <w:t>(3)</w:t>
      </w:r>
      <w:r w:rsidRPr="0054775B">
        <w:t>.</w:t>
      </w:r>
    </w:p>
    <w:p w14:paraId="5619A790" w14:textId="189B7DB7" w:rsidR="00877096" w:rsidRPr="0054775B" w:rsidRDefault="00C12363" w:rsidP="009E6F7F">
      <w:r w:rsidRPr="0054775B">
        <w:t>A</w:t>
      </w:r>
      <w:r w:rsidR="00877096" w:rsidRPr="0054775B">
        <w:t xml:space="preserve"> paragraph on </w:t>
      </w:r>
      <w:r w:rsidR="003E222B" w:rsidRPr="0054775B">
        <w:t xml:space="preserve">how </w:t>
      </w:r>
      <w:r w:rsidR="00877096" w:rsidRPr="0054775B">
        <w:t xml:space="preserve">the individual intervention </w:t>
      </w:r>
      <w:r w:rsidR="003E222B" w:rsidRPr="0054775B">
        <w:t xml:space="preserve">might work for each intervention population </w:t>
      </w:r>
      <w:r w:rsidRPr="0054775B">
        <w:t>match is included in the descriptions below.</w:t>
      </w:r>
    </w:p>
    <w:p w14:paraId="23C78E63" w14:textId="0526EED1" w:rsidR="00DC630C" w:rsidRPr="0054775B" w:rsidRDefault="00DC630C" w:rsidP="00F9201F">
      <w:pPr>
        <w:pStyle w:val="2024HEADER2"/>
      </w:pPr>
      <w:bookmarkStart w:id="41" w:name="_Toc100711475"/>
      <w:bookmarkStart w:id="42" w:name="_Toc126835772"/>
      <w:bookmarkStart w:id="43" w:name="_Toc179379611"/>
      <w:r w:rsidRPr="0054775B">
        <w:t>Why it is important to do this review</w:t>
      </w:r>
      <w:bookmarkEnd w:id="41"/>
      <w:bookmarkEnd w:id="42"/>
      <w:bookmarkEnd w:id="43"/>
    </w:p>
    <w:p w14:paraId="39AE1F37" w14:textId="3228CBB2" w:rsidR="00DC630C" w:rsidRPr="0054775B" w:rsidRDefault="00DC630C" w:rsidP="009E6F7F">
      <w:pPr>
        <w:rPr>
          <w:shd w:val="clear" w:color="auto" w:fill="FAF9F8"/>
        </w:rPr>
      </w:pPr>
      <w:r w:rsidRPr="0054775B">
        <w:t xml:space="preserve">In Australia, </w:t>
      </w:r>
      <w:r w:rsidR="003A5252" w:rsidRPr="0054775B">
        <w:t>natural</w:t>
      </w:r>
      <w:r w:rsidRPr="0054775B">
        <w:t xml:space="preserve"> therapies</w:t>
      </w:r>
      <w:r w:rsidR="003A5252" w:rsidRPr="0054775B">
        <w:t>, including naturopathy,</w:t>
      </w:r>
      <w:r w:rsidRPr="0054775B">
        <w:t xml:space="preserve"> are often used in conjunction with conventional medicine</w:t>
      </w:r>
      <w:r w:rsidR="009A2ED3" w:rsidRPr="0054775B">
        <w:t xml:space="preserve"> and other strategies for maintaining health and wellbeing</w:t>
      </w:r>
      <w:r w:rsidR="00245E22" w:rsidRPr="0054775B">
        <w:t xml:space="preserve">, </w:t>
      </w:r>
      <w:r w:rsidRPr="0054775B">
        <w:t>with over 6% of Australians consulting a naturopath</w:t>
      </w:r>
      <w:r w:rsidR="00245E22" w:rsidRPr="0054775B">
        <w:t xml:space="preserve"> annually</w:t>
      </w:r>
      <w:r w:rsidRPr="0054775B">
        <w:t xml:space="preserve"> </w:t>
      </w:r>
      <w:r w:rsidR="009C18E0" w:rsidRPr="0054775B">
        <w:rPr>
          <w:noProof/>
        </w:rPr>
        <w:t>(7)</w:t>
      </w:r>
      <w:r w:rsidRPr="0054775B">
        <w:t xml:space="preserve">. Nutritional supplements </w:t>
      </w:r>
      <w:r w:rsidR="00A9619E" w:rsidRPr="0054775B">
        <w:t xml:space="preserve">are </w:t>
      </w:r>
      <w:r w:rsidRPr="0054775B">
        <w:t xml:space="preserve">one of the </w:t>
      </w:r>
      <w:r w:rsidR="00C078FD" w:rsidRPr="0054775B">
        <w:t>most used</w:t>
      </w:r>
      <w:r w:rsidRPr="0054775B">
        <w:t xml:space="preserve"> modalities in naturopathic clinical practice, with 65% of naturopaths </w:t>
      </w:r>
      <w:r w:rsidR="00BB0257" w:rsidRPr="0054775B">
        <w:t xml:space="preserve">in a PRACI survey </w:t>
      </w:r>
      <w:r w:rsidRPr="0054775B">
        <w:t xml:space="preserve">reporting </w:t>
      </w:r>
      <w:r w:rsidR="00BB0257" w:rsidRPr="0054775B">
        <w:t>prescribing nutritional supplements</w:t>
      </w:r>
      <w:r w:rsidRPr="0054775B">
        <w:t xml:space="preserve"> </w:t>
      </w:r>
      <w:r w:rsidR="009C18E0" w:rsidRPr="0054775B">
        <w:rPr>
          <w:noProof/>
        </w:rPr>
        <w:t>(8)</w:t>
      </w:r>
      <w:r w:rsidRPr="0054775B">
        <w:t xml:space="preserve">. With the popularity of nutritional supplementation in the context of naturopathy, it is important to understand the most recent evidence for clinical effectiveness. This </w:t>
      </w:r>
      <w:r w:rsidR="00912F03" w:rsidRPr="0054775B">
        <w:t>overview</w:t>
      </w:r>
      <w:r w:rsidRPr="0054775B">
        <w:t xml:space="preserve"> inform</w:t>
      </w:r>
      <w:r w:rsidR="00BB0257" w:rsidRPr="0054775B">
        <w:t>s</w:t>
      </w:r>
      <w:r w:rsidRPr="0054775B">
        <w:t xml:space="preserve"> the wider Natural Therapies Review being undertaken by the Australian Government Department of Health and Aged Care, which is evaluating evidence of the clinical effectiveness of 16 natural therapies (including naturopathy).</w:t>
      </w:r>
      <w:r w:rsidRPr="0054775B">
        <w:rPr>
          <w:shd w:val="clear" w:color="auto" w:fill="FAF9F8"/>
        </w:rPr>
        <w:t xml:space="preserve"> </w:t>
      </w:r>
    </w:p>
    <w:p w14:paraId="67F0641C" w14:textId="3F13624F" w:rsidR="00DC630C" w:rsidRPr="0054775B" w:rsidRDefault="00580FCC" w:rsidP="009E6F7F">
      <w:pPr>
        <w:rPr>
          <w:rFonts w:eastAsia="Cambria"/>
        </w:rPr>
      </w:pPr>
      <w:r w:rsidRPr="0054775B">
        <w:lastRenderedPageBreak/>
        <w:t>As stated,</w:t>
      </w:r>
      <w:r w:rsidR="00DC630C" w:rsidRPr="0054775B">
        <w:t xml:space="preserve"> </w:t>
      </w:r>
      <w:r w:rsidRPr="0054775B">
        <w:t xml:space="preserve">the 2015 </w:t>
      </w:r>
      <w:r w:rsidR="00912F03" w:rsidRPr="0054775B">
        <w:t>overview</w:t>
      </w:r>
      <w:r w:rsidRPr="0054775B">
        <w:t xml:space="preserve"> focussed on the evidence of naturopathy as a health service and did not assess the effectiveness of core modalities (or “tools of the trade”) used by naturopaths </w:t>
      </w:r>
      <w:r w:rsidR="009C18E0" w:rsidRPr="0054775B">
        <w:rPr>
          <w:noProof/>
        </w:rPr>
        <w:t>(1)</w:t>
      </w:r>
      <w:r w:rsidR="00DC630C" w:rsidRPr="0054775B">
        <w:t xml:space="preserve">. To address this potential gap in synthesis, this update is formed by two companion evidence reviews. </w:t>
      </w:r>
      <w:r w:rsidR="00DC630C" w:rsidRPr="0054775B">
        <w:rPr>
          <w:rFonts w:eastAsia="Cambria"/>
        </w:rPr>
        <w:t xml:space="preserve">The first is a systematic review of primary studies on the effects of whole system, multi-modal or single modal interventions delivered in the context of naturopathic practice, for preventing and treating health conditions, </w:t>
      </w:r>
      <w:r w:rsidR="00DC630C" w:rsidRPr="0054775B">
        <w:t>which assess</w:t>
      </w:r>
      <w:r w:rsidR="00BB0257" w:rsidRPr="0054775B">
        <w:t>ed</w:t>
      </w:r>
      <w:r w:rsidR="00DC630C" w:rsidRPr="0054775B">
        <w:t xml:space="preserve"> the clinical effectiveness of individual and/or multi-modal treatments delivered by naturopaths as part of naturopathic whole-system practice (PROSPERO registration: CRD42021266381). </w:t>
      </w:r>
      <w:r w:rsidR="00DC630C" w:rsidRPr="0054775B">
        <w:rPr>
          <w:rFonts w:eastAsia="Cambria"/>
        </w:rPr>
        <w:t xml:space="preserve">The second (this </w:t>
      </w:r>
      <w:r w:rsidR="00912F03" w:rsidRPr="0054775B">
        <w:rPr>
          <w:rFonts w:eastAsia="Cambria"/>
        </w:rPr>
        <w:t>overview</w:t>
      </w:r>
      <w:r w:rsidR="00DC630C" w:rsidRPr="0054775B">
        <w:rPr>
          <w:rFonts w:eastAsia="Cambria"/>
        </w:rPr>
        <w:t xml:space="preserve">) is an </w:t>
      </w:r>
      <w:r w:rsidR="00912F03" w:rsidRPr="0054775B">
        <w:rPr>
          <w:rFonts w:eastAsia="Cambria"/>
        </w:rPr>
        <w:t>overview</w:t>
      </w:r>
      <w:r w:rsidR="00DC630C" w:rsidRPr="0054775B">
        <w:rPr>
          <w:rFonts w:eastAsia="Cambria"/>
        </w:rPr>
        <w:t xml:space="preserve"> of systematic reviews that </w:t>
      </w:r>
      <w:r w:rsidR="00DC630C" w:rsidRPr="0054775B">
        <w:t>assess</w:t>
      </w:r>
      <w:r w:rsidR="00BB0257" w:rsidRPr="0054775B">
        <w:t>ed</w:t>
      </w:r>
      <w:r w:rsidR="00DC630C" w:rsidRPr="0054775B">
        <w:t xml:space="preserve"> the clinical effectiveness of one core modality of naturopathy</w:t>
      </w:r>
      <w:r w:rsidR="00DC630C" w:rsidRPr="0054775B">
        <w:rPr>
          <w:rFonts w:eastAsia="Cambria"/>
        </w:rPr>
        <w:t xml:space="preserve"> (nutritional supplementation). </w:t>
      </w:r>
      <w:r w:rsidR="00685E35" w:rsidRPr="0054775B">
        <w:rPr>
          <w:rFonts w:eastAsia="Cambria"/>
        </w:rPr>
        <w:t xml:space="preserve">In contrast to the review of whole-system naturopathy, this </w:t>
      </w:r>
      <w:r w:rsidR="00912F03" w:rsidRPr="0054775B">
        <w:rPr>
          <w:rFonts w:eastAsia="Cambria"/>
        </w:rPr>
        <w:t>overview</w:t>
      </w:r>
      <w:r w:rsidR="00685E35" w:rsidRPr="0054775B">
        <w:rPr>
          <w:rFonts w:eastAsia="Cambria"/>
        </w:rPr>
        <w:t xml:space="preserve"> does not require the treatment to be delivered by a naturopath. </w:t>
      </w:r>
      <w:r w:rsidR="00DC630C" w:rsidRPr="0054775B">
        <w:t xml:space="preserve">This two-pronged approach was chosen to ensure that recommendations relating to the clinical effectiveness of naturopathy have considered the </w:t>
      </w:r>
      <w:r w:rsidR="00CE3CD7">
        <w:t>breadth</w:t>
      </w:r>
      <w:r w:rsidR="00CE3CD7" w:rsidRPr="0054775B">
        <w:t xml:space="preserve"> </w:t>
      </w:r>
      <w:r w:rsidR="00DC630C" w:rsidRPr="0054775B">
        <w:t>of the therapy, including evaluation of evidence for core modalities utilised by practitioners.</w:t>
      </w:r>
      <w:r w:rsidR="00020B8C">
        <w:t xml:space="preserve"> The overview </w:t>
      </w:r>
      <w:r w:rsidR="00A33AF0">
        <w:t xml:space="preserve">of the </w:t>
      </w:r>
      <w:r w:rsidR="00A33AF0">
        <w:rPr>
          <w:lang w:val="en-GB"/>
        </w:rPr>
        <w:t xml:space="preserve">clinical effectiveness of western herbal medicines for certain conditions and populations (PROSPERO </w:t>
      </w:r>
      <w:r w:rsidR="00A33AF0" w:rsidRPr="003461D0">
        <w:rPr>
          <w:lang w:val="en-GB"/>
        </w:rPr>
        <w:t>CRD42021243337</w:t>
      </w:r>
      <w:r w:rsidR="00A33AF0">
        <w:rPr>
          <w:lang w:val="en-GB"/>
        </w:rPr>
        <w:t xml:space="preserve">) should also be considered. </w:t>
      </w:r>
    </w:p>
    <w:p w14:paraId="67423167" w14:textId="4167DF65" w:rsidR="00A24D67" w:rsidRPr="0054775B" w:rsidRDefault="00A24D67" w:rsidP="00703071">
      <w:pPr>
        <w:pStyle w:val="2024HEADER1"/>
      </w:pPr>
      <w:bookmarkStart w:id="44" w:name="_Toc179379612"/>
      <w:r w:rsidRPr="0054775B">
        <w:t>Objectives</w:t>
      </w:r>
      <w:bookmarkEnd w:id="36"/>
      <w:bookmarkEnd w:id="44"/>
    </w:p>
    <w:p w14:paraId="7EBCA290" w14:textId="6AFF5200" w:rsidR="0063460C" w:rsidRDefault="00214B27" w:rsidP="009E6F7F">
      <w:bookmarkStart w:id="45" w:name="_Toc111119276"/>
      <w:r w:rsidRPr="0054775B">
        <w:t xml:space="preserve">The overall objective of this </w:t>
      </w:r>
      <w:r w:rsidR="00912F03" w:rsidRPr="0054775B">
        <w:t>overview</w:t>
      </w:r>
      <w:r w:rsidRPr="0054775B">
        <w:t xml:space="preserve"> </w:t>
      </w:r>
      <w:r w:rsidR="00BB0257" w:rsidRPr="0054775B">
        <w:t>was</w:t>
      </w:r>
      <w:r w:rsidRPr="0054775B">
        <w:t xml:space="preserve"> to </w:t>
      </w:r>
      <w:r w:rsidR="00647DEE" w:rsidRPr="0054775B">
        <w:t xml:space="preserve">summarise the evidence from systematic reviews </w:t>
      </w:r>
      <w:r w:rsidR="009E7BDB" w:rsidRPr="0054775B">
        <w:t xml:space="preserve">that examine the </w:t>
      </w:r>
      <w:r w:rsidRPr="0054775B">
        <w:t xml:space="preserve">clinical effectiveness of </w:t>
      </w:r>
      <w:r w:rsidR="00AF0ACD" w:rsidRPr="0054775B">
        <w:t xml:space="preserve">selected nutritional supplements </w:t>
      </w:r>
      <w:r w:rsidRPr="0054775B">
        <w:t xml:space="preserve">(prescribed in the context of naturopathic practice) in preventing and/or treating injury, disease, medical conditions, or pre-clinical conditions. The </w:t>
      </w:r>
      <w:r w:rsidR="00912F03" w:rsidRPr="0054775B">
        <w:t>overview</w:t>
      </w:r>
      <w:r w:rsidRPr="0054775B">
        <w:t xml:space="preserve"> prioritise</w:t>
      </w:r>
      <w:r w:rsidR="00BB0257" w:rsidRPr="0054775B">
        <w:t>d</w:t>
      </w:r>
      <w:r w:rsidRPr="0054775B">
        <w:t xml:space="preserve"> </w:t>
      </w:r>
      <w:bookmarkStart w:id="46" w:name="_Hlk112059141"/>
      <w:r w:rsidRPr="0054775B">
        <w:t>certain conditions</w:t>
      </w:r>
      <w:r w:rsidR="00E07DB3" w:rsidRPr="0054775B">
        <w:t xml:space="preserve"> or populations</w:t>
      </w:r>
      <w:r w:rsidRPr="0054775B">
        <w:t xml:space="preserve"> which are commonly seen by naturopaths in Australia</w:t>
      </w:r>
      <w:r w:rsidR="00E07DB3" w:rsidRPr="0054775B">
        <w:t>, and supplements which naturopaths would commonly suggest to aid those conditions</w:t>
      </w:r>
      <w:r w:rsidRPr="0054775B">
        <w:t xml:space="preserve"> (henceforth “priority population-</w:t>
      </w:r>
      <w:r w:rsidR="0067579A">
        <w:t>supplement pair</w:t>
      </w:r>
      <w:r w:rsidRPr="0054775B">
        <w:t xml:space="preserve">s”). </w:t>
      </w:r>
      <w:r w:rsidR="000C5397">
        <w:t xml:space="preserve">Healthy </w:t>
      </w:r>
      <w:r w:rsidR="0063460C">
        <w:t xml:space="preserve">populations not at risk were excluded. </w:t>
      </w:r>
      <w:r w:rsidR="00515A18" w:rsidRPr="009E7021">
        <w:t>Reviews that examined the treatment of populations of interest with a supplement where the patient was known to have a deficiency of that supplement were excluded, as per protocol.</w:t>
      </w:r>
    </w:p>
    <w:p w14:paraId="1CC4EB11" w14:textId="3FBC4251" w:rsidR="00214B27" w:rsidRPr="0054775B" w:rsidRDefault="00366159" w:rsidP="009E6F7F">
      <w:r>
        <w:t>The main comparator was placebo</w:t>
      </w:r>
      <w:r w:rsidR="00AF47B5">
        <w:t xml:space="preserve"> or </w:t>
      </w:r>
      <w:r w:rsidR="00F65CCB">
        <w:t>inactive control</w:t>
      </w:r>
      <w:r w:rsidR="00AA44C2">
        <w:t xml:space="preserve">, with or without a naturopathic co-intervention. </w:t>
      </w:r>
      <w:r w:rsidR="00061863">
        <w:t>Active comparators</w:t>
      </w:r>
      <w:r w:rsidR="00C76A70">
        <w:t xml:space="preserve"> were excluded</w:t>
      </w:r>
      <w:r w:rsidR="00061863">
        <w:t xml:space="preserve"> (e.g. a</w:t>
      </w:r>
      <w:r w:rsidR="0011627C">
        <w:t>n eligible</w:t>
      </w:r>
      <w:r w:rsidR="00061863">
        <w:t xml:space="preserve"> supplement vs another supplement</w:t>
      </w:r>
      <w:r w:rsidR="0011627C">
        <w:t xml:space="preserve"> or </w:t>
      </w:r>
      <w:r w:rsidR="00C76A70">
        <w:t>an eligible supplement</w:t>
      </w:r>
      <w:r w:rsidR="0011627C">
        <w:t xml:space="preserve"> </w:t>
      </w:r>
      <w:r w:rsidR="00C76A70">
        <w:t xml:space="preserve">vs </w:t>
      </w:r>
      <w:r w:rsidR="0011627C">
        <w:t>another intervention)</w:t>
      </w:r>
      <w:r w:rsidR="00C76A70">
        <w:t>. Details of the comparisons can be found in Appendix A3.4.</w:t>
      </w:r>
    </w:p>
    <w:p w14:paraId="087D61AD" w14:textId="5E4FFA17" w:rsidR="0027287C" w:rsidRPr="0054775B" w:rsidRDefault="00214B27" w:rsidP="00F9201F">
      <w:pPr>
        <w:pStyle w:val="2024HEADER2"/>
      </w:pPr>
      <w:bookmarkStart w:id="47" w:name="_Toc179379613"/>
      <w:r w:rsidRPr="0054775B">
        <w:t>Priority population-</w:t>
      </w:r>
      <w:r w:rsidR="0067579A">
        <w:t>supplement pair</w:t>
      </w:r>
      <w:r w:rsidRPr="0054775B">
        <w:t>s</w:t>
      </w:r>
      <w:bookmarkEnd w:id="47"/>
      <w:r w:rsidRPr="0054775B">
        <w:t xml:space="preserve"> </w:t>
      </w:r>
    </w:p>
    <w:p w14:paraId="497AA000" w14:textId="05B0ED7A" w:rsidR="00214B27" w:rsidRPr="0054775B" w:rsidRDefault="0027287C" w:rsidP="009E6F7F">
      <w:r w:rsidRPr="0054775B">
        <w:t xml:space="preserve">Priority </w:t>
      </w:r>
      <w:r w:rsidR="00CF0234">
        <w:t>population-supplement pair</w:t>
      </w:r>
      <w:r w:rsidRPr="0054775B">
        <w:t xml:space="preserve">s </w:t>
      </w:r>
      <w:r w:rsidR="009E7BDB" w:rsidRPr="0054775B">
        <w:t>were</w:t>
      </w:r>
      <w:r w:rsidR="00214B27" w:rsidRPr="0054775B">
        <w:t xml:space="preserve"> ranked by NTWC (with Tier 1 being highest priority, and Tier 3 being lowest priority), with advice from NTREAP</w:t>
      </w:r>
      <w:r w:rsidR="006E1492" w:rsidRPr="0054775B">
        <w:t xml:space="preserve"> (</w:t>
      </w:r>
      <w:r w:rsidR="00214B27" w:rsidRPr="0054775B">
        <w:t>presented in</w:t>
      </w:r>
      <w:r w:rsidR="006E1492" w:rsidRPr="0054775B">
        <w:t xml:space="preserve"> </w:t>
      </w:r>
      <w:r w:rsidR="00180B7C" w:rsidRPr="0054775B">
        <w:t>December 202</w:t>
      </w:r>
      <w:r w:rsidR="00B17923" w:rsidRPr="0054775B">
        <w:t>1</w:t>
      </w:r>
      <w:r w:rsidR="006E1492" w:rsidRPr="0054775B">
        <w:t>)</w:t>
      </w:r>
      <w:r w:rsidR="00B17923" w:rsidRPr="0054775B">
        <w:t>. These were developed</w:t>
      </w:r>
      <w:r w:rsidR="00A60D82" w:rsidRPr="0054775B">
        <w:t xml:space="preserve"> prior to the </w:t>
      </w:r>
      <w:r w:rsidR="00912F03" w:rsidRPr="0054775B">
        <w:t>overview</w:t>
      </w:r>
      <w:r w:rsidR="00A60D82" w:rsidRPr="0054775B">
        <w:t xml:space="preserve"> protocol </w:t>
      </w:r>
      <w:r w:rsidR="00B725CC" w:rsidRPr="0054775B">
        <w:t xml:space="preserve">based on </w:t>
      </w:r>
      <w:r w:rsidR="00B17923" w:rsidRPr="0054775B">
        <w:t xml:space="preserve">initial </w:t>
      </w:r>
      <w:r w:rsidR="00B725CC" w:rsidRPr="0054775B">
        <w:t>scoping</w:t>
      </w:r>
      <w:r w:rsidR="00214B27" w:rsidRPr="0054775B">
        <w:t>.</w:t>
      </w:r>
      <w:r w:rsidR="00B725CC" w:rsidRPr="0054775B">
        <w:t xml:space="preserve"> </w:t>
      </w:r>
      <w:r w:rsidR="00F27B7B" w:rsidRPr="0054775B">
        <w:t xml:space="preserve">Following searches during the Evidence Evaluation, it was determined to only consider the Tier 1 combinations (15 highest priority) due to the volume of </w:t>
      </w:r>
      <w:r w:rsidR="00417802">
        <w:t>reviews</w:t>
      </w:r>
      <w:r w:rsidR="00F27B7B" w:rsidRPr="0054775B">
        <w:t>.</w:t>
      </w:r>
    </w:p>
    <w:p w14:paraId="0058FC04" w14:textId="554D61C4" w:rsidR="00214B27" w:rsidRPr="0054775B" w:rsidRDefault="00BB0257" w:rsidP="007703A0">
      <w:pPr>
        <w:pStyle w:val="2024TABLECAPTION"/>
        <w:rPr>
          <w:rFonts w:ascii="Aptos" w:hAnsi="Aptos"/>
        </w:rPr>
      </w:pPr>
      <w:bookmarkStart w:id="48" w:name="_Ref161051294"/>
      <w:bookmarkStart w:id="49" w:name="_Toc185261579"/>
      <w:r w:rsidRPr="0054775B">
        <w:rPr>
          <w:rFonts w:ascii="Aptos" w:hAnsi="Aptos"/>
        </w:rPr>
        <w:t xml:space="preserve">Table </w:t>
      </w:r>
      <w:r w:rsidR="002F1F6C" w:rsidRPr="0054775B">
        <w:rPr>
          <w:rFonts w:ascii="Aptos" w:hAnsi="Aptos"/>
        </w:rPr>
        <w:fldChar w:fldCharType="begin"/>
      </w:r>
      <w:r w:rsidR="002F1F6C" w:rsidRPr="0054775B">
        <w:rPr>
          <w:rFonts w:ascii="Aptos" w:hAnsi="Aptos"/>
        </w:rPr>
        <w:instrText xml:space="preserve"> SEQ Table \* ARABIC </w:instrText>
      </w:r>
      <w:r w:rsidR="002F1F6C" w:rsidRPr="0054775B">
        <w:rPr>
          <w:rFonts w:ascii="Aptos" w:hAnsi="Aptos"/>
        </w:rPr>
        <w:fldChar w:fldCharType="separate"/>
      </w:r>
      <w:r w:rsidR="004E7C54">
        <w:rPr>
          <w:rFonts w:ascii="Aptos" w:hAnsi="Aptos"/>
          <w:noProof/>
        </w:rPr>
        <w:t>1</w:t>
      </w:r>
      <w:r w:rsidR="002F1F6C" w:rsidRPr="0054775B">
        <w:rPr>
          <w:rFonts w:ascii="Aptos" w:hAnsi="Aptos"/>
          <w:noProof/>
        </w:rPr>
        <w:fldChar w:fldCharType="end"/>
      </w:r>
      <w:bookmarkEnd w:id="48"/>
      <w:r w:rsidRPr="0054775B">
        <w:rPr>
          <w:rFonts w:ascii="Aptos" w:hAnsi="Aptos"/>
        </w:rPr>
        <w:t xml:space="preserve">. </w:t>
      </w:r>
      <w:r w:rsidR="00214B27" w:rsidRPr="0054775B">
        <w:rPr>
          <w:rFonts w:ascii="Aptos" w:hAnsi="Aptos"/>
        </w:rPr>
        <w:t>List of target population-</w:t>
      </w:r>
      <w:r w:rsidR="0032560B">
        <w:rPr>
          <w:rFonts w:ascii="Aptos" w:hAnsi="Aptos"/>
        </w:rPr>
        <w:t>supplement pair</w:t>
      </w:r>
      <w:r w:rsidR="00214B27" w:rsidRPr="0054775B">
        <w:rPr>
          <w:rFonts w:ascii="Aptos" w:hAnsi="Aptos"/>
        </w:rPr>
        <w:t>s by priority tier.</w:t>
      </w:r>
      <w:bookmarkEnd w:id="49"/>
    </w:p>
    <w:tbl>
      <w:tblPr>
        <w:tblW w:w="9067" w:type="dxa"/>
        <w:tblLook w:val="04A0" w:firstRow="1" w:lastRow="0" w:firstColumn="1" w:lastColumn="0" w:noHBand="0" w:noVBand="1"/>
      </w:tblPr>
      <w:tblGrid>
        <w:gridCol w:w="522"/>
        <w:gridCol w:w="2156"/>
        <w:gridCol w:w="2098"/>
        <w:gridCol w:w="2127"/>
        <w:gridCol w:w="2164"/>
      </w:tblGrid>
      <w:tr w:rsidR="00994A9C" w:rsidRPr="0054775B" w14:paraId="2A3E22A9" w14:textId="77777777" w:rsidTr="000150BF">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70C8DB06" w14:textId="77777777" w:rsidR="00214B27" w:rsidRPr="0054775B" w:rsidRDefault="00214B27" w:rsidP="00FE1604">
            <w:pPr>
              <w:pStyle w:val="2024TABLETEXT"/>
              <w:framePr w:hSpace="0" w:wrap="auto" w:vAnchor="margin" w:yAlign="inline"/>
              <w:suppressOverlap w:val="0"/>
            </w:pPr>
            <w:r w:rsidRPr="0054775B">
              <w:t> </w:t>
            </w:r>
          </w:p>
        </w:tc>
        <w:tc>
          <w:tcPr>
            <w:tcW w:w="2156" w:type="dxa"/>
            <w:tcBorders>
              <w:top w:val="single" w:sz="4" w:space="0" w:color="auto"/>
              <w:left w:val="nil"/>
              <w:bottom w:val="single" w:sz="4" w:space="0" w:color="auto"/>
              <w:right w:val="single" w:sz="4" w:space="0" w:color="auto"/>
            </w:tcBorders>
            <w:shd w:val="clear" w:color="000000" w:fill="D9D9D9"/>
            <w:vAlign w:val="center"/>
            <w:hideMark/>
          </w:tcPr>
          <w:p w14:paraId="64877083" w14:textId="77777777" w:rsidR="00214B27" w:rsidRPr="0054775B" w:rsidRDefault="00214B27" w:rsidP="00FE1604">
            <w:pPr>
              <w:pStyle w:val="2024TABLEHEADER"/>
              <w:rPr>
                <w:color w:val="000000"/>
              </w:rPr>
            </w:pPr>
            <w:r w:rsidRPr="0054775B">
              <w:t>Priority population (listed in order of priority)</w:t>
            </w:r>
          </w:p>
        </w:tc>
        <w:tc>
          <w:tcPr>
            <w:tcW w:w="2098" w:type="dxa"/>
            <w:tcBorders>
              <w:top w:val="single" w:sz="4" w:space="0" w:color="auto"/>
              <w:left w:val="nil"/>
              <w:bottom w:val="single" w:sz="4" w:space="0" w:color="auto"/>
              <w:right w:val="single" w:sz="4" w:space="0" w:color="auto"/>
            </w:tcBorders>
            <w:shd w:val="clear" w:color="000000" w:fill="80C1DB"/>
            <w:vAlign w:val="center"/>
            <w:hideMark/>
          </w:tcPr>
          <w:p w14:paraId="3AF43911" w14:textId="77777777" w:rsidR="00214B27" w:rsidRPr="0054775B" w:rsidRDefault="00214B27" w:rsidP="00FE1604">
            <w:pPr>
              <w:pStyle w:val="2024TABLEHEADER"/>
              <w:rPr>
                <w:color w:val="000000"/>
              </w:rPr>
            </w:pPr>
            <w:r w:rsidRPr="0054775B">
              <w:t xml:space="preserve">Priority intervention </w:t>
            </w:r>
            <w:r w:rsidRPr="0054775B">
              <w:br/>
              <w:t>(Tier 1)</w:t>
            </w:r>
          </w:p>
        </w:tc>
        <w:tc>
          <w:tcPr>
            <w:tcW w:w="2127"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463E1518" w14:textId="1EEA2C09" w:rsidR="00214B27" w:rsidRPr="0054775B" w:rsidRDefault="00214B27" w:rsidP="00FE1604">
            <w:pPr>
              <w:pStyle w:val="2024TABLEHEADER"/>
              <w:rPr>
                <w:color w:val="000000"/>
              </w:rPr>
            </w:pPr>
            <w:r w:rsidRPr="0054775B">
              <w:t xml:space="preserve">Priority intervention </w:t>
            </w:r>
            <w:r w:rsidRPr="0054775B">
              <w:br/>
              <w:t>(Tier 2)</w:t>
            </w:r>
            <w:r w:rsidR="00EE34E5">
              <w:t xml:space="preserve"> – not considered</w:t>
            </w:r>
          </w:p>
        </w:tc>
        <w:tc>
          <w:tcPr>
            <w:tcW w:w="2164"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56BC2457" w14:textId="77777777" w:rsidR="00214B27" w:rsidRPr="0054775B" w:rsidRDefault="00214B27" w:rsidP="00FE1604">
            <w:pPr>
              <w:pStyle w:val="2024TABLEHEADER"/>
            </w:pPr>
            <w:r w:rsidRPr="0054775B">
              <w:t xml:space="preserve">Priority intervention </w:t>
            </w:r>
          </w:p>
          <w:p w14:paraId="0ACB09A8" w14:textId="72F902E2" w:rsidR="00214B27" w:rsidRPr="0054775B" w:rsidRDefault="00214B27" w:rsidP="00FE1604">
            <w:pPr>
              <w:pStyle w:val="2024TABLEHEADER"/>
              <w:rPr>
                <w:color w:val="000000"/>
              </w:rPr>
            </w:pPr>
            <w:r w:rsidRPr="0054775B">
              <w:t>(Tier 3)</w:t>
            </w:r>
            <w:r w:rsidR="00862E5B">
              <w:t xml:space="preserve"> – not considered</w:t>
            </w:r>
          </w:p>
        </w:tc>
      </w:tr>
      <w:tr w:rsidR="00994A9C" w:rsidRPr="0054775B" w14:paraId="19D3CC13" w14:textId="77777777" w:rsidTr="000150BF">
        <w:trPr>
          <w:trHeight w:val="677"/>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CC482D0" w14:textId="77777777" w:rsidR="00214B27" w:rsidRPr="0054775B" w:rsidRDefault="00214B27" w:rsidP="00FE1604">
            <w:pPr>
              <w:pStyle w:val="2024TABLETEXT"/>
              <w:framePr w:hSpace="0" w:wrap="auto" w:vAnchor="margin" w:yAlign="inline"/>
              <w:suppressOverlap w:val="0"/>
            </w:pPr>
            <w:r w:rsidRPr="0054775B">
              <w:t>1</w:t>
            </w:r>
          </w:p>
        </w:tc>
        <w:tc>
          <w:tcPr>
            <w:tcW w:w="2156" w:type="dxa"/>
            <w:tcBorders>
              <w:top w:val="nil"/>
              <w:left w:val="nil"/>
              <w:bottom w:val="single" w:sz="4" w:space="0" w:color="auto"/>
              <w:right w:val="single" w:sz="4" w:space="0" w:color="auto"/>
            </w:tcBorders>
            <w:shd w:val="clear" w:color="auto" w:fill="auto"/>
            <w:vAlign w:val="center"/>
            <w:hideMark/>
          </w:tcPr>
          <w:p w14:paraId="09DB421A" w14:textId="77777777" w:rsidR="00214B27" w:rsidRPr="0054775B" w:rsidRDefault="00214B27" w:rsidP="00FE1604">
            <w:pPr>
              <w:pStyle w:val="2024TABLETEXT"/>
              <w:framePr w:hSpace="0" w:wrap="auto" w:vAnchor="margin" w:yAlign="inline"/>
              <w:suppressOverlap w:val="0"/>
            </w:pPr>
            <w:r w:rsidRPr="0054775B">
              <w:t>Anxiety (including post-natal)</w:t>
            </w:r>
          </w:p>
        </w:tc>
        <w:tc>
          <w:tcPr>
            <w:tcW w:w="2098" w:type="dxa"/>
            <w:tcBorders>
              <w:top w:val="nil"/>
              <w:left w:val="nil"/>
              <w:bottom w:val="single" w:sz="4" w:space="0" w:color="auto"/>
              <w:right w:val="single" w:sz="4" w:space="0" w:color="auto"/>
            </w:tcBorders>
            <w:shd w:val="clear" w:color="000000" w:fill="80C1DB"/>
            <w:vAlign w:val="center"/>
            <w:hideMark/>
          </w:tcPr>
          <w:p w14:paraId="3B839F6F" w14:textId="77777777" w:rsidR="00214B27" w:rsidRPr="0054775B" w:rsidRDefault="00214B27" w:rsidP="00FE1604">
            <w:pPr>
              <w:pStyle w:val="2024TABLETEXT"/>
              <w:framePr w:hSpace="0" w:wrap="auto" w:vAnchor="margin" w:yAlign="inline"/>
              <w:suppressOverlap w:val="0"/>
            </w:pPr>
            <w:r w:rsidRPr="0054775B">
              <w:t>Magnesium</w:t>
            </w:r>
          </w:p>
        </w:tc>
        <w:tc>
          <w:tcPr>
            <w:tcW w:w="2127" w:type="dxa"/>
            <w:tcBorders>
              <w:top w:val="nil"/>
              <w:left w:val="nil"/>
              <w:bottom w:val="single" w:sz="4" w:space="0" w:color="auto"/>
              <w:right w:val="single" w:sz="4" w:space="0" w:color="auto"/>
            </w:tcBorders>
            <w:shd w:val="clear" w:color="auto" w:fill="D9D9D9" w:themeFill="background1" w:themeFillShade="D9"/>
            <w:vAlign w:val="center"/>
            <w:hideMark/>
          </w:tcPr>
          <w:p w14:paraId="438843CF" w14:textId="77777777" w:rsidR="00214B27" w:rsidRPr="0054775B" w:rsidRDefault="00214B27" w:rsidP="00FE1604">
            <w:pPr>
              <w:pStyle w:val="2024TABLETEXT"/>
              <w:framePr w:hSpace="0" w:wrap="auto" w:vAnchor="margin" w:yAlign="inline"/>
              <w:suppressOverlap w:val="0"/>
            </w:pPr>
            <w:r w:rsidRPr="0054775B">
              <w:t>Vitamin B and mineral complex (B6, B12, folate – individually and in combination)</w:t>
            </w:r>
          </w:p>
        </w:tc>
        <w:tc>
          <w:tcPr>
            <w:tcW w:w="2164" w:type="dxa"/>
            <w:tcBorders>
              <w:top w:val="nil"/>
              <w:left w:val="nil"/>
              <w:bottom w:val="single" w:sz="4" w:space="0" w:color="auto"/>
              <w:right w:val="single" w:sz="4" w:space="0" w:color="auto"/>
            </w:tcBorders>
            <w:shd w:val="clear" w:color="auto" w:fill="D9D9D9" w:themeFill="background1" w:themeFillShade="D9"/>
            <w:vAlign w:val="center"/>
            <w:hideMark/>
          </w:tcPr>
          <w:p w14:paraId="5D9E37E9" w14:textId="77777777" w:rsidR="00214B27" w:rsidRPr="0054775B" w:rsidRDefault="00214B27" w:rsidP="00FE1604">
            <w:pPr>
              <w:pStyle w:val="2024TABLETEXT"/>
              <w:framePr w:hSpace="0" w:wrap="auto" w:vAnchor="margin" w:yAlign="inline"/>
              <w:suppressOverlap w:val="0"/>
            </w:pPr>
            <w:r w:rsidRPr="0054775B">
              <w:t>N-acetylcysteine (NAC)</w:t>
            </w:r>
          </w:p>
        </w:tc>
      </w:tr>
      <w:tr w:rsidR="00994A9C" w:rsidRPr="0054775B" w14:paraId="516BE581" w14:textId="77777777" w:rsidTr="000150BF">
        <w:trPr>
          <w:trHeight w:val="73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D48B3FD" w14:textId="77777777" w:rsidR="00214B27" w:rsidRPr="0054775B" w:rsidRDefault="00214B27" w:rsidP="00FE1604">
            <w:pPr>
              <w:pStyle w:val="2024TABLETEXT"/>
              <w:framePr w:hSpace="0" w:wrap="auto" w:vAnchor="margin" w:yAlign="inline"/>
              <w:suppressOverlap w:val="0"/>
            </w:pPr>
            <w:r w:rsidRPr="0054775B">
              <w:lastRenderedPageBreak/>
              <w:t>2</w:t>
            </w:r>
          </w:p>
        </w:tc>
        <w:tc>
          <w:tcPr>
            <w:tcW w:w="2156" w:type="dxa"/>
            <w:tcBorders>
              <w:top w:val="nil"/>
              <w:left w:val="nil"/>
              <w:bottom w:val="single" w:sz="4" w:space="0" w:color="auto"/>
              <w:right w:val="single" w:sz="4" w:space="0" w:color="auto"/>
            </w:tcBorders>
            <w:shd w:val="clear" w:color="auto" w:fill="auto"/>
            <w:vAlign w:val="center"/>
            <w:hideMark/>
          </w:tcPr>
          <w:p w14:paraId="192DEEDE" w14:textId="77777777" w:rsidR="00214B27" w:rsidRPr="0054775B" w:rsidRDefault="00214B27" w:rsidP="00FE1604">
            <w:pPr>
              <w:pStyle w:val="2024TABLETEXT"/>
              <w:framePr w:hSpace="0" w:wrap="auto" w:vAnchor="margin" w:yAlign="inline"/>
              <w:suppressOverlap w:val="0"/>
            </w:pPr>
            <w:r w:rsidRPr="0054775B">
              <w:t>Stress (perceived, occupational)</w:t>
            </w:r>
          </w:p>
        </w:tc>
        <w:tc>
          <w:tcPr>
            <w:tcW w:w="2098" w:type="dxa"/>
            <w:tcBorders>
              <w:top w:val="nil"/>
              <w:left w:val="nil"/>
              <w:bottom w:val="single" w:sz="4" w:space="0" w:color="auto"/>
              <w:right w:val="single" w:sz="4" w:space="0" w:color="auto"/>
            </w:tcBorders>
            <w:shd w:val="clear" w:color="000000" w:fill="80C1DB"/>
            <w:vAlign w:val="center"/>
            <w:hideMark/>
          </w:tcPr>
          <w:p w14:paraId="12317B2A" w14:textId="77777777" w:rsidR="00214B27" w:rsidRPr="0054775B" w:rsidRDefault="00214B27" w:rsidP="00FE1604">
            <w:pPr>
              <w:pStyle w:val="2024TABLETEXT"/>
              <w:framePr w:hSpace="0" w:wrap="auto" w:vAnchor="margin" w:yAlign="inline"/>
              <w:suppressOverlap w:val="0"/>
            </w:pPr>
            <w:r w:rsidRPr="0054775B">
              <w:t>Magnesium</w:t>
            </w:r>
          </w:p>
        </w:tc>
        <w:tc>
          <w:tcPr>
            <w:tcW w:w="2127" w:type="dxa"/>
            <w:tcBorders>
              <w:top w:val="nil"/>
              <w:left w:val="nil"/>
              <w:bottom w:val="single" w:sz="4" w:space="0" w:color="auto"/>
              <w:right w:val="single" w:sz="4" w:space="0" w:color="auto"/>
            </w:tcBorders>
            <w:shd w:val="clear" w:color="auto" w:fill="D9D9D9" w:themeFill="background1" w:themeFillShade="D9"/>
            <w:vAlign w:val="center"/>
            <w:hideMark/>
          </w:tcPr>
          <w:p w14:paraId="0F4EBCCC" w14:textId="77777777" w:rsidR="00214B27" w:rsidRPr="0054775B" w:rsidRDefault="00214B27" w:rsidP="00FE1604">
            <w:pPr>
              <w:pStyle w:val="2024TABLETEXT"/>
              <w:framePr w:hSpace="0" w:wrap="auto" w:vAnchor="margin" w:yAlign="inline"/>
              <w:suppressOverlap w:val="0"/>
            </w:pPr>
            <w:r w:rsidRPr="0054775B">
              <w:t>Vitamin B and mineral complex (B6, B12, folate – individually and in combination)</w:t>
            </w:r>
          </w:p>
        </w:tc>
        <w:tc>
          <w:tcPr>
            <w:tcW w:w="2164" w:type="dxa"/>
            <w:tcBorders>
              <w:top w:val="nil"/>
              <w:left w:val="nil"/>
              <w:bottom w:val="single" w:sz="4" w:space="0" w:color="auto"/>
              <w:right w:val="single" w:sz="4" w:space="0" w:color="auto"/>
            </w:tcBorders>
            <w:shd w:val="clear" w:color="auto" w:fill="D9D9D9" w:themeFill="background1" w:themeFillShade="D9"/>
            <w:vAlign w:val="center"/>
            <w:hideMark/>
          </w:tcPr>
          <w:p w14:paraId="5AAD9CF9" w14:textId="77777777" w:rsidR="00214B27" w:rsidRPr="0054775B" w:rsidRDefault="00214B27" w:rsidP="00FE1604">
            <w:pPr>
              <w:pStyle w:val="2024TABLETEXT"/>
              <w:framePr w:hSpace="0" w:wrap="auto" w:vAnchor="margin" w:yAlign="inline"/>
              <w:suppressOverlap w:val="0"/>
            </w:pPr>
            <w:r w:rsidRPr="0054775B">
              <w:t>N-acetylcysteine (NAC)</w:t>
            </w:r>
          </w:p>
        </w:tc>
      </w:tr>
      <w:tr w:rsidR="00994A9C" w:rsidRPr="0054775B" w14:paraId="3C691506" w14:textId="77777777" w:rsidTr="000150BF">
        <w:trPr>
          <w:trHeight w:val="751"/>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3507907" w14:textId="77777777" w:rsidR="00214B27" w:rsidRPr="0054775B" w:rsidRDefault="00214B27" w:rsidP="00FE1604">
            <w:pPr>
              <w:pStyle w:val="2024TABLETEXT"/>
              <w:framePr w:hSpace="0" w:wrap="auto" w:vAnchor="margin" w:yAlign="inline"/>
              <w:suppressOverlap w:val="0"/>
            </w:pPr>
            <w:r w:rsidRPr="0054775B">
              <w:t>3</w:t>
            </w:r>
          </w:p>
        </w:tc>
        <w:tc>
          <w:tcPr>
            <w:tcW w:w="2156" w:type="dxa"/>
            <w:tcBorders>
              <w:top w:val="nil"/>
              <w:left w:val="nil"/>
              <w:bottom w:val="single" w:sz="4" w:space="0" w:color="auto"/>
              <w:right w:val="single" w:sz="4" w:space="0" w:color="auto"/>
            </w:tcBorders>
            <w:shd w:val="clear" w:color="auto" w:fill="auto"/>
            <w:vAlign w:val="center"/>
            <w:hideMark/>
          </w:tcPr>
          <w:p w14:paraId="313FE25A" w14:textId="77777777" w:rsidR="00214B27" w:rsidRPr="0054775B" w:rsidRDefault="00214B27" w:rsidP="00FE1604">
            <w:pPr>
              <w:pStyle w:val="2024TABLETEXT"/>
              <w:framePr w:hSpace="0" w:wrap="auto" w:vAnchor="margin" w:yAlign="inline"/>
              <w:suppressOverlap w:val="0"/>
            </w:pPr>
            <w:r w:rsidRPr="0054775B">
              <w:t>Irritable bowel syndrome</w:t>
            </w:r>
          </w:p>
        </w:tc>
        <w:tc>
          <w:tcPr>
            <w:tcW w:w="2098" w:type="dxa"/>
            <w:tcBorders>
              <w:top w:val="nil"/>
              <w:left w:val="nil"/>
              <w:bottom w:val="single" w:sz="4" w:space="0" w:color="auto"/>
              <w:right w:val="single" w:sz="4" w:space="0" w:color="auto"/>
            </w:tcBorders>
            <w:shd w:val="clear" w:color="000000" w:fill="80C1DB"/>
            <w:vAlign w:val="center"/>
            <w:hideMark/>
          </w:tcPr>
          <w:p w14:paraId="7ADB643E" w14:textId="77777777" w:rsidR="00214B27" w:rsidRPr="0054775B" w:rsidRDefault="00214B27" w:rsidP="00FE1604">
            <w:pPr>
              <w:pStyle w:val="2024TABLETEXT"/>
              <w:framePr w:hSpace="0" w:wrap="auto" w:vAnchor="margin" w:yAlign="inline"/>
              <w:suppressOverlap w:val="0"/>
            </w:pPr>
            <w:r w:rsidRPr="0054775B">
              <w:t>Probiotics (see TGA list for specific strains)</w:t>
            </w:r>
          </w:p>
        </w:tc>
        <w:tc>
          <w:tcPr>
            <w:tcW w:w="2127" w:type="dxa"/>
            <w:tcBorders>
              <w:top w:val="nil"/>
              <w:left w:val="nil"/>
              <w:bottom w:val="single" w:sz="4" w:space="0" w:color="auto"/>
              <w:right w:val="single" w:sz="4" w:space="0" w:color="auto"/>
            </w:tcBorders>
            <w:shd w:val="clear" w:color="auto" w:fill="D9D9D9" w:themeFill="background1" w:themeFillShade="D9"/>
            <w:vAlign w:val="center"/>
            <w:hideMark/>
          </w:tcPr>
          <w:p w14:paraId="4DA19EA6" w14:textId="77777777" w:rsidR="00214B27" w:rsidRPr="0054775B" w:rsidRDefault="00214B27" w:rsidP="00FE1604">
            <w:pPr>
              <w:pStyle w:val="2024TABLETEXT"/>
              <w:framePr w:hSpace="0" w:wrap="auto" w:vAnchor="margin" w:yAlign="inline"/>
              <w:suppressOverlap w:val="0"/>
            </w:pPr>
            <w:r w:rsidRPr="0054775B">
              <w:t>Glutamine</w:t>
            </w:r>
          </w:p>
        </w:tc>
        <w:tc>
          <w:tcPr>
            <w:tcW w:w="2164" w:type="dxa"/>
            <w:tcBorders>
              <w:top w:val="nil"/>
              <w:left w:val="nil"/>
              <w:bottom w:val="single" w:sz="4" w:space="0" w:color="auto"/>
              <w:right w:val="single" w:sz="4" w:space="0" w:color="auto"/>
            </w:tcBorders>
            <w:shd w:val="clear" w:color="auto" w:fill="D9D9D9" w:themeFill="background1" w:themeFillShade="D9"/>
            <w:vAlign w:val="center"/>
            <w:hideMark/>
          </w:tcPr>
          <w:p w14:paraId="4C50375F" w14:textId="77777777" w:rsidR="00214B27" w:rsidRPr="0054775B" w:rsidRDefault="00214B27" w:rsidP="00FE1604">
            <w:pPr>
              <w:pStyle w:val="2024TABLETEXT"/>
              <w:framePr w:hSpace="0" w:wrap="auto" w:vAnchor="margin" w:yAlign="inline"/>
              <w:suppressOverlap w:val="0"/>
            </w:pPr>
            <w:r w:rsidRPr="0054775B">
              <w:t>Digestive enzymes (including betaine hydrochloride, papain, bromelain)</w:t>
            </w:r>
          </w:p>
        </w:tc>
      </w:tr>
      <w:tr w:rsidR="00994A9C" w:rsidRPr="0054775B" w14:paraId="3AE9A19B" w14:textId="77777777" w:rsidTr="000150BF">
        <w:trPr>
          <w:trHeight w:val="417"/>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6585508" w14:textId="77777777" w:rsidR="00214B27" w:rsidRPr="0054775B" w:rsidRDefault="00214B27" w:rsidP="00FE1604">
            <w:pPr>
              <w:pStyle w:val="2024TABLETEXT"/>
              <w:framePr w:hSpace="0" w:wrap="auto" w:vAnchor="margin" w:yAlign="inline"/>
              <w:suppressOverlap w:val="0"/>
            </w:pPr>
            <w:r w:rsidRPr="0054775B">
              <w:t>4</w:t>
            </w:r>
          </w:p>
        </w:tc>
        <w:tc>
          <w:tcPr>
            <w:tcW w:w="2156" w:type="dxa"/>
            <w:tcBorders>
              <w:top w:val="nil"/>
              <w:left w:val="nil"/>
              <w:bottom w:val="single" w:sz="4" w:space="0" w:color="auto"/>
              <w:right w:val="single" w:sz="4" w:space="0" w:color="auto"/>
            </w:tcBorders>
            <w:shd w:val="clear" w:color="auto" w:fill="auto"/>
            <w:vAlign w:val="center"/>
            <w:hideMark/>
          </w:tcPr>
          <w:p w14:paraId="25C2E32F" w14:textId="77777777" w:rsidR="00214B27" w:rsidRPr="0054775B" w:rsidRDefault="00214B27" w:rsidP="00FE1604">
            <w:pPr>
              <w:pStyle w:val="2024TABLETEXT"/>
              <w:framePr w:hSpace="0" w:wrap="auto" w:vAnchor="margin" w:yAlign="inline"/>
              <w:suppressOverlap w:val="0"/>
            </w:pPr>
            <w:r w:rsidRPr="0054775B">
              <w:t>Insomnia/Sleeping disorders</w:t>
            </w:r>
          </w:p>
        </w:tc>
        <w:tc>
          <w:tcPr>
            <w:tcW w:w="2098" w:type="dxa"/>
            <w:tcBorders>
              <w:top w:val="nil"/>
              <w:left w:val="nil"/>
              <w:bottom w:val="single" w:sz="4" w:space="0" w:color="auto"/>
              <w:right w:val="single" w:sz="4" w:space="0" w:color="auto"/>
            </w:tcBorders>
            <w:shd w:val="clear" w:color="000000" w:fill="80C1DB"/>
            <w:vAlign w:val="center"/>
            <w:hideMark/>
          </w:tcPr>
          <w:p w14:paraId="40923C4B" w14:textId="77777777" w:rsidR="00214B27" w:rsidRPr="0054775B" w:rsidRDefault="00214B27" w:rsidP="00FE1604">
            <w:pPr>
              <w:pStyle w:val="2024TABLETEXT"/>
              <w:framePr w:hSpace="0" w:wrap="auto" w:vAnchor="margin" w:yAlign="inline"/>
              <w:suppressOverlap w:val="0"/>
            </w:pPr>
            <w:r w:rsidRPr="0054775B">
              <w:t>Magnesium</w:t>
            </w:r>
          </w:p>
        </w:tc>
        <w:tc>
          <w:tcPr>
            <w:tcW w:w="2127" w:type="dxa"/>
            <w:tcBorders>
              <w:top w:val="nil"/>
              <w:left w:val="nil"/>
              <w:bottom w:val="single" w:sz="4" w:space="0" w:color="auto"/>
              <w:right w:val="single" w:sz="4" w:space="0" w:color="auto"/>
            </w:tcBorders>
            <w:shd w:val="clear" w:color="auto" w:fill="D9D9D9" w:themeFill="background1" w:themeFillShade="D9"/>
            <w:vAlign w:val="center"/>
            <w:hideMark/>
          </w:tcPr>
          <w:p w14:paraId="451FE841" w14:textId="77777777" w:rsidR="00214B27" w:rsidRPr="0054775B" w:rsidRDefault="00214B27" w:rsidP="00FE1604">
            <w:pPr>
              <w:pStyle w:val="2024TABLETEXT"/>
              <w:framePr w:hSpace="0" w:wrap="auto" w:vAnchor="margin" w:yAlign="inline"/>
              <w:suppressOverlap w:val="0"/>
            </w:pPr>
            <w:r w:rsidRPr="0054775B">
              <w:t>5-HTP (5- hydroxytryptophan)</w:t>
            </w:r>
          </w:p>
        </w:tc>
        <w:tc>
          <w:tcPr>
            <w:tcW w:w="2164" w:type="dxa"/>
            <w:tcBorders>
              <w:top w:val="nil"/>
              <w:left w:val="nil"/>
              <w:bottom w:val="single" w:sz="4" w:space="0" w:color="auto"/>
              <w:right w:val="single" w:sz="4" w:space="0" w:color="auto"/>
            </w:tcBorders>
            <w:shd w:val="clear" w:color="auto" w:fill="D9D9D9" w:themeFill="background1" w:themeFillShade="D9"/>
            <w:vAlign w:val="center"/>
            <w:hideMark/>
          </w:tcPr>
          <w:p w14:paraId="741DEBBD" w14:textId="77777777" w:rsidR="00214B27" w:rsidRPr="0054775B" w:rsidRDefault="00214B27" w:rsidP="00FE1604">
            <w:pPr>
              <w:pStyle w:val="2024TABLETEXT"/>
              <w:framePr w:hSpace="0" w:wrap="auto" w:vAnchor="margin" w:yAlign="inline"/>
              <w:suppressOverlap w:val="0"/>
            </w:pPr>
            <w:r w:rsidRPr="0054775B">
              <w:t>Palmitoylethanolamide (PEA)</w:t>
            </w:r>
          </w:p>
        </w:tc>
      </w:tr>
      <w:tr w:rsidR="00994A9C" w:rsidRPr="0054775B" w14:paraId="7C63154F" w14:textId="77777777" w:rsidTr="000150BF">
        <w:trPr>
          <w:trHeight w:val="542"/>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FE97906" w14:textId="77777777" w:rsidR="00214B27" w:rsidRPr="0054775B" w:rsidRDefault="00214B27" w:rsidP="00FE1604">
            <w:pPr>
              <w:pStyle w:val="2024TABLETEXT"/>
              <w:framePr w:hSpace="0" w:wrap="auto" w:vAnchor="margin" w:yAlign="inline"/>
              <w:suppressOverlap w:val="0"/>
            </w:pPr>
            <w:r w:rsidRPr="0054775B">
              <w:t>5</w:t>
            </w:r>
          </w:p>
        </w:tc>
        <w:tc>
          <w:tcPr>
            <w:tcW w:w="2156" w:type="dxa"/>
            <w:tcBorders>
              <w:top w:val="nil"/>
              <w:left w:val="nil"/>
              <w:bottom w:val="single" w:sz="4" w:space="0" w:color="auto"/>
              <w:right w:val="single" w:sz="4" w:space="0" w:color="auto"/>
            </w:tcBorders>
            <w:shd w:val="clear" w:color="auto" w:fill="auto"/>
            <w:vAlign w:val="center"/>
            <w:hideMark/>
          </w:tcPr>
          <w:p w14:paraId="2AD49A1F" w14:textId="77777777" w:rsidR="00214B27" w:rsidRPr="0054775B" w:rsidRDefault="00214B27" w:rsidP="00FE1604">
            <w:pPr>
              <w:pStyle w:val="2024TABLETEXT"/>
              <w:framePr w:hSpace="0" w:wrap="auto" w:vAnchor="margin" w:yAlign="inline"/>
              <w:suppressOverlap w:val="0"/>
            </w:pPr>
            <w:r w:rsidRPr="0054775B">
              <w:t>Depression (including post-natal)</w:t>
            </w:r>
          </w:p>
        </w:tc>
        <w:tc>
          <w:tcPr>
            <w:tcW w:w="2098" w:type="dxa"/>
            <w:tcBorders>
              <w:top w:val="nil"/>
              <w:left w:val="nil"/>
              <w:bottom w:val="single" w:sz="4" w:space="0" w:color="auto"/>
              <w:right w:val="single" w:sz="4" w:space="0" w:color="auto"/>
            </w:tcBorders>
            <w:shd w:val="clear" w:color="000000" w:fill="80C1DB"/>
            <w:vAlign w:val="center"/>
            <w:hideMark/>
          </w:tcPr>
          <w:p w14:paraId="392960EB" w14:textId="42AC6355" w:rsidR="00214B27" w:rsidRPr="0054775B" w:rsidRDefault="00214B27" w:rsidP="00FE1604">
            <w:pPr>
              <w:pStyle w:val="2024TABLETEXT"/>
              <w:framePr w:hSpace="0" w:wrap="auto" w:vAnchor="margin" w:yAlign="inline"/>
              <w:suppressOverlap w:val="0"/>
            </w:pPr>
            <w:r w:rsidRPr="0054775B">
              <w:t>Omega-3</w:t>
            </w:r>
            <w:r w:rsidR="001D0020">
              <w:t xml:space="preserve"> fatty acids</w:t>
            </w:r>
          </w:p>
        </w:tc>
        <w:tc>
          <w:tcPr>
            <w:tcW w:w="2127" w:type="dxa"/>
            <w:tcBorders>
              <w:top w:val="nil"/>
              <w:left w:val="nil"/>
              <w:bottom w:val="single" w:sz="4" w:space="0" w:color="auto"/>
              <w:right w:val="single" w:sz="4" w:space="0" w:color="auto"/>
            </w:tcBorders>
            <w:shd w:val="clear" w:color="auto" w:fill="D9D9D9" w:themeFill="background1" w:themeFillShade="D9"/>
            <w:vAlign w:val="center"/>
            <w:hideMark/>
          </w:tcPr>
          <w:p w14:paraId="0377E00E" w14:textId="77777777" w:rsidR="00214B27" w:rsidRPr="0054775B" w:rsidRDefault="00214B27" w:rsidP="00FE1604">
            <w:pPr>
              <w:pStyle w:val="2024TABLETEXT"/>
              <w:framePr w:hSpace="0" w:wrap="auto" w:vAnchor="margin" w:yAlign="inline"/>
              <w:suppressOverlap w:val="0"/>
            </w:pPr>
            <w:r w:rsidRPr="0054775B">
              <w:t>Vitamin B and mineral complex (B6, B12, folate – individually and in combination)</w:t>
            </w:r>
          </w:p>
        </w:tc>
        <w:tc>
          <w:tcPr>
            <w:tcW w:w="2164" w:type="dxa"/>
            <w:tcBorders>
              <w:top w:val="nil"/>
              <w:left w:val="nil"/>
              <w:bottom w:val="single" w:sz="4" w:space="0" w:color="auto"/>
              <w:right w:val="single" w:sz="4" w:space="0" w:color="auto"/>
            </w:tcBorders>
            <w:shd w:val="clear" w:color="auto" w:fill="D9D9D9" w:themeFill="background1" w:themeFillShade="D9"/>
            <w:vAlign w:val="center"/>
            <w:hideMark/>
          </w:tcPr>
          <w:p w14:paraId="28DB33E8" w14:textId="77777777" w:rsidR="00214B27" w:rsidRPr="0054775B" w:rsidRDefault="00214B27" w:rsidP="00FE1604">
            <w:pPr>
              <w:pStyle w:val="2024TABLETEXT"/>
              <w:framePr w:hSpace="0" w:wrap="auto" w:vAnchor="margin" w:yAlign="inline"/>
              <w:suppressOverlap w:val="0"/>
            </w:pPr>
            <w:r w:rsidRPr="0054775B">
              <w:t>N-acetylcysteine (NAC)</w:t>
            </w:r>
          </w:p>
        </w:tc>
      </w:tr>
      <w:tr w:rsidR="00994A9C" w:rsidRPr="0054775B" w14:paraId="261BBA10" w14:textId="77777777" w:rsidTr="000150BF">
        <w:trPr>
          <w:trHeight w:val="692"/>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035633A" w14:textId="77777777" w:rsidR="00214B27" w:rsidRPr="0054775B" w:rsidRDefault="00214B27" w:rsidP="00FE1604">
            <w:pPr>
              <w:pStyle w:val="2024TABLETEXT"/>
              <w:framePr w:hSpace="0" w:wrap="auto" w:vAnchor="margin" w:yAlign="inline"/>
              <w:suppressOverlap w:val="0"/>
            </w:pPr>
            <w:r w:rsidRPr="0054775B">
              <w:t>6</w:t>
            </w:r>
          </w:p>
        </w:tc>
        <w:tc>
          <w:tcPr>
            <w:tcW w:w="2156" w:type="dxa"/>
            <w:tcBorders>
              <w:top w:val="nil"/>
              <w:left w:val="nil"/>
              <w:bottom w:val="single" w:sz="4" w:space="0" w:color="auto"/>
              <w:right w:val="single" w:sz="4" w:space="0" w:color="auto"/>
            </w:tcBorders>
            <w:shd w:val="clear" w:color="auto" w:fill="auto"/>
            <w:vAlign w:val="center"/>
            <w:hideMark/>
          </w:tcPr>
          <w:p w14:paraId="1B2C4E5C" w14:textId="77777777" w:rsidR="00214B27" w:rsidRPr="0054775B" w:rsidRDefault="00214B27" w:rsidP="00FE1604">
            <w:pPr>
              <w:pStyle w:val="2024TABLETEXT"/>
              <w:framePr w:hSpace="0" w:wrap="auto" w:vAnchor="margin" w:yAlign="inline"/>
              <w:suppressOverlap w:val="0"/>
            </w:pPr>
            <w:r w:rsidRPr="0054775B">
              <w:t>Dysmenorrhea</w:t>
            </w:r>
          </w:p>
        </w:tc>
        <w:tc>
          <w:tcPr>
            <w:tcW w:w="2098" w:type="dxa"/>
            <w:tcBorders>
              <w:top w:val="nil"/>
              <w:left w:val="nil"/>
              <w:bottom w:val="single" w:sz="4" w:space="0" w:color="auto"/>
              <w:right w:val="single" w:sz="4" w:space="0" w:color="auto"/>
            </w:tcBorders>
            <w:shd w:val="clear" w:color="000000" w:fill="80C1DB"/>
            <w:vAlign w:val="center"/>
            <w:hideMark/>
          </w:tcPr>
          <w:p w14:paraId="0DC6F24C" w14:textId="77777777" w:rsidR="00214B27" w:rsidRPr="0054775B" w:rsidRDefault="00214B27" w:rsidP="00FE1604">
            <w:pPr>
              <w:pStyle w:val="2024TABLETEXT"/>
              <w:framePr w:hSpace="0" w:wrap="auto" w:vAnchor="margin" w:yAlign="inline"/>
              <w:suppressOverlap w:val="0"/>
            </w:pPr>
            <w:r w:rsidRPr="0054775B">
              <w:t>Cruciferous Indoles (indole-3- carbinol, di-indolylmethane)</w:t>
            </w:r>
          </w:p>
        </w:tc>
        <w:tc>
          <w:tcPr>
            <w:tcW w:w="2127" w:type="dxa"/>
            <w:tcBorders>
              <w:top w:val="nil"/>
              <w:left w:val="nil"/>
              <w:bottom w:val="single" w:sz="4" w:space="0" w:color="auto"/>
              <w:right w:val="single" w:sz="4" w:space="0" w:color="auto"/>
            </w:tcBorders>
            <w:shd w:val="clear" w:color="auto" w:fill="D9D9D9" w:themeFill="background1" w:themeFillShade="D9"/>
            <w:vAlign w:val="center"/>
            <w:hideMark/>
          </w:tcPr>
          <w:p w14:paraId="244A0B6D" w14:textId="77777777" w:rsidR="00214B27" w:rsidRPr="0054775B" w:rsidRDefault="00214B27" w:rsidP="00FE1604">
            <w:pPr>
              <w:pStyle w:val="2024TABLETEXT"/>
              <w:framePr w:hSpace="0" w:wrap="auto" w:vAnchor="margin" w:yAlign="inline"/>
              <w:suppressOverlap w:val="0"/>
            </w:pPr>
            <w:r w:rsidRPr="0054775B">
              <w:t>Magnesium</w:t>
            </w:r>
          </w:p>
        </w:tc>
        <w:tc>
          <w:tcPr>
            <w:tcW w:w="2164" w:type="dxa"/>
            <w:tcBorders>
              <w:top w:val="nil"/>
              <w:left w:val="nil"/>
              <w:bottom w:val="single" w:sz="4" w:space="0" w:color="auto"/>
              <w:right w:val="single" w:sz="4" w:space="0" w:color="auto"/>
            </w:tcBorders>
            <w:shd w:val="clear" w:color="auto" w:fill="D9D9D9" w:themeFill="background1" w:themeFillShade="D9"/>
            <w:vAlign w:val="center"/>
            <w:hideMark/>
          </w:tcPr>
          <w:p w14:paraId="47A528D1" w14:textId="77777777" w:rsidR="00214B27" w:rsidRPr="0054775B" w:rsidRDefault="00214B27" w:rsidP="00FE1604">
            <w:pPr>
              <w:pStyle w:val="2024TABLETEXT"/>
              <w:framePr w:hSpace="0" w:wrap="auto" w:vAnchor="margin" w:yAlign="inline"/>
              <w:suppressOverlap w:val="0"/>
            </w:pPr>
            <w:r w:rsidRPr="0054775B">
              <w:t>Vitamin B and mineral complex (B6, B12, folate – individually and in combination)</w:t>
            </w:r>
          </w:p>
        </w:tc>
      </w:tr>
      <w:tr w:rsidR="00994A9C" w:rsidRPr="0054775B" w14:paraId="5E39E35C" w14:textId="77777777" w:rsidTr="000150BF">
        <w:trPr>
          <w:trHeight w:val="74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0BDAD04" w14:textId="77777777" w:rsidR="00214B27" w:rsidRPr="0054775B" w:rsidRDefault="00214B27" w:rsidP="00FE1604">
            <w:pPr>
              <w:pStyle w:val="2024TABLETEXT"/>
              <w:framePr w:hSpace="0" w:wrap="auto" w:vAnchor="margin" w:yAlign="inline"/>
              <w:suppressOverlap w:val="0"/>
            </w:pPr>
            <w:r w:rsidRPr="0054775B">
              <w:t>7</w:t>
            </w:r>
          </w:p>
        </w:tc>
        <w:tc>
          <w:tcPr>
            <w:tcW w:w="2156" w:type="dxa"/>
            <w:tcBorders>
              <w:top w:val="nil"/>
              <w:left w:val="nil"/>
              <w:bottom w:val="single" w:sz="4" w:space="0" w:color="auto"/>
              <w:right w:val="single" w:sz="4" w:space="0" w:color="auto"/>
            </w:tcBorders>
            <w:shd w:val="clear" w:color="auto" w:fill="auto"/>
            <w:vAlign w:val="center"/>
            <w:hideMark/>
          </w:tcPr>
          <w:p w14:paraId="57A32494" w14:textId="77777777" w:rsidR="00214B27" w:rsidRPr="0054775B" w:rsidRDefault="00214B27" w:rsidP="00FE1604">
            <w:pPr>
              <w:pStyle w:val="2024TABLETEXT"/>
              <w:framePr w:hSpace="0" w:wrap="auto" w:vAnchor="margin" w:yAlign="inline"/>
              <w:suppressOverlap w:val="0"/>
            </w:pPr>
            <w:r w:rsidRPr="0054775B">
              <w:t>Premenstrual syndrome (PMS)</w:t>
            </w:r>
          </w:p>
        </w:tc>
        <w:tc>
          <w:tcPr>
            <w:tcW w:w="2098" w:type="dxa"/>
            <w:tcBorders>
              <w:top w:val="nil"/>
              <w:left w:val="nil"/>
              <w:bottom w:val="single" w:sz="4" w:space="0" w:color="auto"/>
              <w:right w:val="single" w:sz="4" w:space="0" w:color="auto"/>
            </w:tcBorders>
            <w:shd w:val="clear" w:color="000000" w:fill="80C1DB"/>
            <w:vAlign w:val="center"/>
            <w:hideMark/>
          </w:tcPr>
          <w:p w14:paraId="28BF2F76" w14:textId="77777777" w:rsidR="00214B27" w:rsidRPr="0054775B" w:rsidRDefault="00214B27" w:rsidP="00FE1604">
            <w:pPr>
              <w:pStyle w:val="2024TABLETEXT"/>
              <w:framePr w:hSpace="0" w:wrap="auto" w:vAnchor="margin" w:yAlign="inline"/>
              <w:suppressOverlap w:val="0"/>
            </w:pPr>
            <w:r w:rsidRPr="0054775B">
              <w:t>Cruciferous Indoles (indole-3- carbinol, di-indolylmethane)</w:t>
            </w:r>
          </w:p>
        </w:tc>
        <w:tc>
          <w:tcPr>
            <w:tcW w:w="2127" w:type="dxa"/>
            <w:tcBorders>
              <w:top w:val="nil"/>
              <w:left w:val="nil"/>
              <w:bottom w:val="single" w:sz="4" w:space="0" w:color="auto"/>
              <w:right w:val="single" w:sz="4" w:space="0" w:color="auto"/>
            </w:tcBorders>
            <w:shd w:val="clear" w:color="auto" w:fill="D9D9D9" w:themeFill="background1" w:themeFillShade="D9"/>
            <w:vAlign w:val="center"/>
            <w:hideMark/>
          </w:tcPr>
          <w:p w14:paraId="498C98B5" w14:textId="77777777" w:rsidR="00214B27" w:rsidRPr="0054775B" w:rsidRDefault="00214B27" w:rsidP="00FE1604">
            <w:pPr>
              <w:pStyle w:val="2024TABLETEXT"/>
              <w:framePr w:hSpace="0" w:wrap="auto" w:vAnchor="margin" w:yAlign="inline"/>
              <w:suppressOverlap w:val="0"/>
            </w:pPr>
            <w:r w:rsidRPr="0054775B">
              <w:t>Magnesium</w:t>
            </w:r>
          </w:p>
        </w:tc>
        <w:tc>
          <w:tcPr>
            <w:tcW w:w="2164" w:type="dxa"/>
            <w:tcBorders>
              <w:top w:val="nil"/>
              <w:left w:val="nil"/>
              <w:bottom w:val="single" w:sz="4" w:space="0" w:color="auto"/>
              <w:right w:val="single" w:sz="4" w:space="0" w:color="auto"/>
            </w:tcBorders>
            <w:shd w:val="clear" w:color="auto" w:fill="D9D9D9" w:themeFill="background1" w:themeFillShade="D9"/>
            <w:vAlign w:val="center"/>
            <w:hideMark/>
          </w:tcPr>
          <w:p w14:paraId="31CB459A" w14:textId="77777777" w:rsidR="00214B27" w:rsidRPr="0054775B" w:rsidRDefault="00214B27" w:rsidP="00FE1604">
            <w:pPr>
              <w:pStyle w:val="2024TABLETEXT"/>
              <w:framePr w:hSpace="0" w:wrap="auto" w:vAnchor="margin" w:yAlign="inline"/>
              <w:suppressOverlap w:val="0"/>
            </w:pPr>
            <w:r w:rsidRPr="0054775B">
              <w:t>Vitamin B and mineral complex (B6, B12, folate – individually and in combination)</w:t>
            </w:r>
          </w:p>
        </w:tc>
      </w:tr>
      <w:tr w:rsidR="00994A9C" w:rsidRPr="0054775B" w14:paraId="02D53B71" w14:textId="77777777" w:rsidTr="000150BF">
        <w:trPr>
          <w:trHeight w:val="637"/>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DD42606" w14:textId="77777777" w:rsidR="00214B27" w:rsidRPr="0054775B" w:rsidRDefault="00214B27" w:rsidP="00FE1604">
            <w:pPr>
              <w:pStyle w:val="2024TABLETEXT"/>
              <w:framePr w:hSpace="0" w:wrap="auto" w:vAnchor="margin" w:yAlign="inline"/>
              <w:suppressOverlap w:val="0"/>
            </w:pPr>
            <w:r w:rsidRPr="0054775B">
              <w:t>8</w:t>
            </w:r>
          </w:p>
        </w:tc>
        <w:tc>
          <w:tcPr>
            <w:tcW w:w="2156" w:type="dxa"/>
            <w:tcBorders>
              <w:top w:val="nil"/>
              <w:left w:val="nil"/>
              <w:bottom w:val="single" w:sz="4" w:space="0" w:color="auto"/>
              <w:right w:val="single" w:sz="4" w:space="0" w:color="auto"/>
            </w:tcBorders>
            <w:shd w:val="clear" w:color="auto" w:fill="auto"/>
            <w:vAlign w:val="center"/>
            <w:hideMark/>
          </w:tcPr>
          <w:p w14:paraId="7EC399B4" w14:textId="0F8C2EDA" w:rsidR="00214B27" w:rsidRPr="0054775B" w:rsidRDefault="00214B27" w:rsidP="00FE1604">
            <w:pPr>
              <w:pStyle w:val="2024TABLETEXT"/>
              <w:framePr w:hSpace="0" w:wrap="auto" w:vAnchor="margin" w:yAlign="inline"/>
              <w:suppressOverlap w:val="0"/>
            </w:pPr>
            <w:r w:rsidRPr="0054775B">
              <w:t>Atopic disorders (including eczema, dermatitis, allergic rhinitis, allergies (e.g. hay fever))</w:t>
            </w:r>
          </w:p>
        </w:tc>
        <w:tc>
          <w:tcPr>
            <w:tcW w:w="2098" w:type="dxa"/>
            <w:tcBorders>
              <w:top w:val="nil"/>
              <w:left w:val="nil"/>
              <w:bottom w:val="single" w:sz="4" w:space="0" w:color="auto"/>
              <w:right w:val="single" w:sz="4" w:space="0" w:color="auto"/>
            </w:tcBorders>
            <w:shd w:val="clear" w:color="000000" w:fill="80C1DB"/>
            <w:vAlign w:val="center"/>
            <w:hideMark/>
          </w:tcPr>
          <w:p w14:paraId="30EC9364" w14:textId="77777777" w:rsidR="00214B27" w:rsidRPr="0054775B" w:rsidRDefault="00214B27" w:rsidP="00FE1604">
            <w:pPr>
              <w:pStyle w:val="2024TABLETEXT"/>
              <w:framePr w:hSpace="0" w:wrap="auto" w:vAnchor="margin" w:yAlign="inline"/>
              <w:suppressOverlap w:val="0"/>
            </w:pPr>
            <w:r w:rsidRPr="0054775B">
              <w:t>Zinc</w:t>
            </w:r>
          </w:p>
        </w:tc>
        <w:tc>
          <w:tcPr>
            <w:tcW w:w="2127" w:type="dxa"/>
            <w:tcBorders>
              <w:top w:val="nil"/>
              <w:left w:val="nil"/>
              <w:bottom w:val="single" w:sz="4" w:space="0" w:color="auto"/>
              <w:right w:val="single" w:sz="4" w:space="0" w:color="auto"/>
            </w:tcBorders>
            <w:shd w:val="clear" w:color="auto" w:fill="D9D9D9" w:themeFill="background1" w:themeFillShade="D9"/>
            <w:vAlign w:val="center"/>
            <w:hideMark/>
          </w:tcPr>
          <w:p w14:paraId="7EDF26AF" w14:textId="77777777" w:rsidR="00214B27" w:rsidRPr="0054775B" w:rsidRDefault="00214B27" w:rsidP="00FE1604">
            <w:pPr>
              <w:pStyle w:val="2024TABLETEXT"/>
              <w:framePr w:hSpace="0" w:wrap="auto" w:vAnchor="margin" w:yAlign="inline"/>
              <w:suppressOverlap w:val="0"/>
            </w:pPr>
            <w:r w:rsidRPr="0054775B">
              <w:t>Prebiotics (including beta-glucan, guar gum and others listed on the TGA list)</w:t>
            </w:r>
          </w:p>
        </w:tc>
        <w:tc>
          <w:tcPr>
            <w:tcW w:w="2164" w:type="dxa"/>
            <w:tcBorders>
              <w:top w:val="nil"/>
              <w:left w:val="nil"/>
              <w:bottom w:val="single" w:sz="4" w:space="0" w:color="auto"/>
              <w:right w:val="single" w:sz="4" w:space="0" w:color="auto"/>
            </w:tcBorders>
            <w:shd w:val="clear" w:color="auto" w:fill="D9D9D9" w:themeFill="background1" w:themeFillShade="D9"/>
            <w:vAlign w:val="center"/>
            <w:hideMark/>
          </w:tcPr>
          <w:p w14:paraId="51DC1317" w14:textId="77777777" w:rsidR="00214B27" w:rsidRPr="0054775B" w:rsidRDefault="00214B27" w:rsidP="00FE1604">
            <w:pPr>
              <w:pStyle w:val="2024TABLETEXT"/>
              <w:framePr w:hSpace="0" w:wrap="auto" w:vAnchor="margin" w:yAlign="inline"/>
              <w:suppressOverlap w:val="0"/>
            </w:pPr>
            <w:r w:rsidRPr="0054775B">
              <w:t>Probiotics (see TGA list for specific strains)</w:t>
            </w:r>
          </w:p>
        </w:tc>
      </w:tr>
      <w:tr w:rsidR="00994A9C" w:rsidRPr="0054775B" w14:paraId="74A6675D" w14:textId="77777777" w:rsidTr="000150BF">
        <w:trPr>
          <w:trHeight w:val="788"/>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956089C" w14:textId="77777777" w:rsidR="00214B27" w:rsidRPr="0054775B" w:rsidRDefault="00214B27" w:rsidP="00FE1604">
            <w:pPr>
              <w:pStyle w:val="2024TABLETEXT"/>
              <w:framePr w:hSpace="0" w:wrap="auto" w:vAnchor="margin" w:yAlign="inline"/>
              <w:suppressOverlap w:val="0"/>
            </w:pPr>
            <w:r w:rsidRPr="0054775B">
              <w:t>9</w:t>
            </w:r>
          </w:p>
        </w:tc>
        <w:tc>
          <w:tcPr>
            <w:tcW w:w="2156" w:type="dxa"/>
            <w:tcBorders>
              <w:top w:val="nil"/>
              <w:left w:val="nil"/>
              <w:bottom w:val="single" w:sz="4" w:space="0" w:color="auto"/>
              <w:right w:val="single" w:sz="4" w:space="0" w:color="auto"/>
            </w:tcBorders>
            <w:shd w:val="clear" w:color="auto" w:fill="auto"/>
            <w:vAlign w:val="center"/>
            <w:hideMark/>
          </w:tcPr>
          <w:p w14:paraId="0495291C" w14:textId="77777777" w:rsidR="00214B27" w:rsidRPr="0054775B" w:rsidRDefault="00214B27" w:rsidP="00FE1604">
            <w:pPr>
              <w:pStyle w:val="2024TABLETEXT"/>
              <w:framePr w:hSpace="0" w:wrap="auto" w:vAnchor="margin" w:yAlign="inline"/>
              <w:suppressOverlap w:val="0"/>
            </w:pPr>
            <w:r w:rsidRPr="0054775B">
              <w:t>Fatigue (general) (including myalgic encephalomyelitis (ME) and Chronic Fatigue Syndrome (CFS))</w:t>
            </w:r>
          </w:p>
        </w:tc>
        <w:tc>
          <w:tcPr>
            <w:tcW w:w="2098" w:type="dxa"/>
            <w:tcBorders>
              <w:top w:val="nil"/>
              <w:left w:val="nil"/>
              <w:bottom w:val="single" w:sz="4" w:space="0" w:color="auto"/>
              <w:right w:val="single" w:sz="4" w:space="0" w:color="auto"/>
            </w:tcBorders>
            <w:shd w:val="clear" w:color="000000" w:fill="80C1DB"/>
            <w:vAlign w:val="center"/>
            <w:hideMark/>
          </w:tcPr>
          <w:p w14:paraId="6956D8E2" w14:textId="77777777" w:rsidR="00214B27" w:rsidRPr="0054775B" w:rsidRDefault="00214B27" w:rsidP="00FE1604">
            <w:pPr>
              <w:pStyle w:val="2024TABLETEXT"/>
              <w:framePr w:hSpace="0" w:wrap="auto" w:vAnchor="margin" w:yAlign="inline"/>
              <w:suppressOverlap w:val="0"/>
            </w:pPr>
            <w:r w:rsidRPr="0054775B">
              <w:t>Antioxidants (specifically: CoQ10 and alpha-lipoic acid)</w:t>
            </w:r>
          </w:p>
        </w:tc>
        <w:tc>
          <w:tcPr>
            <w:tcW w:w="2127" w:type="dxa"/>
            <w:tcBorders>
              <w:top w:val="nil"/>
              <w:left w:val="nil"/>
              <w:bottom w:val="single" w:sz="4" w:space="0" w:color="auto"/>
              <w:right w:val="single" w:sz="4" w:space="0" w:color="auto"/>
            </w:tcBorders>
            <w:shd w:val="clear" w:color="auto" w:fill="D9D9D9" w:themeFill="background1" w:themeFillShade="D9"/>
            <w:vAlign w:val="center"/>
            <w:hideMark/>
          </w:tcPr>
          <w:p w14:paraId="43CB3B68" w14:textId="77777777" w:rsidR="00214B27" w:rsidRPr="0054775B" w:rsidRDefault="00214B27" w:rsidP="00FE1604">
            <w:pPr>
              <w:pStyle w:val="2024TABLETEXT"/>
              <w:framePr w:hSpace="0" w:wrap="auto" w:vAnchor="margin" w:yAlign="inline"/>
              <w:suppressOverlap w:val="0"/>
            </w:pPr>
            <w:r w:rsidRPr="0054775B">
              <w:t>Vitamin B and mineral complex (B6, B12, folate – individually and in combination)</w:t>
            </w:r>
          </w:p>
        </w:tc>
        <w:tc>
          <w:tcPr>
            <w:tcW w:w="2164" w:type="dxa"/>
            <w:tcBorders>
              <w:top w:val="nil"/>
              <w:left w:val="nil"/>
              <w:bottom w:val="single" w:sz="4" w:space="0" w:color="auto"/>
              <w:right w:val="single" w:sz="4" w:space="0" w:color="auto"/>
            </w:tcBorders>
            <w:shd w:val="clear" w:color="auto" w:fill="D9D9D9" w:themeFill="background1" w:themeFillShade="D9"/>
            <w:vAlign w:val="center"/>
            <w:hideMark/>
          </w:tcPr>
          <w:p w14:paraId="66B2CE6F" w14:textId="77777777" w:rsidR="00214B27" w:rsidRPr="0054775B" w:rsidRDefault="00214B27" w:rsidP="00FE1604">
            <w:pPr>
              <w:pStyle w:val="2024TABLETEXT"/>
              <w:framePr w:hSpace="0" w:wrap="auto" w:vAnchor="margin" w:yAlign="inline"/>
              <w:suppressOverlap w:val="0"/>
            </w:pPr>
            <w:r w:rsidRPr="0054775B">
              <w:t>Magnesium</w:t>
            </w:r>
          </w:p>
        </w:tc>
      </w:tr>
      <w:tr w:rsidR="00994A9C" w:rsidRPr="0054775B" w14:paraId="7136716D" w14:textId="77777777" w:rsidTr="000150BF">
        <w:trPr>
          <w:trHeight w:val="53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ED86255" w14:textId="77777777" w:rsidR="00214B27" w:rsidRPr="0054775B" w:rsidRDefault="00214B27" w:rsidP="00FE1604">
            <w:pPr>
              <w:pStyle w:val="2024TABLETEXT"/>
              <w:framePr w:hSpace="0" w:wrap="auto" w:vAnchor="margin" w:yAlign="inline"/>
              <w:suppressOverlap w:val="0"/>
            </w:pPr>
            <w:r w:rsidRPr="0054775B">
              <w:t>10</w:t>
            </w:r>
          </w:p>
        </w:tc>
        <w:tc>
          <w:tcPr>
            <w:tcW w:w="2156" w:type="dxa"/>
            <w:tcBorders>
              <w:top w:val="single" w:sz="4" w:space="0" w:color="auto"/>
              <w:left w:val="nil"/>
              <w:bottom w:val="single" w:sz="4" w:space="0" w:color="auto"/>
              <w:right w:val="single" w:sz="4" w:space="0" w:color="auto"/>
            </w:tcBorders>
            <w:shd w:val="clear" w:color="auto" w:fill="auto"/>
            <w:vAlign w:val="center"/>
            <w:hideMark/>
          </w:tcPr>
          <w:p w14:paraId="3E4120FC" w14:textId="77777777" w:rsidR="00214B27" w:rsidRPr="0054775B" w:rsidRDefault="00214B27" w:rsidP="00FE1604">
            <w:pPr>
              <w:pStyle w:val="2024TABLETEXT"/>
              <w:framePr w:hSpace="0" w:wrap="auto" w:vAnchor="margin" w:yAlign="inline"/>
              <w:suppressOverlap w:val="0"/>
            </w:pPr>
            <w:r w:rsidRPr="0054775B">
              <w:t>Headache and migraine</w:t>
            </w:r>
          </w:p>
        </w:tc>
        <w:tc>
          <w:tcPr>
            <w:tcW w:w="2098" w:type="dxa"/>
            <w:tcBorders>
              <w:top w:val="single" w:sz="4" w:space="0" w:color="auto"/>
              <w:left w:val="nil"/>
              <w:bottom w:val="single" w:sz="4" w:space="0" w:color="auto"/>
              <w:right w:val="single" w:sz="4" w:space="0" w:color="auto"/>
            </w:tcBorders>
            <w:shd w:val="clear" w:color="000000" w:fill="80C1DB"/>
            <w:vAlign w:val="center"/>
            <w:hideMark/>
          </w:tcPr>
          <w:p w14:paraId="639B2FAC" w14:textId="77777777" w:rsidR="00214B27" w:rsidRPr="0054775B" w:rsidRDefault="00214B27" w:rsidP="00FE1604">
            <w:pPr>
              <w:pStyle w:val="2024TABLETEXT"/>
              <w:framePr w:hSpace="0" w:wrap="auto" w:vAnchor="margin" w:yAlign="inline"/>
              <w:suppressOverlap w:val="0"/>
            </w:pPr>
            <w:r w:rsidRPr="0054775B">
              <w:t>Magnesium</w:t>
            </w:r>
          </w:p>
        </w:tc>
        <w:tc>
          <w:tcPr>
            <w:tcW w:w="2127"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5380C84D" w14:textId="77777777" w:rsidR="00214B27" w:rsidRPr="0054775B" w:rsidRDefault="00214B27" w:rsidP="00FE1604">
            <w:pPr>
              <w:pStyle w:val="2024TABLETEXT"/>
              <w:framePr w:hSpace="0" w:wrap="auto" w:vAnchor="margin" w:yAlign="inline"/>
              <w:suppressOverlap w:val="0"/>
            </w:pPr>
            <w:r w:rsidRPr="0054775B">
              <w:t>Vitamin B and mineral complex (B6, B12, folate – individually and in combination)</w:t>
            </w:r>
          </w:p>
        </w:tc>
        <w:tc>
          <w:tcPr>
            <w:tcW w:w="2164"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0E91249E" w14:textId="77777777" w:rsidR="00214B27" w:rsidRPr="0054775B" w:rsidRDefault="00214B27" w:rsidP="00FE1604">
            <w:pPr>
              <w:pStyle w:val="2024TABLETEXT"/>
              <w:framePr w:hSpace="0" w:wrap="auto" w:vAnchor="margin" w:yAlign="inline"/>
              <w:suppressOverlap w:val="0"/>
            </w:pPr>
            <w:r w:rsidRPr="0054775B">
              <w:t>N-acetylcysteine (NAC)</w:t>
            </w:r>
          </w:p>
        </w:tc>
      </w:tr>
      <w:tr w:rsidR="00994A9C" w:rsidRPr="0054775B" w14:paraId="13BFEB05" w14:textId="77777777" w:rsidTr="000150BF">
        <w:trPr>
          <w:trHeight w:val="53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0AA4CFF" w14:textId="77777777" w:rsidR="00214B27" w:rsidRPr="0054775B" w:rsidRDefault="00214B27" w:rsidP="00FE1604">
            <w:pPr>
              <w:pStyle w:val="2024TABLETEXT"/>
              <w:framePr w:hSpace="0" w:wrap="auto" w:vAnchor="margin" w:yAlign="inline"/>
              <w:suppressOverlap w:val="0"/>
            </w:pPr>
            <w:r w:rsidRPr="0054775B">
              <w:t>11</w:t>
            </w:r>
          </w:p>
        </w:tc>
        <w:tc>
          <w:tcPr>
            <w:tcW w:w="2156" w:type="dxa"/>
            <w:tcBorders>
              <w:top w:val="single" w:sz="4" w:space="0" w:color="auto"/>
              <w:left w:val="nil"/>
              <w:bottom w:val="single" w:sz="4" w:space="0" w:color="auto"/>
              <w:right w:val="single" w:sz="4" w:space="0" w:color="auto"/>
            </w:tcBorders>
            <w:shd w:val="clear" w:color="auto" w:fill="auto"/>
            <w:vAlign w:val="center"/>
            <w:hideMark/>
          </w:tcPr>
          <w:p w14:paraId="3058A9C8" w14:textId="77777777" w:rsidR="00214B27" w:rsidRPr="0054775B" w:rsidRDefault="00214B27" w:rsidP="00FE1604">
            <w:pPr>
              <w:pStyle w:val="2024TABLETEXT"/>
              <w:framePr w:hSpace="0" w:wrap="auto" w:vAnchor="margin" w:yAlign="inline"/>
              <w:suppressOverlap w:val="0"/>
            </w:pPr>
            <w:r w:rsidRPr="0054775B">
              <w:t>Arthritis/Osteoarthritis</w:t>
            </w:r>
          </w:p>
        </w:tc>
        <w:tc>
          <w:tcPr>
            <w:tcW w:w="2098" w:type="dxa"/>
            <w:tcBorders>
              <w:top w:val="single" w:sz="4" w:space="0" w:color="auto"/>
              <w:left w:val="nil"/>
              <w:bottom w:val="single" w:sz="4" w:space="0" w:color="auto"/>
              <w:right w:val="single" w:sz="4" w:space="0" w:color="auto"/>
            </w:tcBorders>
            <w:shd w:val="clear" w:color="000000" w:fill="80C1DB"/>
            <w:vAlign w:val="center"/>
            <w:hideMark/>
          </w:tcPr>
          <w:p w14:paraId="54761AA6" w14:textId="77777777" w:rsidR="00214B27" w:rsidRPr="0054775B" w:rsidRDefault="00214B27" w:rsidP="00FE1604">
            <w:pPr>
              <w:pStyle w:val="2024TABLETEXT"/>
              <w:framePr w:hSpace="0" w:wrap="auto" w:vAnchor="margin" w:yAlign="inline"/>
              <w:suppressOverlap w:val="0"/>
            </w:pPr>
            <w:r w:rsidRPr="0054775B">
              <w:t>Magnesium</w:t>
            </w:r>
          </w:p>
        </w:tc>
        <w:tc>
          <w:tcPr>
            <w:tcW w:w="2127"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51E92699" w14:textId="035C6962" w:rsidR="00214B27" w:rsidRPr="0054775B" w:rsidRDefault="00214B27" w:rsidP="00FE1604">
            <w:pPr>
              <w:pStyle w:val="2024TABLETEXT"/>
              <w:framePr w:hSpace="0" w:wrap="auto" w:vAnchor="margin" w:yAlign="inline"/>
              <w:suppressOverlap w:val="0"/>
            </w:pPr>
            <w:r w:rsidRPr="0054775B">
              <w:t>Omega-3</w:t>
            </w:r>
            <w:r w:rsidR="001D0020">
              <w:t xml:space="preserve"> fatty acids</w:t>
            </w:r>
          </w:p>
        </w:tc>
        <w:tc>
          <w:tcPr>
            <w:tcW w:w="2164"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787AA2AE" w14:textId="77777777" w:rsidR="00214B27" w:rsidRPr="0054775B" w:rsidRDefault="00214B27" w:rsidP="00FE1604">
            <w:pPr>
              <w:pStyle w:val="2024TABLETEXT"/>
              <w:framePr w:hSpace="0" w:wrap="auto" w:vAnchor="margin" w:yAlign="inline"/>
              <w:suppressOverlap w:val="0"/>
            </w:pPr>
            <w:r w:rsidRPr="0054775B">
              <w:t>Vitamin D</w:t>
            </w:r>
          </w:p>
        </w:tc>
      </w:tr>
      <w:tr w:rsidR="00994A9C" w:rsidRPr="0054775B" w14:paraId="2E9DFF74" w14:textId="77777777" w:rsidTr="000150BF">
        <w:trPr>
          <w:trHeight w:val="774"/>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4A7D165" w14:textId="77777777" w:rsidR="00214B27" w:rsidRPr="0054775B" w:rsidRDefault="00214B27" w:rsidP="00FE1604">
            <w:pPr>
              <w:pStyle w:val="2024TABLETEXT"/>
              <w:framePr w:hSpace="0" w:wrap="auto" w:vAnchor="margin" w:yAlign="inline"/>
              <w:suppressOverlap w:val="0"/>
            </w:pPr>
            <w:r w:rsidRPr="0054775B">
              <w:t>12</w:t>
            </w:r>
          </w:p>
        </w:tc>
        <w:tc>
          <w:tcPr>
            <w:tcW w:w="2156" w:type="dxa"/>
            <w:tcBorders>
              <w:top w:val="single" w:sz="4" w:space="0" w:color="auto"/>
              <w:left w:val="nil"/>
              <w:bottom w:val="single" w:sz="4" w:space="0" w:color="auto"/>
              <w:right w:val="single" w:sz="4" w:space="0" w:color="auto"/>
            </w:tcBorders>
            <w:shd w:val="clear" w:color="auto" w:fill="auto"/>
            <w:vAlign w:val="center"/>
            <w:hideMark/>
          </w:tcPr>
          <w:p w14:paraId="7518DA78" w14:textId="77777777" w:rsidR="00214B27" w:rsidRPr="0054775B" w:rsidRDefault="00214B27" w:rsidP="00FE1604">
            <w:pPr>
              <w:pStyle w:val="2024TABLETEXT"/>
              <w:framePr w:hSpace="0" w:wrap="auto" w:vAnchor="margin" w:yAlign="inline"/>
              <w:suppressOverlap w:val="0"/>
            </w:pPr>
            <w:r w:rsidRPr="0054775B">
              <w:t>Hypertension</w:t>
            </w:r>
          </w:p>
        </w:tc>
        <w:tc>
          <w:tcPr>
            <w:tcW w:w="2098" w:type="dxa"/>
            <w:tcBorders>
              <w:top w:val="single" w:sz="4" w:space="0" w:color="auto"/>
              <w:left w:val="nil"/>
              <w:bottom w:val="single" w:sz="4" w:space="0" w:color="auto"/>
              <w:right w:val="single" w:sz="4" w:space="0" w:color="auto"/>
            </w:tcBorders>
            <w:shd w:val="clear" w:color="000000" w:fill="80C1DB"/>
            <w:vAlign w:val="center"/>
            <w:hideMark/>
          </w:tcPr>
          <w:p w14:paraId="55821212" w14:textId="76475AE2" w:rsidR="00214B27" w:rsidRPr="0054775B" w:rsidRDefault="00214B27" w:rsidP="00FE1604">
            <w:pPr>
              <w:pStyle w:val="2024TABLETEXT"/>
              <w:framePr w:hSpace="0" w:wrap="auto" w:vAnchor="margin" w:yAlign="inline"/>
              <w:suppressOverlap w:val="0"/>
            </w:pPr>
            <w:r w:rsidRPr="0054775B">
              <w:t>Omega-3</w:t>
            </w:r>
            <w:r w:rsidR="001D0020">
              <w:t xml:space="preserve"> fatty acids</w:t>
            </w:r>
          </w:p>
        </w:tc>
        <w:tc>
          <w:tcPr>
            <w:tcW w:w="2127"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79FC2CB4" w14:textId="77777777" w:rsidR="00214B27" w:rsidRPr="0054775B" w:rsidRDefault="00214B27" w:rsidP="00FE1604">
            <w:pPr>
              <w:pStyle w:val="2024TABLETEXT"/>
              <w:framePr w:hSpace="0" w:wrap="auto" w:vAnchor="margin" w:yAlign="inline"/>
              <w:suppressOverlap w:val="0"/>
            </w:pPr>
            <w:r w:rsidRPr="0054775B">
              <w:t>Antioxidants (specifically: CoQ10 and alpha-lipoic acid)</w:t>
            </w:r>
          </w:p>
        </w:tc>
        <w:tc>
          <w:tcPr>
            <w:tcW w:w="2164"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5A4BF25F" w14:textId="77777777" w:rsidR="00214B27" w:rsidRPr="0054775B" w:rsidRDefault="00214B27" w:rsidP="00FE1604">
            <w:pPr>
              <w:pStyle w:val="2024TABLETEXT"/>
              <w:framePr w:hSpace="0" w:wrap="auto" w:vAnchor="margin" w:yAlign="inline"/>
              <w:suppressOverlap w:val="0"/>
            </w:pPr>
            <w:r w:rsidRPr="0054775B">
              <w:t>Magnesium</w:t>
            </w:r>
          </w:p>
        </w:tc>
      </w:tr>
      <w:tr w:rsidR="00994A9C" w:rsidRPr="0054775B" w14:paraId="2CE5E947" w14:textId="77777777" w:rsidTr="000150BF">
        <w:trPr>
          <w:trHeight w:val="227"/>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E5DCFEA" w14:textId="77777777" w:rsidR="00214B27" w:rsidRPr="0054775B" w:rsidRDefault="00214B27" w:rsidP="00FE1604">
            <w:pPr>
              <w:pStyle w:val="2024TABLETEXT"/>
              <w:framePr w:hSpace="0" w:wrap="auto" w:vAnchor="margin" w:yAlign="inline"/>
              <w:suppressOverlap w:val="0"/>
            </w:pPr>
            <w:r w:rsidRPr="0054775B">
              <w:t>13</w:t>
            </w:r>
          </w:p>
        </w:tc>
        <w:tc>
          <w:tcPr>
            <w:tcW w:w="2156" w:type="dxa"/>
            <w:tcBorders>
              <w:top w:val="nil"/>
              <w:left w:val="nil"/>
              <w:bottom w:val="single" w:sz="4" w:space="0" w:color="auto"/>
              <w:right w:val="single" w:sz="4" w:space="0" w:color="auto"/>
            </w:tcBorders>
            <w:shd w:val="clear" w:color="auto" w:fill="auto"/>
            <w:vAlign w:val="center"/>
            <w:hideMark/>
          </w:tcPr>
          <w:p w14:paraId="6FFE4ED9" w14:textId="77777777" w:rsidR="00214B27" w:rsidRPr="0054775B" w:rsidRDefault="00214B27" w:rsidP="00FE1604">
            <w:pPr>
              <w:pStyle w:val="2024TABLETEXT"/>
              <w:framePr w:hSpace="0" w:wrap="auto" w:vAnchor="margin" w:yAlign="inline"/>
              <w:suppressOverlap w:val="0"/>
            </w:pPr>
            <w:r w:rsidRPr="0054775B">
              <w:t>Fibromyalgia</w:t>
            </w:r>
          </w:p>
        </w:tc>
        <w:tc>
          <w:tcPr>
            <w:tcW w:w="2098" w:type="dxa"/>
            <w:tcBorders>
              <w:top w:val="nil"/>
              <w:left w:val="nil"/>
              <w:bottom w:val="single" w:sz="4" w:space="0" w:color="auto"/>
              <w:right w:val="single" w:sz="4" w:space="0" w:color="auto"/>
            </w:tcBorders>
            <w:shd w:val="clear" w:color="000000" w:fill="80C1DB"/>
            <w:vAlign w:val="center"/>
            <w:hideMark/>
          </w:tcPr>
          <w:p w14:paraId="0A23CB01" w14:textId="77777777" w:rsidR="00214B27" w:rsidRPr="0054775B" w:rsidRDefault="00214B27" w:rsidP="00FE1604">
            <w:pPr>
              <w:pStyle w:val="2024TABLETEXT"/>
              <w:framePr w:hSpace="0" w:wrap="auto" w:vAnchor="margin" w:yAlign="inline"/>
              <w:suppressOverlap w:val="0"/>
            </w:pPr>
            <w:r w:rsidRPr="0054775B">
              <w:t>Magnesium</w:t>
            </w:r>
          </w:p>
        </w:tc>
        <w:tc>
          <w:tcPr>
            <w:tcW w:w="2127" w:type="dxa"/>
            <w:tcBorders>
              <w:top w:val="nil"/>
              <w:left w:val="nil"/>
              <w:bottom w:val="single" w:sz="4" w:space="0" w:color="auto"/>
              <w:right w:val="single" w:sz="4" w:space="0" w:color="auto"/>
            </w:tcBorders>
            <w:shd w:val="clear" w:color="auto" w:fill="D9D9D9" w:themeFill="background1" w:themeFillShade="D9"/>
            <w:vAlign w:val="center"/>
            <w:hideMark/>
          </w:tcPr>
          <w:p w14:paraId="1A2F95B2" w14:textId="61C119D2" w:rsidR="00214B27" w:rsidRPr="0054775B" w:rsidRDefault="00214B27" w:rsidP="00FE1604">
            <w:pPr>
              <w:pStyle w:val="2024TABLETEXT"/>
              <w:framePr w:hSpace="0" w:wrap="auto" w:vAnchor="margin" w:yAlign="inline"/>
              <w:suppressOverlap w:val="0"/>
            </w:pPr>
            <w:r w:rsidRPr="0054775B">
              <w:t>Omega-3</w:t>
            </w:r>
            <w:r w:rsidR="001D0020">
              <w:t xml:space="preserve"> fatty acids</w:t>
            </w:r>
          </w:p>
        </w:tc>
        <w:tc>
          <w:tcPr>
            <w:tcW w:w="2164" w:type="dxa"/>
            <w:tcBorders>
              <w:top w:val="nil"/>
              <w:left w:val="nil"/>
              <w:bottom w:val="single" w:sz="4" w:space="0" w:color="auto"/>
              <w:right w:val="single" w:sz="4" w:space="0" w:color="auto"/>
            </w:tcBorders>
            <w:shd w:val="clear" w:color="auto" w:fill="D9D9D9" w:themeFill="background1" w:themeFillShade="D9"/>
            <w:vAlign w:val="center"/>
            <w:hideMark/>
          </w:tcPr>
          <w:p w14:paraId="2E8E8736" w14:textId="77777777" w:rsidR="00214B27" w:rsidRPr="0054775B" w:rsidRDefault="00214B27" w:rsidP="00FE1604">
            <w:pPr>
              <w:pStyle w:val="2024TABLETEXT"/>
              <w:framePr w:hSpace="0" w:wrap="auto" w:vAnchor="margin" w:yAlign="inline"/>
              <w:suppressOverlap w:val="0"/>
            </w:pPr>
            <w:r w:rsidRPr="0054775B">
              <w:t>Vitamin D</w:t>
            </w:r>
          </w:p>
        </w:tc>
      </w:tr>
      <w:tr w:rsidR="00994A9C" w:rsidRPr="0054775B" w14:paraId="3B709822" w14:textId="77777777" w:rsidTr="000150BF">
        <w:trPr>
          <w:trHeight w:val="968"/>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B330749" w14:textId="77777777" w:rsidR="00214B27" w:rsidRPr="0054775B" w:rsidRDefault="00214B27" w:rsidP="00FE1604">
            <w:pPr>
              <w:pStyle w:val="2024TABLETEXT"/>
              <w:framePr w:hSpace="0" w:wrap="auto" w:vAnchor="margin" w:yAlign="inline"/>
              <w:suppressOverlap w:val="0"/>
            </w:pPr>
            <w:r w:rsidRPr="0054775B">
              <w:t>14</w:t>
            </w:r>
          </w:p>
        </w:tc>
        <w:tc>
          <w:tcPr>
            <w:tcW w:w="2156" w:type="dxa"/>
            <w:tcBorders>
              <w:top w:val="nil"/>
              <w:left w:val="nil"/>
              <w:bottom w:val="single" w:sz="4" w:space="0" w:color="auto"/>
              <w:right w:val="single" w:sz="4" w:space="0" w:color="auto"/>
            </w:tcBorders>
            <w:shd w:val="clear" w:color="auto" w:fill="auto"/>
            <w:vAlign w:val="center"/>
            <w:hideMark/>
          </w:tcPr>
          <w:p w14:paraId="3FAB41BA" w14:textId="77777777" w:rsidR="00214B27" w:rsidRPr="0054775B" w:rsidRDefault="00214B27" w:rsidP="00FE1604">
            <w:pPr>
              <w:pStyle w:val="2024TABLETEXT"/>
              <w:framePr w:hSpace="0" w:wrap="auto" w:vAnchor="margin" w:yAlign="inline"/>
              <w:suppressOverlap w:val="0"/>
            </w:pPr>
            <w:r w:rsidRPr="0054775B">
              <w:t>Recurrent infection/s (including urinary tract infections, cystitis, respiratory tract infection, otitis media in children, etc.)</w:t>
            </w:r>
          </w:p>
        </w:tc>
        <w:tc>
          <w:tcPr>
            <w:tcW w:w="2098" w:type="dxa"/>
            <w:tcBorders>
              <w:top w:val="nil"/>
              <w:left w:val="nil"/>
              <w:bottom w:val="single" w:sz="4" w:space="0" w:color="auto"/>
              <w:right w:val="single" w:sz="4" w:space="0" w:color="auto"/>
            </w:tcBorders>
            <w:shd w:val="clear" w:color="000000" w:fill="80C1DB"/>
            <w:vAlign w:val="center"/>
            <w:hideMark/>
          </w:tcPr>
          <w:p w14:paraId="28055DFB" w14:textId="77777777" w:rsidR="00214B27" w:rsidRPr="0054775B" w:rsidRDefault="00214B27" w:rsidP="00FE1604">
            <w:pPr>
              <w:pStyle w:val="2024TABLETEXT"/>
              <w:framePr w:hSpace="0" w:wrap="auto" w:vAnchor="margin" w:yAlign="inline"/>
              <w:suppressOverlap w:val="0"/>
            </w:pPr>
            <w:r w:rsidRPr="0054775B">
              <w:t>Zinc</w:t>
            </w:r>
          </w:p>
        </w:tc>
        <w:tc>
          <w:tcPr>
            <w:tcW w:w="2127" w:type="dxa"/>
            <w:tcBorders>
              <w:top w:val="nil"/>
              <w:left w:val="nil"/>
              <w:bottom w:val="single" w:sz="4" w:space="0" w:color="auto"/>
              <w:right w:val="single" w:sz="4" w:space="0" w:color="auto"/>
            </w:tcBorders>
            <w:shd w:val="clear" w:color="auto" w:fill="D9D9D9" w:themeFill="background1" w:themeFillShade="D9"/>
            <w:vAlign w:val="center"/>
            <w:hideMark/>
          </w:tcPr>
          <w:p w14:paraId="70F31EC0" w14:textId="77777777" w:rsidR="00214B27" w:rsidRPr="0054775B" w:rsidRDefault="00214B27" w:rsidP="00FE1604">
            <w:pPr>
              <w:pStyle w:val="2024TABLETEXT"/>
              <w:framePr w:hSpace="0" w:wrap="auto" w:vAnchor="margin" w:yAlign="inline"/>
              <w:suppressOverlap w:val="0"/>
            </w:pPr>
            <w:r w:rsidRPr="0054775B">
              <w:t>Prebiotics (including beta-glucan, guar gum and others listed on the TGA list)</w:t>
            </w:r>
          </w:p>
        </w:tc>
        <w:tc>
          <w:tcPr>
            <w:tcW w:w="2164" w:type="dxa"/>
            <w:tcBorders>
              <w:top w:val="nil"/>
              <w:left w:val="nil"/>
              <w:bottom w:val="single" w:sz="4" w:space="0" w:color="auto"/>
              <w:right w:val="single" w:sz="4" w:space="0" w:color="auto"/>
            </w:tcBorders>
            <w:shd w:val="clear" w:color="auto" w:fill="D9D9D9" w:themeFill="background1" w:themeFillShade="D9"/>
            <w:vAlign w:val="center"/>
            <w:hideMark/>
          </w:tcPr>
          <w:p w14:paraId="39EFB146" w14:textId="77777777" w:rsidR="00214B27" w:rsidRPr="0054775B" w:rsidRDefault="00214B27" w:rsidP="00FE1604">
            <w:pPr>
              <w:pStyle w:val="2024TABLETEXT"/>
              <w:framePr w:hSpace="0" w:wrap="auto" w:vAnchor="margin" w:yAlign="inline"/>
              <w:suppressOverlap w:val="0"/>
            </w:pPr>
            <w:r w:rsidRPr="0054775B">
              <w:t>Probiotics (see TGA list for specific strains)</w:t>
            </w:r>
          </w:p>
        </w:tc>
      </w:tr>
      <w:tr w:rsidR="00994A9C" w:rsidRPr="0054775B" w14:paraId="700289F6" w14:textId="77777777" w:rsidTr="000150BF">
        <w:trPr>
          <w:trHeight w:val="1162"/>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98911B0" w14:textId="77777777" w:rsidR="00214B27" w:rsidRPr="0054775B" w:rsidRDefault="00214B27" w:rsidP="00FE1604">
            <w:pPr>
              <w:pStyle w:val="2024TABLETEXT"/>
              <w:framePr w:hSpace="0" w:wrap="auto" w:vAnchor="margin" w:yAlign="inline"/>
              <w:suppressOverlap w:val="0"/>
            </w:pPr>
            <w:r w:rsidRPr="0054775B">
              <w:t>15</w:t>
            </w:r>
          </w:p>
        </w:tc>
        <w:tc>
          <w:tcPr>
            <w:tcW w:w="2156" w:type="dxa"/>
            <w:tcBorders>
              <w:top w:val="nil"/>
              <w:left w:val="nil"/>
              <w:bottom w:val="single" w:sz="4" w:space="0" w:color="auto"/>
              <w:right w:val="single" w:sz="4" w:space="0" w:color="auto"/>
            </w:tcBorders>
            <w:shd w:val="clear" w:color="auto" w:fill="auto"/>
            <w:vAlign w:val="center"/>
            <w:hideMark/>
          </w:tcPr>
          <w:p w14:paraId="4A7875C3" w14:textId="77777777" w:rsidR="00214B27" w:rsidRPr="0054775B" w:rsidRDefault="00214B27" w:rsidP="00FE1604">
            <w:pPr>
              <w:pStyle w:val="2024TABLETEXT"/>
              <w:framePr w:hSpace="0" w:wrap="auto" w:vAnchor="margin" w:yAlign="inline"/>
              <w:suppressOverlap w:val="0"/>
            </w:pPr>
            <w:r w:rsidRPr="0054775B">
              <w:t>Diabetes (Type lI) (including metabolic syndrome)</w:t>
            </w:r>
          </w:p>
        </w:tc>
        <w:tc>
          <w:tcPr>
            <w:tcW w:w="2098" w:type="dxa"/>
            <w:tcBorders>
              <w:top w:val="nil"/>
              <w:left w:val="nil"/>
              <w:bottom w:val="single" w:sz="4" w:space="0" w:color="auto"/>
              <w:right w:val="single" w:sz="4" w:space="0" w:color="auto"/>
            </w:tcBorders>
            <w:shd w:val="clear" w:color="000000" w:fill="80C1DB"/>
            <w:vAlign w:val="center"/>
            <w:hideMark/>
          </w:tcPr>
          <w:p w14:paraId="0A4A981A" w14:textId="77777777" w:rsidR="00214B27" w:rsidRPr="0054775B" w:rsidRDefault="00214B27" w:rsidP="00FE1604">
            <w:pPr>
              <w:pStyle w:val="2024TABLETEXT"/>
              <w:framePr w:hSpace="0" w:wrap="auto" w:vAnchor="margin" w:yAlign="inline"/>
              <w:suppressOverlap w:val="0"/>
            </w:pPr>
            <w:r w:rsidRPr="0054775B">
              <w:t>Antioxidants (specifically: CoQ10 and alpha-lipoic acid)</w:t>
            </w:r>
          </w:p>
        </w:tc>
        <w:tc>
          <w:tcPr>
            <w:tcW w:w="2127" w:type="dxa"/>
            <w:tcBorders>
              <w:top w:val="nil"/>
              <w:left w:val="nil"/>
              <w:bottom w:val="single" w:sz="4" w:space="0" w:color="auto"/>
              <w:right w:val="single" w:sz="4" w:space="0" w:color="auto"/>
            </w:tcBorders>
            <w:shd w:val="clear" w:color="auto" w:fill="D9D9D9" w:themeFill="background1" w:themeFillShade="D9"/>
            <w:vAlign w:val="center"/>
            <w:hideMark/>
          </w:tcPr>
          <w:p w14:paraId="6AB9E440" w14:textId="77777777" w:rsidR="00214B27" w:rsidRPr="0054775B" w:rsidRDefault="00214B27" w:rsidP="00FE1604">
            <w:pPr>
              <w:pStyle w:val="2024TABLETEXT"/>
              <w:framePr w:hSpace="0" w:wrap="auto" w:vAnchor="margin" w:yAlign="inline"/>
              <w:suppressOverlap w:val="0"/>
            </w:pPr>
            <w:r w:rsidRPr="0054775B">
              <w:t>Chromium (specifically: chromium picolinate, chromium enriched brewers’ yeast)</w:t>
            </w:r>
          </w:p>
        </w:tc>
        <w:tc>
          <w:tcPr>
            <w:tcW w:w="2164" w:type="dxa"/>
            <w:tcBorders>
              <w:top w:val="nil"/>
              <w:left w:val="nil"/>
              <w:bottom w:val="single" w:sz="4" w:space="0" w:color="auto"/>
              <w:right w:val="single" w:sz="4" w:space="0" w:color="auto"/>
            </w:tcBorders>
            <w:shd w:val="clear" w:color="auto" w:fill="D9D9D9" w:themeFill="background1" w:themeFillShade="D9"/>
            <w:vAlign w:val="center"/>
            <w:hideMark/>
          </w:tcPr>
          <w:p w14:paraId="78765E09" w14:textId="77777777" w:rsidR="00214B27" w:rsidRPr="0054775B" w:rsidRDefault="00214B27" w:rsidP="00FE1604">
            <w:pPr>
              <w:pStyle w:val="2024TABLETEXT"/>
              <w:framePr w:hSpace="0" w:wrap="auto" w:vAnchor="margin" w:yAlign="inline"/>
              <w:suppressOverlap w:val="0"/>
            </w:pPr>
            <w:r w:rsidRPr="0054775B">
              <w:t>Inositol</w:t>
            </w:r>
          </w:p>
        </w:tc>
      </w:tr>
    </w:tbl>
    <w:p w14:paraId="5AEC8B8B" w14:textId="55CDBFEB" w:rsidR="0027287C" w:rsidRPr="0054775B" w:rsidRDefault="00214B27" w:rsidP="009760CB">
      <w:pPr>
        <w:pStyle w:val="2024TABLEFOOTER"/>
      </w:pPr>
      <w:r w:rsidRPr="0054775B">
        <w:t>Note: Glutathione, Vitamin B12 (including cyanocobalamin and methylcobalamin) and Vitamin C were also considered but were not identified as a priority for any of the target populations/conditions.</w:t>
      </w:r>
    </w:p>
    <w:p w14:paraId="355A9BD8" w14:textId="77777777" w:rsidR="00903FA8" w:rsidRDefault="00903FA8" w:rsidP="009760CB">
      <w:pPr>
        <w:pStyle w:val="2024TABLEFOOTER"/>
      </w:pPr>
    </w:p>
    <w:p w14:paraId="58C099F4" w14:textId="77777777" w:rsidR="00903FA8" w:rsidRDefault="00903FA8" w:rsidP="009760CB">
      <w:pPr>
        <w:pStyle w:val="2024TABLEFOOTER"/>
      </w:pPr>
    </w:p>
    <w:p w14:paraId="4AB1B155" w14:textId="77777777" w:rsidR="00903FA8" w:rsidRDefault="00903FA8" w:rsidP="009760CB">
      <w:pPr>
        <w:pStyle w:val="2024TABLEFOOTER"/>
      </w:pPr>
    </w:p>
    <w:p w14:paraId="1D567C31" w14:textId="77777777" w:rsidR="00903FA8" w:rsidRDefault="00903FA8" w:rsidP="009760CB">
      <w:pPr>
        <w:pStyle w:val="2024TABLEFOOTER"/>
      </w:pPr>
    </w:p>
    <w:p w14:paraId="2541C9DF" w14:textId="77777777" w:rsidR="00903FA8" w:rsidRDefault="00903FA8" w:rsidP="009760CB">
      <w:pPr>
        <w:pStyle w:val="2024TABLEFOOTER"/>
      </w:pPr>
    </w:p>
    <w:p w14:paraId="2020D0BF" w14:textId="77777777" w:rsidR="00903FA8" w:rsidRDefault="00903FA8" w:rsidP="009760CB">
      <w:pPr>
        <w:pStyle w:val="2024TABLEFOOTER"/>
      </w:pPr>
    </w:p>
    <w:p w14:paraId="25B76B28" w14:textId="77777777" w:rsidR="00903FA8" w:rsidRDefault="00903FA8" w:rsidP="009760CB">
      <w:pPr>
        <w:pStyle w:val="2024TABLEFOOTER"/>
      </w:pPr>
    </w:p>
    <w:p w14:paraId="29F3D524" w14:textId="1F1374D6" w:rsidR="008771B4" w:rsidRDefault="008771B4">
      <w:pPr>
        <w:spacing w:before="0" w:after="160" w:line="259" w:lineRule="auto"/>
        <w:rPr>
          <w:rFonts w:eastAsia="Calibri"/>
          <w:sz w:val="16"/>
          <w:szCs w:val="21"/>
          <w:lang w:eastAsia="en-AU"/>
        </w:rPr>
      </w:pPr>
      <w:r>
        <w:br w:type="page"/>
      </w:r>
    </w:p>
    <w:p w14:paraId="2BB9C136" w14:textId="4B7C4A72" w:rsidR="00A24D67" w:rsidRPr="0054775B" w:rsidRDefault="00E74912" w:rsidP="00E74912">
      <w:pPr>
        <w:pStyle w:val="2024HEADER1"/>
      </w:pPr>
      <w:bookmarkStart w:id="50" w:name="_Toc179379614"/>
      <w:bookmarkEnd w:id="45"/>
      <w:bookmarkEnd w:id="46"/>
      <w:r w:rsidRPr="0054775B">
        <w:lastRenderedPageBreak/>
        <w:t>Methods</w:t>
      </w:r>
      <w:bookmarkEnd w:id="50"/>
    </w:p>
    <w:p w14:paraId="2BF809C4" w14:textId="6A4D2C80" w:rsidR="00A400D1" w:rsidRDefault="00851EDF" w:rsidP="009E6F7F">
      <w:r w:rsidRPr="0054775B">
        <w:t xml:space="preserve">The methodologies for this </w:t>
      </w:r>
      <w:r w:rsidR="00912F03" w:rsidRPr="0054775B">
        <w:t>overview</w:t>
      </w:r>
      <w:r w:rsidRPr="0054775B">
        <w:t xml:space="preserve"> are based on those reported in the Cochrane Handbook Chapter V: </w:t>
      </w:r>
      <w:r w:rsidR="00912F03" w:rsidRPr="0054775B">
        <w:t>overview</w:t>
      </w:r>
      <w:r w:rsidRPr="0054775B">
        <w:t xml:space="preserve">s of Reviews </w:t>
      </w:r>
      <w:r w:rsidR="009C18E0" w:rsidRPr="0054775B">
        <w:rPr>
          <w:noProof/>
        </w:rPr>
        <w:t>(9)</w:t>
      </w:r>
      <w:r w:rsidRPr="0054775B">
        <w:t xml:space="preserve"> and the Preferred Reporting Items for </w:t>
      </w:r>
      <w:r w:rsidR="00932653">
        <w:t>O</w:t>
      </w:r>
      <w:r w:rsidR="00932653" w:rsidRPr="0054775B">
        <w:t xml:space="preserve">verviews </w:t>
      </w:r>
      <w:r w:rsidRPr="0054775B">
        <w:t xml:space="preserve">of Reviews (PRIOR) checklist </w:t>
      </w:r>
      <w:r w:rsidR="009C18E0" w:rsidRPr="0054775B">
        <w:rPr>
          <w:noProof/>
        </w:rPr>
        <w:t>(10)</w:t>
      </w:r>
      <w:r w:rsidRPr="0054775B">
        <w:t xml:space="preserve">. An </w:t>
      </w:r>
      <w:r w:rsidR="00912F03" w:rsidRPr="0054775B">
        <w:t>overview</w:t>
      </w:r>
      <w:r w:rsidRPr="0054775B">
        <w:t xml:space="preserve"> of </w:t>
      </w:r>
      <w:r w:rsidR="006651F6" w:rsidRPr="0054775B">
        <w:t>r</w:t>
      </w:r>
      <w:r w:rsidRPr="0054775B">
        <w:t xml:space="preserve">eviews was selected as the most appropriate methodology due to the likelihood of sufficient systematic reviews being available to cover the broad range of populations, interventions, and outcomes required to answer the research question. This was confirmed by </w:t>
      </w:r>
      <w:r w:rsidR="00EE36E6">
        <w:t>an</w:t>
      </w:r>
      <w:r w:rsidRPr="0054775B">
        <w:t xml:space="preserve"> initial scoping review.</w:t>
      </w:r>
    </w:p>
    <w:p w14:paraId="1932A416" w14:textId="77777777" w:rsidR="00390672" w:rsidRPr="0054775B" w:rsidRDefault="00390672" w:rsidP="00390672">
      <w:pPr>
        <w:spacing w:before="120" w:after="120"/>
      </w:pPr>
      <w:r>
        <w:t>T</w:t>
      </w:r>
      <w:r w:rsidRPr="0054775B">
        <w:t xml:space="preserve">he methodology was pre-determined and endorsed by the NHMRC (registered as a protocol (PROSPERO 2023 CRD42023410906). Any deviations from, or clarifications to, the original protocol are presented in Appendix </w:t>
      </w:r>
      <w:r>
        <w:t>G</w:t>
      </w:r>
      <w:r w:rsidRPr="0054775B">
        <w:t>. A full description of the overview methods is provided in Appendix A</w:t>
      </w:r>
      <w:r>
        <w:t xml:space="preserve"> and B:</w:t>
      </w:r>
    </w:p>
    <w:p w14:paraId="46CDAC0B" w14:textId="77777777" w:rsidR="00390672" w:rsidRPr="00616090" w:rsidRDefault="00390672" w:rsidP="00390672">
      <w:pPr>
        <w:pStyle w:val="Bullet0"/>
        <w:rPr>
          <w:rFonts w:ascii="Aptos" w:hAnsi="Aptos"/>
          <w:sz w:val="22"/>
          <w:szCs w:val="22"/>
        </w:rPr>
      </w:pPr>
      <w:r w:rsidRPr="00616090">
        <w:rPr>
          <w:rFonts w:ascii="Aptos" w:hAnsi="Aptos"/>
          <w:sz w:val="22"/>
          <w:szCs w:val="22"/>
        </w:rPr>
        <w:t>Appendix A1 search methods</w:t>
      </w:r>
    </w:p>
    <w:p w14:paraId="5B4E09D8" w14:textId="77777777" w:rsidR="00390672" w:rsidRPr="00616090" w:rsidRDefault="00390672" w:rsidP="00390672">
      <w:pPr>
        <w:pStyle w:val="Bullet0"/>
        <w:rPr>
          <w:rFonts w:ascii="Aptos" w:hAnsi="Aptos"/>
          <w:sz w:val="22"/>
          <w:szCs w:val="22"/>
        </w:rPr>
      </w:pPr>
      <w:r w:rsidRPr="00616090">
        <w:rPr>
          <w:rFonts w:ascii="Aptos" w:hAnsi="Aptos"/>
          <w:sz w:val="22"/>
          <w:szCs w:val="22"/>
        </w:rPr>
        <w:t>Appendix A2 search strategy</w:t>
      </w:r>
    </w:p>
    <w:p w14:paraId="5BDC9A3B" w14:textId="7507EDD1" w:rsidR="00390672" w:rsidRPr="00616090" w:rsidRDefault="00390672" w:rsidP="00390672">
      <w:pPr>
        <w:pStyle w:val="Bullet0"/>
        <w:rPr>
          <w:rFonts w:ascii="Aptos" w:hAnsi="Aptos"/>
          <w:sz w:val="22"/>
          <w:szCs w:val="22"/>
        </w:rPr>
      </w:pPr>
      <w:r w:rsidRPr="00616090">
        <w:rPr>
          <w:rFonts w:ascii="Aptos" w:hAnsi="Aptos"/>
          <w:sz w:val="22"/>
          <w:szCs w:val="22"/>
        </w:rPr>
        <w:t xml:space="preserve">Appendix A3 eligibility criteria (types of </w:t>
      </w:r>
      <w:r w:rsidR="00C67177">
        <w:rPr>
          <w:rFonts w:ascii="Aptos" w:hAnsi="Aptos"/>
          <w:sz w:val="22"/>
          <w:szCs w:val="22"/>
        </w:rPr>
        <w:t>review</w:t>
      </w:r>
      <w:r w:rsidRPr="00616090">
        <w:rPr>
          <w:rFonts w:ascii="Aptos" w:hAnsi="Aptos"/>
          <w:sz w:val="22"/>
          <w:szCs w:val="22"/>
        </w:rPr>
        <w:t>, types of participants, types of interventions, types of outcome measures)</w:t>
      </w:r>
    </w:p>
    <w:p w14:paraId="39159F74" w14:textId="77777777" w:rsidR="00390672" w:rsidRPr="00616090" w:rsidRDefault="00390672" w:rsidP="00390672">
      <w:pPr>
        <w:pStyle w:val="Bullet0"/>
        <w:rPr>
          <w:rFonts w:ascii="Aptos" w:hAnsi="Aptos"/>
          <w:sz w:val="22"/>
          <w:szCs w:val="22"/>
        </w:rPr>
      </w:pPr>
      <w:r w:rsidRPr="00616090">
        <w:rPr>
          <w:rFonts w:ascii="Aptos" w:hAnsi="Aptos"/>
          <w:sz w:val="22"/>
          <w:szCs w:val="22"/>
        </w:rPr>
        <w:t>Appendix A</w:t>
      </w:r>
      <w:r>
        <w:rPr>
          <w:rFonts w:ascii="Aptos" w:hAnsi="Aptos"/>
          <w:sz w:val="22"/>
          <w:szCs w:val="22"/>
        </w:rPr>
        <w:t>4</w:t>
      </w:r>
      <w:r w:rsidRPr="00616090">
        <w:rPr>
          <w:rFonts w:ascii="Aptos" w:hAnsi="Aptos"/>
          <w:sz w:val="22"/>
          <w:szCs w:val="22"/>
        </w:rPr>
        <w:t xml:space="preserve"> selection of studies (inclusion decisions)</w:t>
      </w:r>
    </w:p>
    <w:p w14:paraId="0D92ECB3" w14:textId="77777777" w:rsidR="00390672" w:rsidRPr="00616090" w:rsidRDefault="00390672" w:rsidP="00390672">
      <w:pPr>
        <w:pStyle w:val="Bullet0"/>
        <w:rPr>
          <w:rFonts w:ascii="Aptos" w:hAnsi="Aptos"/>
          <w:sz w:val="22"/>
          <w:szCs w:val="22"/>
        </w:rPr>
      </w:pPr>
      <w:r w:rsidRPr="00616090">
        <w:rPr>
          <w:rFonts w:ascii="Aptos" w:hAnsi="Aptos"/>
          <w:sz w:val="22"/>
          <w:szCs w:val="22"/>
        </w:rPr>
        <w:t xml:space="preserve">Appendix B1 data </w:t>
      </w:r>
      <w:r>
        <w:rPr>
          <w:rFonts w:ascii="Aptos" w:hAnsi="Aptos"/>
          <w:sz w:val="22"/>
          <w:szCs w:val="22"/>
        </w:rPr>
        <w:t>collection</w:t>
      </w:r>
      <w:r w:rsidRPr="00616090">
        <w:rPr>
          <w:rFonts w:ascii="Aptos" w:hAnsi="Aptos"/>
          <w:sz w:val="22"/>
          <w:szCs w:val="22"/>
        </w:rPr>
        <w:t xml:space="preserve"> </w:t>
      </w:r>
    </w:p>
    <w:p w14:paraId="588F5469" w14:textId="77777777" w:rsidR="00390672" w:rsidRPr="00616090" w:rsidRDefault="00390672" w:rsidP="00390672">
      <w:pPr>
        <w:pStyle w:val="Bullet0"/>
        <w:rPr>
          <w:rFonts w:ascii="Aptos" w:hAnsi="Aptos"/>
          <w:sz w:val="22"/>
          <w:szCs w:val="22"/>
        </w:rPr>
      </w:pPr>
      <w:r w:rsidRPr="00616090">
        <w:rPr>
          <w:rFonts w:ascii="Aptos" w:hAnsi="Aptos"/>
          <w:sz w:val="22"/>
          <w:szCs w:val="22"/>
        </w:rPr>
        <w:t>Appendix B2 data analysis and synthesis</w:t>
      </w:r>
    </w:p>
    <w:p w14:paraId="0260880C" w14:textId="3817C7AC" w:rsidR="00644167" w:rsidRPr="00616090" w:rsidRDefault="00390672" w:rsidP="00390672">
      <w:pPr>
        <w:pStyle w:val="Bullet0"/>
        <w:rPr>
          <w:rFonts w:ascii="Aptos" w:hAnsi="Aptos"/>
          <w:sz w:val="22"/>
          <w:szCs w:val="22"/>
        </w:rPr>
      </w:pPr>
      <w:r w:rsidRPr="00616090">
        <w:rPr>
          <w:rFonts w:ascii="Aptos" w:hAnsi="Aptos"/>
          <w:sz w:val="22"/>
          <w:szCs w:val="22"/>
        </w:rPr>
        <w:t xml:space="preserve">Appendix B3 risk of bias </w:t>
      </w:r>
      <w:r>
        <w:rPr>
          <w:rFonts w:ascii="Aptos" w:hAnsi="Aptos"/>
          <w:sz w:val="22"/>
          <w:szCs w:val="22"/>
        </w:rPr>
        <w:t>of evidence in included reviews</w:t>
      </w:r>
      <w:r w:rsidRPr="00616090">
        <w:rPr>
          <w:rFonts w:ascii="Aptos" w:hAnsi="Aptos"/>
          <w:sz w:val="22"/>
          <w:szCs w:val="22"/>
        </w:rPr>
        <w:t xml:space="preserve"> </w:t>
      </w:r>
    </w:p>
    <w:p w14:paraId="4C61B9B3" w14:textId="28A8552E" w:rsidR="00390672" w:rsidRPr="0054775B" w:rsidRDefault="00390672" w:rsidP="002D64E0">
      <w:pPr>
        <w:pStyle w:val="Bullet0"/>
      </w:pPr>
      <w:r w:rsidRPr="00616090">
        <w:rPr>
          <w:rFonts w:ascii="Aptos" w:hAnsi="Aptos"/>
          <w:sz w:val="22"/>
          <w:szCs w:val="22"/>
        </w:rPr>
        <w:t xml:space="preserve">Appendix B4 certainty of evidence </w:t>
      </w:r>
    </w:p>
    <w:p w14:paraId="1E478F84" w14:textId="77777777" w:rsidR="00390672" w:rsidRPr="00390672" w:rsidRDefault="00390672" w:rsidP="007C319D">
      <w:pPr>
        <w:rPr>
          <w:b/>
          <w:bCs/>
        </w:rPr>
      </w:pPr>
      <w:r w:rsidRPr="00390672">
        <w:rPr>
          <w:b/>
          <w:bCs/>
        </w:rPr>
        <w:t>Outcome prioritisation</w:t>
      </w:r>
    </w:p>
    <w:p w14:paraId="3129DC29" w14:textId="45B9378C" w:rsidR="007C319D" w:rsidRPr="0054775B" w:rsidRDefault="007C319D" w:rsidP="007C319D">
      <w:r w:rsidRPr="0054775B">
        <w:t>As part of the overview process, an outcome prioritisation exercise was conducted with NTREAP and NTWC to identify critical and important outcomes for each priority population-</w:t>
      </w:r>
      <w:r>
        <w:t>supplement pair</w:t>
      </w:r>
      <w:r w:rsidRPr="0054775B">
        <w:t>. The outcome prioritisation exercise methodology is detailed in Appendix A</w:t>
      </w:r>
      <w:r>
        <w:t>3.5</w:t>
      </w:r>
      <w:r w:rsidRPr="0054775B">
        <w:t xml:space="preserve">. </w:t>
      </w:r>
      <w:r>
        <w:t xml:space="preserve">The list of prioritised outcomes for each population-intervention is provided in each results section. </w:t>
      </w:r>
      <w:r w:rsidR="00390672">
        <w:t xml:space="preserve">Outcomes related to </w:t>
      </w:r>
      <w:r w:rsidR="00390672" w:rsidRPr="00390672">
        <w:rPr>
          <w:lang w:val="en-GB"/>
        </w:rPr>
        <w:t>safety, patient experience and cost effectiveness were excluded</w:t>
      </w:r>
      <w:r w:rsidR="00390672">
        <w:rPr>
          <w:lang w:val="en-GB"/>
        </w:rPr>
        <w:t xml:space="preserve"> as considered out of scope.</w:t>
      </w:r>
    </w:p>
    <w:p w14:paraId="5B07A7FD" w14:textId="172F9468" w:rsidR="00390672" w:rsidRPr="00390672" w:rsidRDefault="005A5BFC" w:rsidP="00CB3E16">
      <w:pPr>
        <w:spacing w:before="120" w:after="120"/>
        <w:rPr>
          <w:b/>
          <w:bCs/>
        </w:rPr>
      </w:pPr>
      <w:r>
        <w:rPr>
          <w:b/>
          <w:bCs/>
        </w:rPr>
        <w:t xml:space="preserve">Selection of </w:t>
      </w:r>
      <w:r w:rsidDel="00B9223E">
        <w:rPr>
          <w:b/>
          <w:bCs/>
        </w:rPr>
        <w:t>p</w:t>
      </w:r>
      <w:r w:rsidR="00390672" w:rsidRPr="00390672" w:rsidDel="00B9223E">
        <w:rPr>
          <w:b/>
          <w:bCs/>
        </w:rPr>
        <w:t xml:space="preserve">referred </w:t>
      </w:r>
      <w:r w:rsidR="00390672" w:rsidRPr="00390672">
        <w:rPr>
          <w:b/>
          <w:bCs/>
        </w:rPr>
        <w:t>reviews</w:t>
      </w:r>
    </w:p>
    <w:p w14:paraId="74AA4452" w14:textId="45DFB4F3" w:rsidR="006A40BC" w:rsidRDefault="00CA4B6C" w:rsidP="00CB3E16">
      <w:pPr>
        <w:spacing w:before="120" w:after="120"/>
      </w:pPr>
      <w:r w:rsidRPr="0054775B">
        <w:t xml:space="preserve">The </w:t>
      </w:r>
      <w:r w:rsidR="00912F03" w:rsidRPr="0054775B">
        <w:t>overview</w:t>
      </w:r>
      <w:r w:rsidRPr="0054775B">
        <w:t xml:space="preserve"> used a summarising approach, which invo</w:t>
      </w:r>
      <w:r w:rsidR="00E92021" w:rsidRPr="0054775B">
        <w:t xml:space="preserve">lves choosing and presenting the best available evidence for each </w:t>
      </w:r>
      <w:r w:rsidR="00DE28A3" w:rsidRPr="0054775B">
        <w:t>PICO</w:t>
      </w:r>
      <w:r w:rsidR="00E92021" w:rsidRPr="0054775B">
        <w:t xml:space="preserve"> (and not undertaking re-analysis) </w:t>
      </w:r>
      <w:r w:rsidR="00052CC7" w:rsidRPr="0054775B">
        <w:rPr>
          <w:noProof/>
        </w:rPr>
        <w:t>(9)</w:t>
      </w:r>
      <w:r w:rsidRPr="0054775B">
        <w:t>.</w:t>
      </w:r>
      <w:r w:rsidR="00136211" w:rsidRPr="0054775B">
        <w:t xml:space="preserve"> </w:t>
      </w:r>
      <w:r w:rsidR="007C319D">
        <w:t>Following outcome prioritisation and full-text assessment, t</w:t>
      </w:r>
      <w:r w:rsidR="00136211" w:rsidRPr="0054775B">
        <w:t xml:space="preserve">he </w:t>
      </w:r>
      <w:r w:rsidR="00266F59">
        <w:t xml:space="preserve">systematic review that provided the </w:t>
      </w:r>
      <w:r w:rsidR="00136211" w:rsidRPr="0054775B">
        <w:t xml:space="preserve">“best” evidence </w:t>
      </w:r>
      <w:r w:rsidR="00266F59">
        <w:t xml:space="preserve">for each PICO </w:t>
      </w:r>
      <w:r w:rsidR="00136211" w:rsidRPr="0054775B">
        <w:t xml:space="preserve">was determined </w:t>
      </w:r>
      <w:r w:rsidR="00DE28A3" w:rsidRPr="0054775B">
        <w:t xml:space="preserve">based on </w:t>
      </w:r>
      <w:r w:rsidR="00B4451D">
        <w:t>risk of bias</w:t>
      </w:r>
      <w:r w:rsidR="00DE28A3" w:rsidRPr="0054775B">
        <w:t xml:space="preserve"> </w:t>
      </w:r>
      <w:r w:rsidR="00A3316B">
        <w:t>of the review</w:t>
      </w:r>
      <w:r w:rsidR="00DE28A3" w:rsidRPr="0054775B">
        <w:t xml:space="preserve"> (</w:t>
      </w:r>
      <w:r w:rsidR="00A04B36">
        <w:t>assessed with</w:t>
      </w:r>
      <w:r w:rsidR="00DE28A3" w:rsidRPr="0054775B">
        <w:t xml:space="preserve"> ROBIS), comprehensive</w:t>
      </w:r>
      <w:r w:rsidR="001E74BD" w:rsidRPr="0054775B">
        <w:t xml:space="preserve">ness </w:t>
      </w:r>
      <w:r w:rsidR="00F15975">
        <w:t xml:space="preserve">(meta-analysis with the </w:t>
      </w:r>
      <w:r w:rsidR="00C5015C">
        <w:t xml:space="preserve">most studies/participants) </w:t>
      </w:r>
      <w:r w:rsidR="001E74BD" w:rsidRPr="0054775B">
        <w:t>and recency</w:t>
      </w:r>
      <w:r w:rsidR="00F43C30">
        <w:t xml:space="preserve"> (date review was published, date included primary studies</w:t>
      </w:r>
      <w:r w:rsidR="00F15975">
        <w:t xml:space="preserve"> were published</w:t>
      </w:r>
      <w:r w:rsidR="00F43C30">
        <w:t>)</w:t>
      </w:r>
      <w:r w:rsidR="001E74BD" w:rsidRPr="0054775B">
        <w:t xml:space="preserve"> </w:t>
      </w:r>
      <w:r w:rsidR="00052CC7" w:rsidRPr="0054775B">
        <w:rPr>
          <w:noProof/>
        </w:rPr>
        <w:t>(11)</w:t>
      </w:r>
      <w:r w:rsidR="00136211" w:rsidRPr="0054775B">
        <w:t xml:space="preserve">. </w:t>
      </w:r>
      <w:r w:rsidR="00D82C2C">
        <w:t xml:space="preserve">These are </w:t>
      </w:r>
      <w:r w:rsidR="00896561">
        <w:t>termed “preferred reviews”.</w:t>
      </w:r>
      <w:r w:rsidR="00136211" w:rsidRPr="0054775B">
        <w:t xml:space="preserve"> </w:t>
      </w:r>
      <w:r w:rsidR="00BA352F">
        <w:t>To be assessed</w:t>
      </w:r>
      <w:r w:rsidR="007C66D0">
        <w:t>,</w:t>
      </w:r>
      <w:r w:rsidR="00BA352F">
        <w:t xml:space="preserve"> </w:t>
      </w:r>
      <w:r w:rsidR="00037390">
        <w:t xml:space="preserve">reviews had to meet a minimum </w:t>
      </w:r>
      <w:r w:rsidR="00E10D7A">
        <w:t xml:space="preserve">criteria </w:t>
      </w:r>
      <w:r w:rsidR="007A45D4">
        <w:t>including</w:t>
      </w:r>
      <w:r w:rsidR="00FD3266">
        <w:t xml:space="preserve"> </w:t>
      </w:r>
      <w:r w:rsidR="00C40A24">
        <w:t xml:space="preserve">conducting a comprehensive search, </w:t>
      </w:r>
      <w:r w:rsidR="00D42C0B">
        <w:t xml:space="preserve">providing details of PICO and inclusion criteria, </w:t>
      </w:r>
      <w:r w:rsidR="00EC72FF">
        <w:t xml:space="preserve">and </w:t>
      </w:r>
      <w:r w:rsidR="007A45D4">
        <w:t xml:space="preserve">assess risk of bias (RoB) or </w:t>
      </w:r>
      <w:r w:rsidR="0059634E">
        <w:t>quality of primary studies</w:t>
      </w:r>
      <w:r w:rsidR="00EC72FF">
        <w:t xml:space="preserve"> (see Appendix A3.1 for details)</w:t>
      </w:r>
      <w:r w:rsidR="007C66D0">
        <w:t xml:space="preserve">. </w:t>
      </w:r>
    </w:p>
    <w:p w14:paraId="4CBD8923" w14:textId="57895256" w:rsidR="00E17214" w:rsidRDefault="00CB3E16" w:rsidP="00CB3E16">
      <w:pPr>
        <w:spacing w:before="120" w:after="120"/>
      </w:pPr>
      <w:r w:rsidRPr="0054775B">
        <w:t xml:space="preserve">Rather than implementing rigid decision rules for </w:t>
      </w:r>
      <w:r w:rsidR="00B807EB">
        <w:t>use of the criteria to select “preferred reviews”</w:t>
      </w:r>
      <w:r w:rsidRPr="0054775B">
        <w:t xml:space="preserve">, these were used as guiding principles for choosing the most relevant evidence (per advice from NTWC and NTREAP). </w:t>
      </w:r>
      <w:r w:rsidR="000D4DEA">
        <w:t xml:space="preserve">Further details are provided in Appendix </w:t>
      </w:r>
      <w:r w:rsidR="00A75E56">
        <w:t>A</w:t>
      </w:r>
      <w:r w:rsidR="000D4DEA">
        <w:t xml:space="preserve"> and </w:t>
      </w:r>
      <w:r w:rsidR="00A75E56">
        <w:t>B</w:t>
      </w:r>
      <w:r w:rsidR="000D4DEA">
        <w:t xml:space="preserve">. </w:t>
      </w:r>
      <w:r w:rsidRPr="0054775B">
        <w:t xml:space="preserve">Explanations for choosing the </w:t>
      </w:r>
      <w:r w:rsidR="00896561">
        <w:t>preferred</w:t>
      </w:r>
      <w:r w:rsidRPr="0054775B">
        <w:t xml:space="preserve"> review for each PICO are presented in the relevant results sections.</w:t>
      </w:r>
    </w:p>
    <w:p w14:paraId="22D8206B" w14:textId="77777777" w:rsidR="00E17214" w:rsidRDefault="00E17214" w:rsidP="00CB3E16">
      <w:pPr>
        <w:spacing w:before="120" w:after="120"/>
      </w:pPr>
    </w:p>
    <w:p w14:paraId="5C24E958" w14:textId="77777777" w:rsidR="00390672" w:rsidRPr="00390672" w:rsidRDefault="00390672" w:rsidP="00CB3E16">
      <w:pPr>
        <w:spacing w:before="120" w:after="120"/>
        <w:rPr>
          <w:b/>
          <w:bCs/>
        </w:rPr>
      </w:pPr>
      <w:r w:rsidRPr="00390672">
        <w:rPr>
          <w:b/>
          <w:bCs/>
        </w:rPr>
        <w:lastRenderedPageBreak/>
        <w:t>Data collection and analysis</w:t>
      </w:r>
    </w:p>
    <w:p w14:paraId="77608CEF" w14:textId="08F28D57" w:rsidR="0037199E" w:rsidRDefault="00D677FF" w:rsidP="00CB3E16">
      <w:pPr>
        <w:spacing w:before="120" w:after="120"/>
      </w:pPr>
      <w:r w:rsidRPr="00D677FF">
        <w:t xml:space="preserve">Results are presented </w:t>
      </w:r>
      <w:r w:rsidR="00D54687">
        <w:t xml:space="preserve">by population-supplement pairing, with </w:t>
      </w:r>
      <w:r w:rsidRPr="00D677FF">
        <w:t xml:space="preserve">separate </w:t>
      </w:r>
      <w:r w:rsidR="00D54687">
        <w:t>information</w:t>
      </w:r>
      <w:r w:rsidRPr="00D677FF">
        <w:t xml:space="preserve"> for populations “with condition” and “at risk of condition”. Separate comparisons are also presented </w:t>
      </w:r>
      <w:r w:rsidR="00D320DE">
        <w:t>for</w:t>
      </w:r>
      <w:r w:rsidR="00EE36E6">
        <w:t xml:space="preserve"> </w:t>
      </w:r>
      <w:r w:rsidRPr="00D677FF">
        <w:t>supplements delivered singularly or with a co-intervention.</w:t>
      </w:r>
      <w:r w:rsidR="0037199E">
        <w:t xml:space="preserve"> </w:t>
      </w:r>
    </w:p>
    <w:p w14:paraId="68F6B68C" w14:textId="1F1A72E2" w:rsidR="00480588" w:rsidRDefault="0037199E">
      <w:pPr>
        <w:spacing w:before="0" w:after="160" w:line="259" w:lineRule="auto"/>
        <w:rPr>
          <w:b/>
          <w:bCs/>
          <w:color w:val="C00000"/>
          <w:sz w:val="36"/>
          <w:szCs w:val="36"/>
        </w:rPr>
      </w:pPr>
      <w:r w:rsidRPr="00FC3540">
        <w:t>Summary of Findings tables were developed</w:t>
      </w:r>
      <w:r w:rsidR="00EE36E6" w:rsidRPr="00FC3540">
        <w:t>,</w:t>
      </w:r>
      <w:r w:rsidRPr="00FC3540">
        <w:t xml:space="preserve"> </w:t>
      </w:r>
      <w:r>
        <w:t xml:space="preserve">and results were reported </w:t>
      </w:r>
      <w:r w:rsidRPr="00FC3540">
        <w:t xml:space="preserve">for </w:t>
      </w:r>
      <w:r>
        <w:t xml:space="preserve">preferred reviews for </w:t>
      </w:r>
      <w:r w:rsidRPr="00FC3540">
        <w:t>outcomes rated as critical or important by the NTWC. Summary of Findings tables included up to 7 critical and important outcome domains prioritised by NTWC who were guided by the GRADE framework</w:t>
      </w:r>
      <w:r w:rsidR="00A77DBB">
        <w:t>.</w:t>
      </w:r>
      <w:r w:rsidR="00B5595B">
        <w:t xml:space="preserve"> Risk of bias for GRADE assessments were based on those completed by review authors and reported as part of reviews.</w:t>
      </w:r>
    </w:p>
    <w:p w14:paraId="6DEEC3E7" w14:textId="76D51E42" w:rsidR="00A24D67" w:rsidRPr="0054775B" w:rsidRDefault="00A24D67" w:rsidP="00703071">
      <w:pPr>
        <w:pStyle w:val="2024HEADER1"/>
      </w:pPr>
      <w:bookmarkStart w:id="51" w:name="_Toc172844398"/>
      <w:bookmarkStart w:id="52" w:name="_Toc111119277"/>
      <w:bookmarkStart w:id="53" w:name="_Toc179379615"/>
      <w:bookmarkEnd w:id="51"/>
      <w:r w:rsidRPr="0054775B">
        <w:t>Results</w:t>
      </w:r>
      <w:bookmarkEnd w:id="52"/>
      <w:bookmarkEnd w:id="53"/>
    </w:p>
    <w:p w14:paraId="59CDC9DF" w14:textId="468C8379" w:rsidR="00E95EF1" w:rsidRPr="0054775B" w:rsidRDefault="00E95EF1" w:rsidP="00F9201F">
      <w:pPr>
        <w:pStyle w:val="2024HEADER2"/>
      </w:pPr>
      <w:bookmarkStart w:id="54" w:name="_Toc179379616"/>
      <w:bookmarkStart w:id="55" w:name="_Toc111119278"/>
      <w:r w:rsidRPr="0054775B">
        <w:t>Anxiety</w:t>
      </w:r>
      <w:r w:rsidR="00E60E96" w:rsidRPr="0054775B">
        <w:t xml:space="preserve"> (including post-natal)</w:t>
      </w:r>
      <w:r w:rsidR="00325CEF" w:rsidRPr="0054775B">
        <w:t xml:space="preserve">, </w:t>
      </w:r>
      <w:r w:rsidR="00E60E96" w:rsidRPr="0054775B">
        <w:t>m</w:t>
      </w:r>
      <w:r w:rsidRPr="0054775B">
        <w:t>agnesium</w:t>
      </w:r>
      <w:bookmarkEnd w:id="54"/>
    </w:p>
    <w:p w14:paraId="4C39DE48" w14:textId="744B50B8" w:rsidR="00F513FE" w:rsidRPr="0054775B" w:rsidRDefault="00F513FE" w:rsidP="009E6F7F">
      <w:pPr>
        <w:pStyle w:val="2024HEADER3"/>
        <w:rPr>
          <w:rFonts w:ascii="Aptos" w:hAnsi="Aptos"/>
        </w:rPr>
      </w:pPr>
      <w:r w:rsidRPr="0054775B">
        <w:rPr>
          <w:rFonts w:ascii="Aptos" w:hAnsi="Aptos"/>
        </w:rPr>
        <w:t>Description of condition</w:t>
      </w:r>
    </w:p>
    <w:p w14:paraId="20EBBDE8" w14:textId="237BF740" w:rsidR="008A7BE5" w:rsidRPr="0054775B" w:rsidRDefault="008A7BE5" w:rsidP="009E6F7F">
      <w:r w:rsidRPr="0054775B">
        <w:t>Anxiety disorders are a class of mental health conditions characteri</w:t>
      </w:r>
      <w:r w:rsidR="005A11ED" w:rsidRPr="0054775B">
        <w:t>s</w:t>
      </w:r>
      <w:r w:rsidRPr="0054775B">
        <w:t xml:space="preserve">ed by excessive and persistent fear, worry, and apprehension that significantly disrupt an individual's daily functioning </w:t>
      </w:r>
      <w:r w:rsidR="00A61385">
        <w:rPr>
          <w:noProof/>
        </w:rPr>
        <w:t>(12, 13)</w:t>
      </w:r>
      <w:r w:rsidRPr="0054775B">
        <w:t xml:space="preserve">. While some level of anxiety </w:t>
      </w:r>
      <w:r w:rsidR="005A11ED" w:rsidRPr="0054775B">
        <w:t>experienced infrequently is normal</w:t>
      </w:r>
      <w:r w:rsidRPr="0054775B">
        <w:t>, anxiety disorders involve responses that extend beyond typical adaptive reactions</w:t>
      </w:r>
      <w:r w:rsidR="005A11ED" w:rsidRPr="0054775B">
        <w:t xml:space="preserve"> to stressors</w:t>
      </w:r>
      <w:r w:rsidRPr="0054775B">
        <w:t>.</w:t>
      </w:r>
      <w:r w:rsidR="00021790" w:rsidRPr="0054775B">
        <w:t xml:space="preserve"> </w:t>
      </w:r>
      <w:r w:rsidR="005A11ED" w:rsidRPr="0054775B">
        <w:t>S</w:t>
      </w:r>
      <w:r w:rsidRPr="0054775B">
        <w:t xml:space="preserve">ymptoms of anxiety disorders </w:t>
      </w:r>
      <w:r w:rsidR="005A11ED" w:rsidRPr="0054775B">
        <w:t>can be</w:t>
      </w:r>
      <w:r w:rsidRPr="0054775B">
        <w:t xml:space="preserve"> both psychological and physiological. Common psychological symptoms include persistent worry, restlessness, irritability, difficulty concentrating, and a sense of impending danger </w:t>
      </w:r>
      <w:r w:rsidR="00A61385">
        <w:rPr>
          <w:noProof/>
        </w:rPr>
        <w:t>(13, 14)</w:t>
      </w:r>
      <w:r w:rsidRPr="0054775B">
        <w:t>. Physiological symptoms may include increased heart rate, sweating, trembling, shortness of breath, and muscle tension. These symptoms can significantly impair daily life, affecting relationships, work or academic performance, and overall well-being.</w:t>
      </w:r>
    </w:p>
    <w:p w14:paraId="6698DD6E" w14:textId="1A25FBE8" w:rsidR="004A0CD2" w:rsidRPr="0054775B" w:rsidRDefault="004A0CD2" w:rsidP="009E6F7F">
      <w:r w:rsidRPr="0054775B">
        <w:t>Anxiety disorders are prevalent in Australia, representing the most common class of mental health conditions. Recent data suggests approximately 17%</w:t>
      </w:r>
      <w:r w:rsidR="00917D5F" w:rsidRPr="0054775B">
        <w:t xml:space="preserve"> of Australians have an anxiety disorder</w:t>
      </w:r>
      <w:r w:rsidR="004672E5" w:rsidRPr="0054775B">
        <w:t xml:space="preserve"> </w:t>
      </w:r>
      <w:r w:rsidR="00A61385">
        <w:rPr>
          <w:noProof/>
        </w:rPr>
        <w:t>(15)</w:t>
      </w:r>
      <w:r w:rsidR="00917D5F" w:rsidRPr="0054775B">
        <w:t>.</w:t>
      </w:r>
      <w:r w:rsidRPr="0054775B">
        <w:t xml:space="preserve"> Anxiety disorders </w:t>
      </w:r>
      <w:r w:rsidR="00741355" w:rsidRPr="0054775B">
        <w:t xml:space="preserve">also </w:t>
      </w:r>
      <w:r w:rsidRPr="0054775B">
        <w:t xml:space="preserve">frequently co-occur with other mental health conditions, particularly depression and substance use disorders </w:t>
      </w:r>
      <w:r w:rsidR="00A61385">
        <w:rPr>
          <w:noProof/>
        </w:rPr>
        <w:t>(12)</w:t>
      </w:r>
      <w:r w:rsidR="00A957C1" w:rsidRPr="0054775B">
        <w:t>.</w:t>
      </w:r>
    </w:p>
    <w:p w14:paraId="33D2B91B" w14:textId="481DED24" w:rsidR="008A7BE5" w:rsidRPr="0054775B" w:rsidRDefault="008A7BE5" w:rsidP="009E6F7F">
      <w:r w:rsidRPr="0054775B">
        <w:t>Mental health professionals diagnose anxiety disorders according to the criteria outlined in the Diagnostic and Statistical Manual of Mental Disorders</w:t>
      </w:r>
      <w:r w:rsidR="00CE4C3C" w:rsidRPr="0054775B">
        <w:t xml:space="preserve"> (current version is DSM-5)</w:t>
      </w:r>
      <w:r w:rsidR="00EE19B3" w:rsidRPr="0054775B">
        <w:t xml:space="preserve"> </w:t>
      </w:r>
      <w:r w:rsidR="00A61385">
        <w:rPr>
          <w:noProof/>
        </w:rPr>
        <w:t>(14)</w:t>
      </w:r>
      <w:r w:rsidRPr="0054775B">
        <w:t xml:space="preserve">. Specific diagnostic categories include </w:t>
      </w:r>
      <w:r w:rsidR="004A0CD2" w:rsidRPr="0054775B">
        <w:t>generali</w:t>
      </w:r>
      <w:r w:rsidR="000E65D3" w:rsidRPr="0054775B">
        <w:t>s</w:t>
      </w:r>
      <w:r w:rsidR="004A0CD2" w:rsidRPr="0054775B">
        <w:t>ed anxiety disorder (GAD), panic disorder, social anxiety disorder, and specific phobias</w:t>
      </w:r>
      <w:r w:rsidR="00DB2909" w:rsidRPr="0054775B">
        <w:t xml:space="preserve"> </w:t>
      </w:r>
      <w:r w:rsidR="00A61385">
        <w:rPr>
          <w:noProof/>
        </w:rPr>
        <w:t>(12, 14)</w:t>
      </w:r>
      <w:r w:rsidRPr="0054775B">
        <w:t xml:space="preserve">. Diagnosis involves a thorough clinical interview, medical history evaluation, and potentially the use of psychometric measures. Differential diagnosis is </w:t>
      </w:r>
      <w:r w:rsidR="004A0CD2" w:rsidRPr="0054775B">
        <w:t xml:space="preserve">also </w:t>
      </w:r>
      <w:r w:rsidRPr="0054775B">
        <w:t>crucial to exclude medical conditions that might mimic anxiety symptoms.</w:t>
      </w:r>
    </w:p>
    <w:p w14:paraId="5368EA81" w14:textId="113F06DD" w:rsidR="00F513FE" w:rsidRPr="0054775B" w:rsidRDefault="00F513FE" w:rsidP="009E6F7F">
      <w:pPr>
        <w:pStyle w:val="2024HEADER3"/>
        <w:rPr>
          <w:rFonts w:ascii="Aptos" w:hAnsi="Aptos"/>
        </w:rPr>
      </w:pPr>
      <w:r w:rsidRPr="0054775B">
        <w:rPr>
          <w:rFonts w:ascii="Aptos" w:hAnsi="Aptos"/>
        </w:rPr>
        <w:t>Description of the intervention</w:t>
      </w:r>
    </w:p>
    <w:p w14:paraId="2DFEBC1A" w14:textId="6A3B498C" w:rsidR="0032714B" w:rsidRPr="0054775B" w:rsidRDefault="00B55EAF" w:rsidP="009E6F7F">
      <w:r w:rsidRPr="0054775B">
        <w:t xml:space="preserve">Magnesium (often abbreviated as its chemical symbol: Mg) is </w:t>
      </w:r>
      <w:r w:rsidR="00D53081" w:rsidRPr="0054775B">
        <w:t xml:space="preserve">a naturally occurring mineral in the human body. </w:t>
      </w:r>
      <w:r w:rsidR="007410A9" w:rsidRPr="0054775B">
        <w:t>It</w:t>
      </w:r>
      <w:r w:rsidR="00536B4D" w:rsidRPr="0054775B">
        <w:t xml:space="preserve"> is an essential mineral playing numerous crucial roles in the human body, including enzymatic reactions, energy production, muscle function, and bone health </w:t>
      </w:r>
      <w:r w:rsidR="00A61385">
        <w:rPr>
          <w:noProof/>
        </w:rPr>
        <w:t>(16, 17)</w:t>
      </w:r>
      <w:r w:rsidR="00895093" w:rsidRPr="0054775B">
        <w:t xml:space="preserve">. </w:t>
      </w:r>
      <w:r w:rsidR="007410A9" w:rsidRPr="0054775B">
        <w:t xml:space="preserve">Recent evidence suggests that magnesium levels in the body may be associated with some health conditions, including Diabetes Mellitus (Type II), cardiovascular disease, osteoporosis, and migraines </w:t>
      </w:r>
      <w:r w:rsidR="00A61385">
        <w:rPr>
          <w:noProof/>
        </w:rPr>
        <w:t>(17)</w:t>
      </w:r>
      <w:r w:rsidR="007410A9" w:rsidRPr="0054775B">
        <w:t>.</w:t>
      </w:r>
    </w:p>
    <w:p w14:paraId="1C77C31A" w14:textId="23EA30B4" w:rsidR="00ED2DED" w:rsidRPr="0054775B" w:rsidRDefault="00ED2DED" w:rsidP="00ED2DED">
      <w:r w:rsidRPr="0054775B">
        <w:t xml:space="preserve">It is thought that Magnesium may </w:t>
      </w:r>
      <w:r w:rsidR="001909D9">
        <w:rPr>
          <w:lang w:val="en-GB"/>
        </w:rPr>
        <w:t>p</w:t>
      </w:r>
      <w:r w:rsidR="001909D9" w:rsidRPr="001909D9">
        <w:rPr>
          <w:lang w:val="en-GB"/>
        </w:rPr>
        <w:t xml:space="preserve">lay a role in lowering abnormal levels of </w:t>
      </w:r>
      <w:r w:rsidRPr="001909D9" w:rsidDel="001909D9">
        <w:rPr>
          <w:lang w:val="en-GB"/>
        </w:rPr>
        <w:t>cortisol</w:t>
      </w:r>
      <w:r w:rsidDel="001909D9">
        <w:rPr>
          <w:lang w:val="en-GB"/>
        </w:rPr>
        <w:t xml:space="preserve"> </w:t>
      </w:r>
      <w:r w:rsidRPr="0054775B">
        <w:t xml:space="preserve">and regulate neurotransmitters in the brain </w:t>
      </w:r>
      <w:r w:rsidR="00A61385">
        <w:rPr>
          <w:noProof/>
        </w:rPr>
        <w:t>(18)</w:t>
      </w:r>
      <w:r w:rsidRPr="0054775B">
        <w:t xml:space="preserve">. Cortisol, a stress hormone, can worsen anxiety when </w:t>
      </w:r>
      <w:r w:rsidRPr="0054775B">
        <w:lastRenderedPageBreak/>
        <w:t>chronically elevated, and magnesium may help reduce cortisol, thereby reducing anxiety. The proposed mechanism for this is that Magnesium blunts the release of the excitatory neurotransmitter glutamate and promotes the release of the inhibitory neurotransmitter GABA, helping keep anxiety in check.</w:t>
      </w:r>
    </w:p>
    <w:p w14:paraId="4F193DAE" w14:textId="7A929D43" w:rsidR="00F32446" w:rsidRPr="0054775B" w:rsidRDefault="007410A9" w:rsidP="009E6F7F">
      <w:r w:rsidRPr="0054775B">
        <w:t xml:space="preserve">The recommended dietary </w:t>
      </w:r>
      <w:r w:rsidR="00C8464F" w:rsidRPr="0054775B">
        <w:t xml:space="preserve">intake </w:t>
      </w:r>
      <w:r w:rsidRPr="0054775B">
        <w:t>for magnesium varies depending on age and sex, typically ranging from 310-420 mg daily for adults</w:t>
      </w:r>
      <w:r w:rsidR="00313829" w:rsidRPr="0054775B">
        <w:t xml:space="preserve"> </w:t>
      </w:r>
      <w:r w:rsidR="00A61385">
        <w:rPr>
          <w:noProof/>
        </w:rPr>
        <w:t>(19)</w:t>
      </w:r>
      <w:r w:rsidRPr="0054775B">
        <w:t xml:space="preserve">. While it is a </w:t>
      </w:r>
      <w:r w:rsidRPr="0054775B">
        <w:rPr>
          <w:sz w:val="21"/>
          <w:szCs w:val="21"/>
        </w:rPr>
        <w:t>typical</w:t>
      </w:r>
      <w:r w:rsidRPr="0054775B">
        <w:t xml:space="preserve"> component of most diets, and is abundant in foods such as leafy vegetables, nuts, legumes, and grains</w:t>
      </w:r>
      <w:r w:rsidR="00141BAB" w:rsidRPr="0054775B">
        <w:t xml:space="preserve">, </w:t>
      </w:r>
      <w:r w:rsidR="00F32446" w:rsidRPr="0054775B">
        <w:t xml:space="preserve">supplementation is available. </w:t>
      </w:r>
      <w:r w:rsidRPr="0054775B">
        <w:t>Magnesium supplements come in several forms with varying bioavailability (absorption rates)</w:t>
      </w:r>
      <w:r w:rsidR="00F32446" w:rsidRPr="0054775B">
        <w:t xml:space="preserve">, including </w:t>
      </w:r>
      <w:r w:rsidRPr="0054775B">
        <w:t xml:space="preserve">magnesium oxide, citrate, glycinate, or lactate </w:t>
      </w:r>
      <w:r w:rsidR="00A61385">
        <w:rPr>
          <w:noProof/>
        </w:rPr>
        <w:t>(17)</w:t>
      </w:r>
      <w:r w:rsidRPr="0054775B">
        <w:t xml:space="preserve">. </w:t>
      </w:r>
    </w:p>
    <w:p w14:paraId="5C0F9469" w14:textId="3E4FA819" w:rsidR="00AF33FE" w:rsidRPr="0054775B" w:rsidRDefault="00D17C36" w:rsidP="009E6F7F">
      <w:r w:rsidRPr="0054775B">
        <w:t xml:space="preserve">Oral </w:t>
      </w:r>
      <w:r w:rsidR="00EC50FA" w:rsidRPr="0054775B">
        <w:t xml:space="preserve">magnesium supplements are readily available without prescription and </w:t>
      </w:r>
      <w:r w:rsidR="00917818" w:rsidRPr="0054775B">
        <w:t>are sometimes sold</w:t>
      </w:r>
      <w:r w:rsidR="00EC50FA" w:rsidRPr="0054775B">
        <w:t xml:space="preserve"> in tandem with one or multiple other nutritional supplements.</w:t>
      </w:r>
      <w:r w:rsidR="00CC3639" w:rsidRPr="0054775B">
        <w:t xml:space="preserve"> </w:t>
      </w:r>
      <w:r w:rsidR="00074B1D" w:rsidRPr="0054775B">
        <w:t>Magnesium supplements are generally safe for most people when taken at appropriate doses</w:t>
      </w:r>
      <w:r w:rsidR="00E911A6">
        <w:rPr>
          <w:rStyle w:val="FootnoteReference"/>
        </w:rPr>
        <w:footnoteReference w:id="2"/>
      </w:r>
      <w:r w:rsidR="00F427CE" w:rsidRPr="0054775B">
        <w:t xml:space="preserve">; though some medications may interact with magnesium (including antibiotics, </w:t>
      </w:r>
      <w:r w:rsidR="00700A61" w:rsidRPr="0054775B">
        <w:t>diuretics and bisphosphonates)</w:t>
      </w:r>
      <w:r w:rsidR="00141BAB" w:rsidRPr="0054775B">
        <w:t xml:space="preserve"> </w:t>
      </w:r>
      <w:r w:rsidR="00A61385">
        <w:rPr>
          <w:noProof/>
        </w:rPr>
        <w:t>(17)</w:t>
      </w:r>
      <w:r w:rsidR="00700A61" w:rsidRPr="0054775B">
        <w:t>.</w:t>
      </w:r>
      <w:r w:rsidR="006E56FF" w:rsidRPr="0054775B">
        <w:t xml:space="preserve"> Excess magnesium is usually</w:t>
      </w:r>
      <w:r w:rsidR="003A246E" w:rsidRPr="0054775B" w:rsidDel="001909D9">
        <w:t xml:space="preserve"> </w:t>
      </w:r>
      <w:r w:rsidR="001909D9">
        <w:t>excreted</w:t>
      </w:r>
      <w:r w:rsidR="001909D9" w:rsidRPr="0054775B">
        <w:t xml:space="preserve"> </w:t>
      </w:r>
      <w:r w:rsidR="003A246E" w:rsidRPr="0054775B">
        <w:t xml:space="preserve">by the kidneys as urine, </w:t>
      </w:r>
      <w:r w:rsidR="00C078FD">
        <w:t>al</w:t>
      </w:r>
      <w:r w:rsidR="003A246E" w:rsidRPr="0054775B">
        <w:t>though very high amounts of magnesium from dietary supplements can result in diarrh</w:t>
      </w:r>
      <w:r w:rsidR="00C078FD">
        <w:t>o</w:t>
      </w:r>
      <w:r w:rsidR="003A246E" w:rsidRPr="0054775B">
        <w:t xml:space="preserve">ea, nausea and abdominal cramping </w:t>
      </w:r>
      <w:r w:rsidR="00A61385">
        <w:rPr>
          <w:noProof/>
        </w:rPr>
        <w:t>(17)</w:t>
      </w:r>
      <w:r w:rsidR="003A246E" w:rsidRPr="0054775B">
        <w:t>.</w:t>
      </w:r>
    </w:p>
    <w:p w14:paraId="26A2BBF0" w14:textId="39F712A5" w:rsidR="008D4BD9" w:rsidRPr="0054775B" w:rsidRDefault="008D4BD9" w:rsidP="009E6F7F">
      <w:pPr>
        <w:pStyle w:val="2024HEADER3"/>
        <w:rPr>
          <w:rFonts w:ascii="Aptos" w:hAnsi="Aptos"/>
        </w:rPr>
      </w:pPr>
      <w:r w:rsidRPr="0054775B">
        <w:rPr>
          <w:rFonts w:ascii="Aptos" w:hAnsi="Aptos"/>
        </w:rPr>
        <w:t>Prioritised outcomes</w:t>
      </w:r>
    </w:p>
    <w:p w14:paraId="3D8CC7E5" w14:textId="22A80919" w:rsidR="002F6B35" w:rsidRPr="0054775B" w:rsidRDefault="002F6B35" w:rsidP="009E6F7F">
      <w:r w:rsidRPr="0054775B">
        <w:t xml:space="preserve">Seven priority outcomes were identified </w:t>
      </w:r>
      <w:r w:rsidR="0054271B" w:rsidRPr="0054775B">
        <w:t xml:space="preserve">by NTWC </w:t>
      </w:r>
      <w:r w:rsidR="005D3E22" w:rsidRPr="0054775B">
        <w:t xml:space="preserve">as part of the </w:t>
      </w:r>
      <w:r w:rsidR="0056076F" w:rsidRPr="0054775B">
        <w:t>Outcome Prioritisation Exercise</w:t>
      </w:r>
      <w:r w:rsidR="00934798" w:rsidRPr="0054775B">
        <w:t xml:space="preserve">. These are </w:t>
      </w:r>
      <w:r w:rsidR="00D35AA9" w:rsidRPr="0054775B">
        <w:t xml:space="preserve">listed below by order of priority. </w:t>
      </w:r>
      <w:r w:rsidR="0056076F" w:rsidRPr="0054775B">
        <w:t xml:space="preserve">Outcomes </w:t>
      </w:r>
      <w:r w:rsidR="0088155B" w:rsidRPr="0054775B">
        <w:t>were rated by their importance to decision-making, with those rated 7-9 being critical for decision-making.</w:t>
      </w:r>
    </w:p>
    <w:p w14:paraId="4687E949" w14:textId="109895B5" w:rsidR="008D4BD9" w:rsidRPr="0054775B" w:rsidRDefault="00141BAB" w:rsidP="00DF7691">
      <w:pPr>
        <w:pStyle w:val="2024TABLECAPTION"/>
        <w:rPr>
          <w:rFonts w:ascii="Aptos" w:hAnsi="Aptos"/>
        </w:rPr>
      </w:pPr>
      <w:bookmarkStart w:id="56" w:name="_Toc185261580"/>
      <w:r w:rsidRPr="0054775B">
        <w:rPr>
          <w:rFonts w:ascii="Aptos" w:hAnsi="Aptos"/>
        </w:rPr>
        <w:t xml:space="preserve">Table </w:t>
      </w:r>
      <w:r w:rsidR="002F1F6C" w:rsidRPr="0054775B">
        <w:rPr>
          <w:rFonts w:ascii="Aptos" w:hAnsi="Aptos"/>
        </w:rPr>
        <w:fldChar w:fldCharType="begin"/>
      </w:r>
      <w:r w:rsidR="002F1F6C" w:rsidRPr="0054775B">
        <w:rPr>
          <w:rFonts w:ascii="Aptos" w:hAnsi="Aptos"/>
        </w:rPr>
        <w:instrText xml:space="preserve"> SEQ Table \* ARABIC </w:instrText>
      </w:r>
      <w:r w:rsidR="002F1F6C" w:rsidRPr="0054775B">
        <w:rPr>
          <w:rFonts w:ascii="Aptos" w:hAnsi="Aptos"/>
        </w:rPr>
        <w:fldChar w:fldCharType="separate"/>
      </w:r>
      <w:r w:rsidR="00651E04">
        <w:rPr>
          <w:rFonts w:ascii="Aptos" w:hAnsi="Aptos"/>
          <w:noProof/>
        </w:rPr>
        <w:t>2</w:t>
      </w:r>
      <w:r w:rsidR="002F1F6C" w:rsidRPr="0054775B">
        <w:rPr>
          <w:rFonts w:ascii="Aptos" w:hAnsi="Aptos"/>
          <w:noProof/>
        </w:rPr>
        <w:fldChar w:fldCharType="end"/>
      </w:r>
      <w:r w:rsidRPr="0054775B">
        <w:rPr>
          <w:rFonts w:ascii="Aptos" w:hAnsi="Aptos"/>
        </w:rPr>
        <w:t xml:space="preserve">. </w:t>
      </w:r>
      <w:r w:rsidR="008D4BD9" w:rsidRPr="0054775B">
        <w:rPr>
          <w:rFonts w:ascii="Aptos" w:hAnsi="Aptos"/>
        </w:rPr>
        <w:t xml:space="preserve">List of prioritised outcomes – </w:t>
      </w:r>
      <w:r w:rsidR="00E122E6" w:rsidRPr="0054775B">
        <w:rPr>
          <w:rFonts w:ascii="Aptos" w:hAnsi="Aptos"/>
        </w:rPr>
        <w:t>a</w:t>
      </w:r>
      <w:r w:rsidR="008D4BD9" w:rsidRPr="0054775B">
        <w:rPr>
          <w:rFonts w:ascii="Aptos" w:hAnsi="Aptos"/>
        </w:rPr>
        <w:t>nxiety</w:t>
      </w:r>
      <w:r w:rsidR="00E60E96" w:rsidRPr="0054775B">
        <w:rPr>
          <w:rFonts w:ascii="Aptos" w:hAnsi="Aptos"/>
        </w:rPr>
        <w:t xml:space="preserve"> (including post-natal)</w:t>
      </w:r>
      <w:r w:rsidR="008D4BD9" w:rsidRPr="0054775B">
        <w:rPr>
          <w:rFonts w:ascii="Aptos" w:hAnsi="Aptos"/>
        </w:rPr>
        <w:t xml:space="preserve">, </w:t>
      </w:r>
      <w:r w:rsidR="005D3E22" w:rsidRPr="0054775B">
        <w:rPr>
          <w:rFonts w:ascii="Aptos" w:hAnsi="Aptos"/>
        </w:rPr>
        <w:t>m</w:t>
      </w:r>
      <w:r w:rsidR="008D4BD9" w:rsidRPr="0054775B">
        <w:rPr>
          <w:rFonts w:ascii="Aptos" w:hAnsi="Aptos"/>
        </w:rPr>
        <w:t>agnesium (as assessed as part of the Outcome Prioritisation Exercise by NTWC).</w:t>
      </w:r>
      <w:bookmarkEnd w:id="56"/>
      <w:r w:rsidR="008D4BD9" w:rsidRPr="0054775B">
        <w:rPr>
          <w:rFonts w:ascii="Aptos" w:hAnsi="Aptos"/>
        </w:rPr>
        <w:t> </w:t>
      </w:r>
    </w:p>
    <w:tbl>
      <w:tblPr>
        <w:tblW w:w="8926" w:type="dxa"/>
        <w:tblLayout w:type="fixed"/>
        <w:tblCellMar>
          <w:top w:w="28" w:type="dxa"/>
          <w:left w:w="57" w:type="dxa"/>
          <w:bottom w:w="28" w:type="dxa"/>
          <w:right w:w="28" w:type="dxa"/>
        </w:tblCellMar>
        <w:tblLook w:val="04A0" w:firstRow="1" w:lastRow="0" w:firstColumn="1" w:lastColumn="0" w:noHBand="0" w:noVBand="1"/>
      </w:tblPr>
      <w:tblGrid>
        <w:gridCol w:w="420"/>
        <w:gridCol w:w="1135"/>
        <w:gridCol w:w="1275"/>
        <w:gridCol w:w="851"/>
        <w:gridCol w:w="5245"/>
      </w:tblGrid>
      <w:tr w:rsidR="00FC7A81" w:rsidRPr="0054775B" w14:paraId="7A4A68AF" w14:textId="77777777" w:rsidTr="00D50C6E">
        <w:trPr>
          <w:trHeight w:val="95"/>
        </w:trPr>
        <w:tc>
          <w:tcPr>
            <w:tcW w:w="420" w:type="dxa"/>
            <w:vMerge w:val="restart"/>
            <w:tcBorders>
              <w:top w:val="single" w:sz="4" w:space="0" w:color="auto"/>
              <w:left w:val="single" w:sz="4" w:space="0" w:color="auto"/>
              <w:right w:val="single" w:sz="4" w:space="0" w:color="auto"/>
            </w:tcBorders>
            <w:shd w:val="clear" w:color="auto" w:fill="D9D9D9" w:themeFill="background1" w:themeFillShade="D9"/>
            <w:vAlign w:val="center"/>
            <w:hideMark/>
          </w:tcPr>
          <w:p w14:paraId="670D5FB2" w14:textId="77777777" w:rsidR="0016750A" w:rsidRPr="0054775B" w:rsidRDefault="0016750A" w:rsidP="00195605">
            <w:pPr>
              <w:pStyle w:val="2024TABLEHEADER"/>
            </w:pPr>
            <w:r w:rsidRPr="0054775B">
              <w:t> #</w:t>
            </w:r>
          </w:p>
        </w:tc>
        <w:tc>
          <w:tcPr>
            <w:tcW w:w="1135" w:type="dxa"/>
            <w:vMerge w:val="restart"/>
            <w:tcBorders>
              <w:top w:val="single" w:sz="4" w:space="0" w:color="auto"/>
              <w:left w:val="nil"/>
              <w:right w:val="single" w:sz="4" w:space="0" w:color="auto"/>
            </w:tcBorders>
            <w:shd w:val="clear" w:color="auto" w:fill="D9D9D9" w:themeFill="background1" w:themeFillShade="D9"/>
            <w:vAlign w:val="center"/>
            <w:hideMark/>
          </w:tcPr>
          <w:p w14:paraId="071D2920" w14:textId="77777777" w:rsidR="0016750A" w:rsidRPr="0054775B" w:rsidRDefault="0016750A" w:rsidP="00195605">
            <w:pPr>
              <w:pStyle w:val="2024TABLEHEADER"/>
              <w:rPr>
                <w:color w:val="000000"/>
              </w:rPr>
            </w:pPr>
            <w:r w:rsidRPr="0054775B">
              <w:t>Priority population</w:t>
            </w:r>
          </w:p>
        </w:tc>
        <w:tc>
          <w:tcPr>
            <w:tcW w:w="1275" w:type="dxa"/>
            <w:vMerge w:val="restart"/>
            <w:tcBorders>
              <w:top w:val="single" w:sz="4" w:space="0" w:color="auto"/>
              <w:left w:val="nil"/>
              <w:right w:val="single" w:sz="4" w:space="0" w:color="auto"/>
            </w:tcBorders>
            <w:shd w:val="clear" w:color="auto" w:fill="D9D9D9" w:themeFill="background1" w:themeFillShade="D9"/>
            <w:vAlign w:val="center"/>
            <w:hideMark/>
          </w:tcPr>
          <w:p w14:paraId="04BF74F7" w14:textId="77777777" w:rsidR="0016750A" w:rsidRPr="0054775B" w:rsidRDefault="0016750A" w:rsidP="00195605">
            <w:pPr>
              <w:pStyle w:val="2024TABLEHEADER"/>
              <w:rPr>
                <w:color w:val="000000"/>
              </w:rPr>
            </w:pPr>
            <w:r w:rsidRPr="0054775B">
              <w:t xml:space="preserve">Priority intervention </w:t>
            </w:r>
          </w:p>
        </w:tc>
        <w:tc>
          <w:tcPr>
            <w:tcW w:w="6096" w:type="dxa"/>
            <w:gridSpan w:val="2"/>
            <w:tcBorders>
              <w:top w:val="single" w:sz="4" w:space="0" w:color="auto"/>
              <w:left w:val="nil"/>
              <w:bottom w:val="single" w:sz="4" w:space="0" w:color="auto"/>
              <w:right w:val="single" w:sz="4" w:space="0" w:color="auto"/>
            </w:tcBorders>
            <w:shd w:val="clear" w:color="auto" w:fill="D9D9D9" w:themeFill="background1" w:themeFillShade="D9"/>
            <w:vAlign w:val="center"/>
          </w:tcPr>
          <w:p w14:paraId="723D13FF" w14:textId="50D04366" w:rsidR="0016750A" w:rsidRPr="0054775B" w:rsidRDefault="0016750A" w:rsidP="00195605">
            <w:pPr>
              <w:pStyle w:val="2024TABLEHEADER"/>
            </w:pPr>
            <w:r w:rsidRPr="0054775B">
              <w:t>Priority outcomes</w:t>
            </w:r>
          </w:p>
        </w:tc>
      </w:tr>
      <w:tr w:rsidR="00FC7A81" w:rsidRPr="0054775B" w14:paraId="1A349F40" w14:textId="77777777" w:rsidTr="00D50C6E">
        <w:trPr>
          <w:trHeight w:val="95"/>
        </w:trPr>
        <w:tc>
          <w:tcPr>
            <w:tcW w:w="420" w:type="dxa"/>
            <w:vMerge/>
            <w:tcBorders>
              <w:left w:val="single" w:sz="4" w:space="0" w:color="auto"/>
              <w:bottom w:val="single" w:sz="4" w:space="0" w:color="auto"/>
              <w:right w:val="single" w:sz="4" w:space="0" w:color="auto"/>
            </w:tcBorders>
            <w:shd w:val="clear" w:color="auto" w:fill="D9D9D9" w:themeFill="background1" w:themeFillShade="D9"/>
            <w:vAlign w:val="center"/>
          </w:tcPr>
          <w:p w14:paraId="139EFDBC" w14:textId="77777777" w:rsidR="0016750A" w:rsidRPr="0054775B" w:rsidRDefault="0016750A" w:rsidP="00195605">
            <w:pPr>
              <w:pStyle w:val="2024TABLEHEADER"/>
            </w:pPr>
          </w:p>
        </w:tc>
        <w:tc>
          <w:tcPr>
            <w:tcW w:w="1135" w:type="dxa"/>
            <w:vMerge/>
            <w:tcBorders>
              <w:left w:val="nil"/>
              <w:bottom w:val="single" w:sz="4" w:space="0" w:color="auto"/>
              <w:right w:val="single" w:sz="4" w:space="0" w:color="auto"/>
            </w:tcBorders>
            <w:shd w:val="clear" w:color="auto" w:fill="D9D9D9" w:themeFill="background1" w:themeFillShade="D9"/>
            <w:vAlign w:val="center"/>
          </w:tcPr>
          <w:p w14:paraId="5578C806" w14:textId="77777777" w:rsidR="0016750A" w:rsidRPr="0054775B" w:rsidRDefault="0016750A" w:rsidP="00195605">
            <w:pPr>
              <w:pStyle w:val="2024TABLEHEADER"/>
            </w:pPr>
          </w:p>
        </w:tc>
        <w:tc>
          <w:tcPr>
            <w:tcW w:w="1275" w:type="dxa"/>
            <w:vMerge/>
            <w:tcBorders>
              <w:left w:val="nil"/>
              <w:bottom w:val="single" w:sz="4" w:space="0" w:color="auto"/>
              <w:right w:val="single" w:sz="4" w:space="0" w:color="auto"/>
            </w:tcBorders>
            <w:shd w:val="clear" w:color="auto" w:fill="D9D9D9" w:themeFill="background1" w:themeFillShade="D9"/>
            <w:vAlign w:val="center"/>
          </w:tcPr>
          <w:p w14:paraId="159E66E6" w14:textId="77777777" w:rsidR="0016750A" w:rsidRPr="0054775B" w:rsidRDefault="0016750A" w:rsidP="00195605">
            <w:pPr>
              <w:pStyle w:val="2024TABLEHEADER"/>
            </w:pPr>
          </w:p>
        </w:tc>
        <w:tc>
          <w:tcPr>
            <w:tcW w:w="851" w:type="dxa"/>
            <w:tcBorders>
              <w:top w:val="nil"/>
              <w:left w:val="nil"/>
              <w:bottom w:val="single" w:sz="4" w:space="0" w:color="auto"/>
              <w:right w:val="single" w:sz="4" w:space="0" w:color="auto"/>
            </w:tcBorders>
            <w:shd w:val="clear" w:color="auto" w:fill="D9D9D9" w:themeFill="background1" w:themeFillShade="D9"/>
            <w:vAlign w:val="center"/>
          </w:tcPr>
          <w:p w14:paraId="78DE3B6D" w14:textId="577A660F" w:rsidR="0016750A" w:rsidRPr="0054775B" w:rsidRDefault="0016750A" w:rsidP="00195605">
            <w:pPr>
              <w:pStyle w:val="2024TABLEHEADER"/>
            </w:pPr>
            <w:r w:rsidRPr="0054775B">
              <w:t>NTWC Rating*</w:t>
            </w:r>
          </w:p>
        </w:tc>
        <w:tc>
          <w:tcPr>
            <w:tcW w:w="5245" w:type="dxa"/>
            <w:tcBorders>
              <w:top w:val="nil"/>
              <w:left w:val="nil"/>
              <w:bottom w:val="single" w:sz="4" w:space="0" w:color="auto"/>
              <w:right w:val="single" w:sz="4" w:space="0" w:color="auto"/>
            </w:tcBorders>
            <w:shd w:val="clear" w:color="auto" w:fill="D9D9D9" w:themeFill="background1" w:themeFillShade="D9"/>
            <w:vAlign w:val="center"/>
          </w:tcPr>
          <w:p w14:paraId="009AB572" w14:textId="4BD8D65D" w:rsidR="0016750A" w:rsidRPr="0054775B" w:rsidRDefault="0016750A" w:rsidP="00195605">
            <w:pPr>
              <w:pStyle w:val="2024TABLEHEADER"/>
            </w:pPr>
            <w:r w:rsidRPr="0054775B">
              <w:t>Outcome</w:t>
            </w:r>
            <w:r>
              <w:t xml:space="preserve"> domain</w:t>
            </w:r>
          </w:p>
        </w:tc>
      </w:tr>
      <w:tr w:rsidR="00FC7A81" w:rsidRPr="0054775B" w14:paraId="7120F62F" w14:textId="77777777" w:rsidTr="006D45D9">
        <w:trPr>
          <w:trHeight w:val="95"/>
        </w:trPr>
        <w:tc>
          <w:tcPr>
            <w:tcW w:w="420" w:type="dxa"/>
            <w:vMerge w:val="restart"/>
            <w:tcBorders>
              <w:top w:val="nil"/>
              <w:left w:val="single" w:sz="4" w:space="0" w:color="auto"/>
              <w:right w:val="single" w:sz="4" w:space="0" w:color="auto"/>
            </w:tcBorders>
            <w:shd w:val="clear" w:color="auto" w:fill="auto"/>
            <w:vAlign w:val="center"/>
            <w:hideMark/>
          </w:tcPr>
          <w:p w14:paraId="6FCE0D80" w14:textId="77777777" w:rsidR="0016750A" w:rsidRPr="0054775B" w:rsidRDefault="0016750A" w:rsidP="00195605">
            <w:pPr>
              <w:pStyle w:val="2024TABLETEXT"/>
              <w:framePr w:hSpace="0" w:wrap="auto" w:vAnchor="margin" w:yAlign="inline"/>
              <w:suppressOverlap w:val="0"/>
            </w:pPr>
            <w:r w:rsidRPr="0054775B">
              <w:t>1</w:t>
            </w:r>
          </w:p>
        </w:tc>
        <w:tc>
          <w:tcPr>
            <w:tcW w:w="1135" w:type="dxa"/>
            <w:vMerge w:val="restart"/>
            <w:tcBorders>
              <w:top w:val="nil"/>
              <w:left w:val="nil"/>
              <w:right w:val="single" w:sz="4" w:space="0" w:color="auto"/>
            </w:tcBorders>
            <w:shd w:val="clear" w:color="auto" w:fill="auto"/>
            <w:vAlign w:val="center"/>
            <w:hideMark/>
          </w:tcPr>
          <w:p w14:paraId="4EE8CAA1" w14:textId="77777777" w:rsidR="0016750A" w:rsidRPr="0054775B" w:rsidRDefault="0016750A" w:rsidP="00195605">
            <w:pPr>
              <w:pStyle w:val="2024TABLETEXT"/>
              <w:framePr w:hSpace="0" w:wrap="auto" w:vAnchor="margin" w:yAlign="inline"/>
              <w:suppressOverlap w:val="0"/>
            </w:pPr>
            <w:r w:rsidRPr="0054775B">
              <w:t>Anxiety (including post-natal)</w:t>
            </w:r>
          </w:p>
        </w:tc>
        <w:tc>
          <w:tcPr>
            <w:tcW w:w="1275" w:type="dxa"/>
            <w:vMerge w:val="restart"/>
            <w:tcBorders>
              <w:top w:val="nil"/>
              <w:left w:val="nil"/>
              <w:right w:val="single" w:sz="4" w:space="0" w:color="auto"/>
            </w:tcBorders>
            <w:shd w:val="clear" w:color="auto" w:fill="auto"/>
            <w:vAlign w:val="center"/>
            <w:hideMark/>
          </w:tcPr>
          <w:p w14:paraId="53B26851" w14:textId="77777777" w:rsidR="0016750A" w:rsidRPr="0054775B" w:rsidRDefault="0016750A" w:rsidP="00195605">
            <w:pPr>
              <w:pStyle w:val="2024TABLETEXT"/>
              <w:framePr w:hSpace="0" w:wrap="auto" w:vAnchor="margin" w:yAlign="inline"/>
              <w:suppressOverlap w:val="0"/>
            </w:pPr>
            <w:r w:rsidRPr="0054775B">
              <w:t>Magnesium</w:t>
            </w:r>
          </w:p>
        </w:tc>
        <w:tc>
          <w:tcPr>
            <w:tcW w:w="851" w:type="dxa"/>
            <w:tcBorders>
              <w:top w:val="nil"/>
              <w:left w:val="nil"/>
              <w:bottom w:val="single" w:sz="4" w:space="0" w:color="auto"/>
              <w:right w:val="single" w:sz="4" w:space="0" w:color="auto"/>
            </w:tcBorders>
            <w:shd w:val="clear" w:color="auto" w:fill="auto"/>
            <w:vAlign w:val="center"/>
          </w:tcPr>
          <w:p w14:paraId="7E58BF7E" w14:textId="77777777" w:rsidR="0016750A" w:rsidRPr="0054775B" w:rsidRDefault="0016750A" w:rsidP="00195605">
            <w:pPr>
              <w:pStyle w:val="2024TABLETEXT"/>
              <w:framePr w:hSpace="0" w:wrap="auto" w:vAnchor="margin" w:yAlign="inline"/>
              <w:suppressOverlap w:val="0"/>
            </w:pPr>
            <w:r w:rsidRPr="0054775B">
              <w:t>9</w:t>
            </w:r>
          </w:p>
        </w:tc>
        <w:tc>
          <w:tcPr>
            <w:tcW w:w="5245" w:type="dxa"/>
            <w:tcBorders>
              <w:top w:val="nil"/>
              <w:left w:val="nil"/>
              <w:bottom w:val="single" w:sz="4" w:space="0" w:color="auto"/>
              <w:right w:val="single" w:sz="4" w:space="0" w:color="auto"/>
            </w:tcBorders>
            <w:shd w:val="clear" w:color="auto" w:fill="auto"/>
            <w:vAlign w:val="center"/>
          </w:tcPr>
          <w:p w14:paraId="2DB73D56" w14:textId="64061E7B" w:rsidR="0016750A" w:rsidRPr="0054775B" w:rsidRDefault="0016750A" w:rsidP="00195605">
            <w:pPr>
              <w:pStyle w:val="2024TABLETEXT"/>
              <w:framePr w:hSpace="0" w:wrap="auto" w:vAnchor="margin" w:yAlign="inline"/>
              <w:suppressOverlap w:val="0"/>
            </w:pPr>
            <w:r w:rsidRPr="0054775B">
              <w:t>Anxiety-related emotional functioning/mental health burden</w:t>
            </w:r>
          </w:p>
        </w:tc>
      </w:tr>
      <w:tr w:rsidR="00FC7A81" w:rsidRPr="0054775B" w14:paraId="44FD22F5" w14:textId="77777777" w:rsidTr="006D45D9">
        <w:trPr>
          <w:trHeight w:val="95"/>
        </w:trPr>
        <w:tc>
          <w:tcPr>
            <w:tcW w:w="420" w:type="dxa"/>
            <w:vMerge/>
            <w:tcBorders>
              <w:left w:val="single" w:sz="4" w:space="0" w:color="auto"/>
              <w:right w:val="single" w:sz="4" w:space="0" w:color="auto"/>
            </w:tcBorders>
            <w:shd w:val="clear" w:color="auto" w:fill="auto"/>
            <w:vAlign w:val="center"/>
          </w:tcPr>
          <w:p w14:paraId="189159B2" w14:textId="77777777" w:rsidR="0016750A" w:rsidRPr="0054775B" w:rsidRDefault="0016750A" w:rsidP="00195605">
            <w:pPr>
              <w:pStyle w:val="2024TABLETEXT"/>
              <w:framePr w:hSpace="0" w:wrap="auto" w:vAnchor="margin" w:yAlign="inline"/>
              <w:suppressOverlap w:val="0"/>
            </w:pPr>
          </w:p>
        </w:tc>
        <w:tc>
          <w:tcPr>
            <w:tcW w:w="1135" w:type="dxa"/>
            <w:vMerge/>
            <w:tcBorders>
              <w:left w:val="nil"/>
              <w:right w:val="single" w:sz="4" w:space="0" w:color="auto"/>
            </w:tcBorders>
            <w:shd w:val="clear" w:color="auto" w:fill="auto"/>
            <w:vAlign w:val="center"/>
          </w:tcPr>
          <w:p w14:paraId="1B2AB571" w14:textId="77777777" w:rsidR="0016750A" w:rsidRPr="0054775B" w:rsidRDefault="0016750A" w:rsidP="00195605">
            <w:pPr>
              <w:pStyle w:val="2024TABLETEXT"/>
              <w:framePr w:hSpace="0" w:wrap="auto" w:vAnchor="margin" w:yAlign="inline"/>
              <w:suppressOverlap w:val="0"/>
            </w:pPr>
          </w:p>
        </w:tc>
        <w:tc>
          <w:tcPr>
            <w:tcW w:w="1275" w:type="dxa"/>
            <w:vMerge/>
            <w:tcBorders>
              <w:left w:val="nil"/>
              <w:right w:val="single" w:sz="4" w:space="0" w:color="auto"/>
            </w:tcBorders>
            <w:shd w:val="clear" w:color="auto" w:fill="auto"/>
            <w:vAlign w:val="center"/>
          </w:tcPr>
          <w:p w14:paraId="507F773B" w14:textId="77777777" w:rsidR="0016750A" w:rsidRPr="0054775B" w:rsidRDefault="0016750A" w:rsidP="00195605">
            <w:pPr>
              <w:pStyle w:val="2024TABLETEXT"/>
              <w:framePr w:hSpace="0" w:wrap="auto" w:vAnchor="margin" w:yAlign="inline"/>
              <w:suppressOverlap w:val="0"/>
            </w:pPr>
          </w:p>
        </w:tc>
        <w:tc>
          <w:tcPr>
            <w:tcW w:w="851" w:type="dxa"/>
            <w:tcBorders>
              <w:top w:val="nil"/>
              <w:left w:val="nil"/>
              <w:bottom w:val="single" w:sz="4" w:space="0" w:color="auto"/>
              <w:right w:val="single" w:sz="4" w:space="0" w:color="auto"/>
            </w:tcBorders>
            <w:shd w:val="clear" w:color="auto" w:fill="auto"/>
            <w:vAlign w:val="center"/>
          </w:tcPr>
          <w:p w14:paraId="450E01B4" w14:textId="77777777" w:rsidR="0016750A" w:rsidRPr="0054775B" w:rsidRDefault="0016750A" w:rsidP="00195605">
            <w:pPr>
              <w:pStyle w:val="2024TABLETEXT"/>
              <w:framePr w:hSpace="0" w:wrap="auto" w:vAnchor="margin" w:yAlign="inline"/>
              <w:suppressOverlap w:val="0"/>
            </w:pPr>
            <w:r w:rsidRPr="0054775B">
              <w:t>9</w:t>
            </w:r>
          </w:p>
        </w:tc>
        <w:tc>
          <w:tcPr>
            <w:tcW w:w="5245" w:type="dxa"/>
            <w:tcBorders>
              <w:top w:val="nil"/>
              <w:left w:val="nil"/>
              <w:bottom w:val="single" w:sz="4" w:space="0" w:color="auto"/>
              <w:right w:val="single" w:sz="4" w:space="0" w:color="auto"/>
            </w:tcBorders>
            <w:shd w:val="clear" w:color="auto" w:fill="auto"/>
            <w:vAlign w:val="center"/>
          </w:tcPr>
          <w:p w14:paraId="4564261D" w14:textId="77777777" w:rsidR="0016750A" w:rsidRPr="0054775B" w:rsidRDefault="0016750A" w:rsidP="00195605">
            <w:pPr>
              <w:pStyle w:val="2024TABLETEXT"/>
              <w:framePr w:hSpace="0" w:wrap="auto" w:vAnchor="margin" w:yAlign="inline"/>
              <w:suppressOverlap w:val="0"/>
            </w:pPr>
            <w:r w:rsidRPr="0054775B">
              <w:t>Physical function burden from anxiety (gastrointestinal disorders, loss of sexual desire, frequent upper respiratory tract and other infections)</w:t>
            </w:r>
          </w:p>
        </w:tc>
      </w:tr>
      <w:tr w:rsidR="00FC7A81" w:rsidRPr="0054775B" w14:paraId="058D154F" w14:textId="77777777" w:rsidTr="006D45D9">
        <w:trPr>
          <w:trHeight w:val="95"/>
        </w:trPr>
        <w:tc>
          <w:tcPr>
            <w:tcW w:w="420" w:type="dxa"/>
            <w:vMerge/>
            <w:tcBorders>
              <w:left w:val="single" w:sz="4" w:space="0" w:color="auto"/>
              <w:right w:val="single" w:sz="4" w:space="0" w:color="auto"/>
            </w:tcBorders>
            <w:shd w:val="clear" w:color="auto" w:fill="auto"/>
            <w:vAlign w:val="center"/>
          </w:tcPr>
          <w:p w14:paraId="3E32F961" w14:textId="77777777" w:rsidR="0016750A" w:rsidRPr="0054775B" w:rsidRDefault="0016750A" w:rsidP="00195605">
            <w:pPr>
              <w:pStyle w:val="2024TABLETEXT"/>
              <w:framePr w:hSpace="0" w:wrap="auto" w:vAnchor="margin" w:yAlign="inline"/>
              <w:suppressOverlap w:val="0"/>
            </w:pPr>
          </w:p>
        </w:tc>
        <w:tc>
          <w:tcPr>
            <w:tcW w:w="1135" w:type="dxa"/>
            <w:vMerge/>
            <w:tcBorders>
              <w:left w:val="nil"/>
              <w:right w:val="single" w:sz="4" w:space="0" w:color="auto"/>
            </w:tcBorders>
            <w:shd w:val="clear" w:color="auto" w:fill="auto"/>
            <w:vAlign w:val="center"/>
          </w:tcPr>
          <w:p w14:paraId="4495D90D" w14:textId="77777777" w:rsidR="0016750A" w:rsidRPr="0054775B" w:rsidRDefault="0016750A" w:rsidP="00195605">
            <w:pPr>
              <w:pStyle w:val="2024TABLETEXT"/>
              <w:framePr w:hSpace="0" w:wrap="auto" w:vAnchor="margin" w:yAlign="inline"/>
              <w:suppressOverlap w:val="0"/>
            </w:pPr>
          </w:p>
        </w:tc>
        <w:tc>
          <w:tcPr>
            <w:tcW w:w="1275" w:type="dxa"/>
            <w:vMerge/>
            <w:tcBorders>
              <w:left w:val="nil"/>
              <w:right w:val="single" w:sz="4" w:space="0" w:color="auto"/>
            </w:tcBorders>
            <w:shd w:val="clear" w:color="auto" w:fill="auto"/>
            <w:vAlign w:val="center"/>
          </w:tcPr>
          <w:p w14:paraId="43B4A742" w14:textId="77777777" w:rsidR="0016750A" w:rsidRPr="0054775B" w:rsidRDefault="0016750A" w:rsidP="00195605">
            <w:pPr>
              <w:pStyle w:val="2024TABLETEXT"/>
              <w:framePr w:hSpace="0" w:wrap="auto" w:vAnchor="margin" w:yAlign="inline"/>
              <w:suppressOverlap w:val="0"/>
            </w:pPr>
          </w:p>
        </w:tc>
        <w:tc>
          <w:tcPr>
            <w:tcW w:w="851" w:type="dxa"/>
            <w:tcBorders>
              <w:top w:val="nil"/>
              <w:left w:val="nil"/>
              <w:bottom w:val="single" w:sz="4" w:space="0" w:color="auto"/>
              <w:right w:val="single" w:sz="4" w:space="0" w:color="auto"/>
            </w:tcBorders>
            <w:shd w:val="clear" w:color="auto" w:fill="auto"/>
            <w:vAlign w:val="center"/>
          </w:tcPr>
          <w:p w14:paraId="04815929" w14:textId="77777777" w:rsidR="0016750A" w:rsidRPr="0054775B" w:rsidRDefault="0016750A" w:rsidP="00195605">
            <w:pPr>
              <w:pStyle w:val="2024TABLETEXT"/>
              <w:framePr w:hSpace="0" w:wrap="auto" w:vAnchor="margin" w:yAlign="inline"/>
              <w:suppressOverlap w:val="0"/>
            </w:pPr>
            <w:r w:rsidRPr="0054775B">
              <w:t>9</w:t>
            </w:r>
          </w:p>
        </w:tc>
        <w:tc>
          <w:tcPr>
            <w:tcW w:w="5245" w:type="dxa"/>
            <w:tcBorders>
              <w:top w:val="nil"/>
              <w:left w:val="nil"/>
              <w:bottom w:val="single" w:sz="4" w:space="0" w:color="auto"/>
              <w:right w:val="single" w:sz="4" w:space="0" w:color="auto"/>
            </w:tcBorders>
            <w:shd w:val="clear" w:color="auto" w:fill="auto"/>
            <w:vAlign w:val="center"/>
          </w:tcPr>
          <w:p w14:paraId="714626A0" w14:textId="07454625" w:rsidR="0016750A" w:rsidRPr="0054775B" w:rsidRDefault="0016750A" w:rsidP="00195605">
            <w:pPr>
              <w:pStyle w:val="2024TABLETEXT"/>
              <w:framePr w:hSpace="0" w:wrap="auto" w:vAnchor="margin" w:yAlign="inline"/>
              <w:suppressOverlap w:val="0"/>
            </w:pPr>
            <w:r w:rsidRPr="0054775B">
              <w:t>Improvement in clinical levels of anxiety</w:t>
            </w:r>
          </w:p>
        </w:tc>
      </w:tr>
      <w:tr w:rsidR="00FC7A81" w:rsidRPr="0054775B" w14:paraId="2E620147" w14:textId="77777777" w:rsidTr="006D45D9">
        <w:trPr>
          <w:trHeight w:val="95"/>
        </w:trPr>
        <w:tc>
          <w:tcPr>
            <w:tcW w:w="420" w:type="dxa"/>
            <w:vMerge/>
            <w:tcBorders>
              <w:left w:val="single" w:sz="4" w:space="0" w:color="auto"/>
              <w:right w:val="single" w:sz="4" w:space="0" w:color="auto"/>
            </w:tcBorders>
            <w:shd w:val="clear" w:color="auto" w:fill="auto"/>
            <w:vAlign w:val="center"/>
          </w:tcPr>
          <w:p w14:paraId="10772436" w14:textId="77777777" w:rsidR="0016750A" w:rsidRPr="0054775B" w:rsidRDefault="0016750A" w:rsidP="00195605">
            <w:pPr>
              <w:pStyle w:val="2024TABLETEXT"/>
              <w:framePr w:hSpace="0" w:wrap="auto" w:vAnchor="margin" w:yAlign="inline"/>
              <w:suppressOverlap w:val="0"/>
            </w:pPr>
          </w:p>
        </w:tc>
        <w:tc>
          <w:tcPr>
            <w:tcW w:w="1135" w:type="dxa"/>
            <w:vMerge/>
            <w:tcBorders>
              <w:left w:val="nil"/>
              <w:right w:val="single" w:sz="4" w:space="0" w:color="auto"/>
            </w:tcBorders>
            <w:shd w:val="clear" w:color="auto" w:fill="auto"/>
            <w:vAlign w:val="center"/>
          </w:tcPr>
          <w:p w14:paraId="45B4DB0C" w14:textId="77777777" w:rsidR="0016750A" w:rsidRPr="0054775B" w:rsidRDefault="0016750A" w:rsidP="00195605">
            <w:pPr>
              <w:pStyle w:val="2024TABLETEXT"/>
              <w:framePr w:hSpace="0" w:wrap="auto" w:vAnchor="margin" w:yAlign="inline"/>
              <w:suppressOverlap w:val="0"/>
            </w:pPr>
          </w:p>
        </w:tc>
        <w:tc>
          <w:tcPr>
            <w:tcW w:w="1275" w:type="dxa"/>
            <w:vMerge/>
            <w:tcBorders>
              <w:left w:val="nil"/>
              <w:right w:val="single" w:sz="4" w:space="0" w:color="auto"/>
            </w:tcBorders>
            <w:shd w:val="clear" w:color="auto" w:fill="auto"/>
            <w:vAlign w:val="center"/>
          </w:tcPr>
          <w:p w14:paraId="46443460" w14:textId="77777777" w:rsidR="0016750A" w:rsidRPr="0054775B" w:rsidRDefault="0016750A" w:rsidP="00195605">
            <w:pPr>
              <w:pStyle w:val="2024TABLETEXT"/>
              <w:framePr w:hSpace="0" w:wrap="auto" w:vAnchor="margin" w:yAlign="inline"/>
              <w:suppressOverlap w:val="0"/>
            </w:pPr>
          </w:p>
        </w:tc>
        <w:tc>
          <w:tcPr>
            <w:tcW w:w="851" w:type="dxa"/>
            <w:tcBorders>
              <w:top w:val="nil"/>
              <w:left w:val="nil"/>
              <w:bottom w:val="single" w:sz="4" w:space="0" w:color="auto"/>
              <w:right w:val="single" w:sz="4" w:space="0" w:color="auto"/>
            </w:tcBorders>
            <w:shd w:val="clear" w:color="auto" w:fill="auto"/>
            <w:vAlign w:val="center"/>
          </w:tcPr>
          <w:p w14:paraId="419A189F" w14:textId="77777777" w:rsidR="0016750A" w:rsidRPr="0054775B" w:rsidRDefault="0016750A" w:rsidP="00195605">
            <w:pPr>
              <w:pStyle w:val="2024TABLETEXT"/>
              <w:framePr w:hSpace="0" w:wrap="auto" w:vAnchor="margin" w:yAlign="inline"/>
              <w:suppressOverlap w:val="0"/>
            </w:pPr>
            <w:r w:rsidRPr="0054775B">
              <w:t>8</w:t>
            </w:r>
          </w:p>
        </w:tc>
        <w:tc>
          <w:tcPr>
            <w:tcW w:w="5245" w:type="dxa"/>
            <w:tcBorders>
              <w:top w:val="nil"/>
              <w:left w:val="nil"/>
              <w:bottom w:val="single" w:sz="4" w:space="0" w:color="auto"/>
              <w:right w:val="single" w:sz="4" w:space="0" w:color="auto"/>
            </w:tcBorders>
            <w:shd w:val="clear" w:color="auto" w:fill="auto"/>
            <w:vAlign w:val="center"/>
          </w:tcPr>
          <w:p w14:paraId="4FAF6C1E" w14:textId="77777777" w:rsidR="0016750A" w:rsidRPr="0054775B" w:rsidRDefault="0016750A" w:rsidP="00195605">
            <w:pPr>
              <w:pStyle w:val="2024TABLETEXT"/>
              <w:framePr w:hSpace="0" w:wrap="auto" w:vAnchor="margin" w:yAlign="inline"/>
              <w:suppressOverlap w:val="0"/>
            </w:pPr>
            <w:r w:rsidRPr="0054775B">
              <w:t>Depression-related emotional functioning/mental health burden</w:t>
            </w:r>
          </w:p>
        </w:tc>
      </w:tr>
      <w:tr w:rsidR="00FC7A81" w:rsidRPr="0054775B" w14:paraId="3E82CD55" w14:textId="77777777" w:rsidTr="006D45D9">
        <w:trPr>
          <w:trHeight w:val="95"/>
        </w:trPr>
        <w:tc>
          <w:tcPr>
            <w:tcW w:w="420" w:type="dxa"/>
            <w:vMerge/>
            <w:tcBorders>
              <w:left w:val="single" w:sz="4" w:space="0" w:color="auto"/>
              <w:right w:val="single" w:sz="4" w:space="0" w:color="auto"/>
            </w:tcBorders>
            <w:shd w:val="clear" w:color="auto" w:fill="auto"/>
            <w:vAlign w:val="center"/>
          </w:tcPr>
          <w:p w14:paraId="00D7C941" w14:textId="77777777" w:rsidR="0016750A" w:rsidRPr="0054775B" w:rsidRDefault="0016750A" w:rsidP="00195605">
            <w:pPr>
              <w:pStyle w:val="2024TABLETEXT"/>
              <w:framePr w:hSpace="0" w:wrap="auto" w:vAnchor="margin" w:yAlign="inline"/>
              <w:suppressOverlap w:val="0"/>
            </w:pPr>
          </w:p>
        </w:tc>
        <w:tc>
          <w:tcPr>
            <w:tcW w:w="1135" w:type="dxa"/>
            <w:vMerge/>
            <w:tcBorders>
              <w:left w:val="nil"/>
              <w:right w:val="single" w:sz="4" w:space="0" w:color="auto"/>
            </w:tcBorders>
            <w:shd w:val="clear" w:color="auto" w:fill="auto"/>
            <w:vAlign w:val="center"/>
          </w:tcPr>
          <w:p w14:paraId="71506886" w14:textId="77777777" w:rsidR="0016750A" w:rsidRPr="0054775B" w:rsidRDefault="0016750A" w:rsidP="00195605">
            <w:pPr>
              <w:pStyle w:val="2024TABLETEXT"/>
              <w:framePr w:hSpace="0" w:wrap="auto" w:vAnchor="margin" w:yAlign="inline"/>
              <w:suppressOverlap w:val="0"/>
            </w:pPr>
          </w:p>
        </w:tc>
        <w:tc>
          <w:tcPr>
            <w:tcW w:w="1275" w:type="dxa"/>
            <w:vMerge/>
            <w:tcBorders>
              <w:left w:val="nil"/>
              <w:right w:val="single" w:sz="4" w:space="0" w:color="auto"/>
            </w:tcBorders>
            <w:shd w:val="clear" w:color="auto" w:fill="auto"/>
            <w:vAlign w:val="center"/>
          </w:tcPr>
          <w:p w14:paraId="34C6D970" w14:textId="77777777" w:rsidR="0016750A" w:rsidRPr="0054775B" w:rsidRDefault="0016750A" w:rsidP="00195605">
            <w:pPr>
              <w:pStyle w:val="2024TABLETEXT"/>
              <w:framePr w:hSpace="0" w:wrap="auto" w:vAnchor="margin" w:yAlign="inline"/>
              <w:suppressOverlap w:val="0"/>
            </w:pPr>
          </w:p>
        </w:tc>
        <w:tc>
          <w:tcPr>
            <w:tcW w:w="851" w:type="dxa"/>
            <w:tcBorders>
              <w:top w:val="nil"/>
              <w:left w:val="nil"/>
              <w:bottom w:val="single" w:sz="4" w:space="0" w:color="auto"/>
              <w:right w:val="single" w:sz="4" w:space="0" w:color="auto"/>
            </w:tcBorders>
            <w:shd w:val="clear" w:color="auto" w:fill="auto"/>
            <w:vAlign w:val="center"/>
          </w:tcPr>
          <w:p w14:paraId="4B906D30" w14:textId="77777777" w:rsidR="0016750A" w:rsidRPr="0054775B" w:rsidRDefault="0016750A" w:rsidP="00195605">
            <w:pPr>
              <w:pStyle w:val="2024TABLETEXT"/>
              <w:framePr w:hSpace="0" w:wrap="auto" w:vAnchor="margin" w:yAlign="inline"/>
              <w:suppressOverlap w:val="0"/>
            </w:pPr>
            <w:r w:rsidRPr="0054775B">
              <w:t>8</w:t>
            </w:r>
          </w:p>
        </w:tc>
        <w:tc>
          <w:tcPr>
            <w:tcW w:w="5245" w:type="dxa"/>
            <w:tcBorders>
              <w:top w:val="nil"/>
              <w:left w:val="nil"/>
              <w:bottom w:val="single" w:sz="4" w:space="0" w:color="auto"/>
              <w:right w:val="single" w:sz="4" w:space="0" w:color="auto"/>
            </w:tcBorders>
            <w:shd w:val="clear" w:color="auto" w:fill="auto"/>
            <w:vAlign w:val="center"/>
          </w:tcPr>
          <w:p w14:paraId="7EB9998F" w14:textId="77777777" w:rsidR="0016750A" w:rsidRPr="0054775B" w:rsidRDefault="0016750A" w:rsidP="00195605">
            <w:pPr>
              <w:pStyle w:val="2024TABLETEXT"/>
              <w:framePr w:hSpace="0" w:wrap="auto" w:vAnchor="margin" w:yAlign="inline"/>
              <w:suppressOverlap w:val="0"/>
            </w:pPr>
            <w:r w:rsidRPr="0054775B">
              <w:t>Stress-related emotional functioning/mental health burden</w:t>
            </w:r>
          </w:p>
        </w:tc>
      </w:tr>
      <w:tr w:rsidR="00FC7A81" w:rsidRPr="0054775B" w14:paraId="1EE32849" w14:textId="77777777" w:rsidTr="006D45D9">
        <w:trPr>
          <w:trHeight w:val="95"/>
        </w:trPr>
        <w:tc>
          <w:tcPr>
            <w:tcW w:w="420" w:type="dxa"/>
            <w:vMerge/>
            <w:tcBorders>
              <w:left w:val="single" w:sz="4" w:space="0" w:color="auto"/>
              <w:right w:val="single" w:sz="4" w:space="0" w:color="auto"/>
            </w:tcBorders>
            <w:shd w:val="clear" w:color="auto" w:fill="auto"/>
            <w:vAlign w:val="center"/>
          </w:tcPr>
          <w:p w14:paraId="3B0BFBDD" w14:textId="77777777" w:rsidR="0016750A" w:rsidRPr="0054775B" w:rsidRDefault="0016750A" w:rsidP="00195605">
            <w:pPr>
              <w:pStyle w:val="2024TABLETEXT"/>
              <w:framePr w:hSpace="0" w:wrap="auto" w:vAnchor="margin" w:yAlign="inline"/>
              <w:suppressOverlap w:val="0"/>
            </w:pPr>
          </w:p>
        </w:tc>
        <w:tc>
          <w:tcPr>
            <w:tcW w:w="1135" w:type="dxa"/>
            <w:vMerge/>
            <w:tcBorders>
              <w:left w:val="nil"/>
              <w:right w:val="single" w:sz="4" w:space="0" w:color="auto"/>
            </w:tcBorders>
            <w:shd w:val="clear" w:color="auto" w:fill="auto"/>
            <w:vAlign w:val="center"/>
          </w:tcPr>
          <w:p w14:paraId="55CA19C9" w14:textId="77777777" w:rsidR="0016750A" w:rsidRPr="0054775B" w:rsidRDefault="0016750A" w:rsidP="00195605">
            <w:pPr>
              <w:pStyle w:val="2024TABLETEXT"/>
              <w:framePr w:hSpace="0" w:wrap="auto" w:vAnchor="margin" w:yAlign="inline"/>
              <w:suppressOverlap w:val="0"/>
            </w:pPr>
          </w:p>
        </w:tc>
        <w:tc>
          <w:tcPr>
            <w:tcW w:w="1275" w:type="dxa"/>
            <w:vMerge/>
            <w:tcBorders>
              <w:left w:val="nil"/>
              <w:right w:val="single" w:sz="4" w:space="0" w:color="auto"/>
            </w:tcBorders>
            <w:shd w:val="clear" w:color="auto" w:fill="auto"/>
            <w:vAlign w:val="center"/>
          </w:tcPr>
          <w:p w14:paraId="454C1F51" w14:textId="77777777" w:rsidR="0016750A" w:rsidRPr="0054775B" w:rsidRDefault="0016750A" w:rsidP="00195605">
            <w:pPr>
              <w:pStyle w:val="2024TABLETEXT"/>
              <w:framePr w:hSpace="0" w:wrap="auto" w:vAnchor="margin" w:yAlign="inline"/>
              <w:suppressOverlap w:val="0"/>
            </w:pPr>
          </w:p>
        </w:tc>
        <w:tc>
          <w:tcPr>
            <w:tcW w:w="851" w:type="dxa"/>
            <w:tcBorders>
              <w:top w:val="nil"/>
              <w:left w:val="nil"/>
              <w:bottom w:val="single" w:sz="4" w:space="0" w:color="auto"/>
              <w:right w:val="single" w:sz="4" w:space="0" w:color="auto"/>
            </w:tcBorders>
            <w:shd w:val="clear" w:color="auto" w:fill="auto"/>
            <w:vAlign w:val="center"/>
          </w:tcPr>
          <w:p w14:paraId="145A4477" w14:textId="77777777" w:rsidR="0016750A" w:rsidRPr="0054775B" w:rsidRDefault="0016750A" w:rsidP="00195605">
            <w:pPr>
              <w:pStyle w:val="2024TABLETEXT"/>
              <w:framePr w:hSpace="0" w:wrap="auto" w:vAnchor="margin" w:yAlign="inline"/>
              <w:suppressOverlap w:val="0"/>
            </w:pPr>
            <w:r w:rsidRPr="0054775B">
              <w:t>8</w:t>
            </w:r>
          </w:p>
        </w:tc>
        <w:tc>
          <w:tcPr>
            <w:tcW w:w="5245" w:type="dxa"/>
            <w:tcBorders>
              <w:top w:val="nil"/>
              <w:left w:val="nil"/>
              <w:bottom w:val="single" w:sz="4" w:space="0" w:color="auto"/>
              <w:right w:val="single" w:sz="4" w:space="0" w:color="auto"/>
            </w:tcBorders>
            <w:shd w:val="clear" w:color="auto" w:fill="auto"/>
            <w:vAlign w:val="center"/>
          </w:tcPr>
          <w:p w14:paraId="66013B21" w14:textId="594BFBDA" w:rsidR="0016750A" w:rsidRPr="0054775B" w:rsidRDefault="0016750A" w:rsidP="00195605">
            <w:pPr>
              <w:pStyle w:val="2024TABLETEXT"/>
              <w:framePr w:hSpace="0" w:wrap="auto" w:vAnchor="margin" w:yAlign="inline"/>
              <w:suppressOverlap w:val="0"/>
            </w:pPr>
            <w:r w:rsidRPr="0054775B">
              <w:t>Physiological symptoms of anxiety (heart rate, BP, adrenaline, skin conductance, weight gain, weight loss, cortisol levels)</w:t>
            </w:r>
          </w:p>
        </w:tc>
      </w:tr>
      <w:tr w:rsidR="00FC7A81" w:rsidRPr="0054775B" w14:paraId="3843AB12" w14:textId="77777777" w:rsidTr="006D45D9">
        <w:trPr>
          <w:trHeight w:val="95"/>
        </w:trPr>
        <w:tc>
          <w:tcPr>
            <w:tcW w:w="420" w:type="dxa"/>
            <w:vMerge/>
            <w:tcBorders>
              <w:left w:val="single" w:sz="4" w:space="0" w:color="auto"/>
              <w:bottom w:val="single" w:sz="4" w:space="0" w:color="auto"/>
              <w:right w:val="single" w:sz="4" w:space="0" w:color="auto"/>
            </w:tcBorders>
            <w:shd w:val="clear" w:color="auto" w:fill="auto"/>
            <w:vAlign w:val="center"/>
          </w:tcPr>
          <w:p w14:paraId="0B8D3EE1" w14:textId="77777777" w:rsidR="0016750A" w:rsidRPr="0054775B" w:rsidRDefault="0016750A" w:rsidP="00195605">
            <w:pPr>
              <w:pStyle w:val="2024TABLETEXT"/>
              <w:framePr w:hSpace="0" w:wrap="auto" w:vAnchor="margin" w:yAlign="inline"/>
              <w:suppressOverlap w:val="0"/>
            </w:pPr>
          </w:p>
        </w:tc>
        <w:tc>
          <w:tcPr>
            <w:tcW w:w="1135" w:type="dxa"/>
            <w:vMerge/>
            <w:tcBorders>
              <w:left w:val="nil"/>
              <w:bottom w:val="single" w:sz="4" w:space="0" w:color="auto"/>
              <w:right w:val="single" w:sz="4" w:space="0" w:color="auto"/>
            </w:tcBorders>
            <w:shd w:val="clear" w:color="auto" w:fill="auto"/>
            <w:vAlign w:val="center"/>
          </w:tcPr>
          <w:p w14:paraId="44B206B8" w14:textId="77777777" w:rsidR="0016750A" w:rsidRPr="0054775B" w:rsidRDefault="0016750A" w:rsidP="00195605">
            <w:pPr>
              <w:pStyle w:val="2024TABLETEXT"/>
              <w:framePr w:hSpace="0" w:wrap="auto" w:vAnchor="margin" w:yAlign="inline"/>
              <w:suppressOverlap w:val="0"/>
            </w:pPr>
          </w:p>
        </w:tc>
        <w:tc>
          <w:tcPr>
            <w:tcW w:w="1275" w:type="dxa"/>
            <w:vMerge/>
            <w:tcBorders>
              <w:left w:val="nil"/>
              <w:bottom w:val="single" w:sz="4" w:space="0" w:color="auto"/>
              <w:right w:val="single" w:sz="4" w:space="0" w:color="auto"/>
            </w:tcBorders>
            <w:shd w:val="clear" w:color="auto" w:fill="auto"/>
            <w:vAlign w:val="center"/>
          </w:tcPr>
          <w:p w14:paraId="7CB89788" w14:textId="77777777" w:rsidR="0016750A" w:rsidRPr="0054775B" w:rsidRDefault="0016750A" w:rsidP="00195605">
            <w:pPr>
              <w:pStyle w:val="2024TABLETEXT"/>
              <w:framePr w:hSpace="0" w:wrap="auto" w:vAnchor="margin" w:yAlign="inline"/>
              <w:suppressOverlap w:val="0"/>
            </w:pPr>
          </w:p>
        </w:tc>
        <w:tc>
          <w:tcPr>
            <w:tcW w:w="851" w:type="dxa"/>
            <w:tcBorders>
              <w:top w:val="nil"/>
              <w:left w:val="nil"/>
              <w:bottom w:val="single" w:sz="4" w:space="0" w:color="auto"/>
              <w:right w:val="single" w:sz="4" w:space="0" w:color="auto"/>
            </w:tcBorders>
            <w:shd w:val="clear" w:color="auto" w:fill="auto"/>
            <w:vAlign w:val="center"/>
          </w:tcPr>
          <w:p w14:paraId="509A42AD" w14:textId="77777777" w:rsidR="0016750A" w:rsidRPr="0054775B" w:rsidRDefault="0016750A" w:rsidP="00195605">
            <w:pPr>
              <w:pStyle w:val="2024TABLETEXT"/>
              <w:framePr w:hSpace="0" w:wrap="auto" w:vAnchor="margin" w:yAlign="inline"/>
              <w:suppressOverlap w:val="0"/>
            </w:pPr>
            <w:r w:rsidRPr="0054775B">
              <w:t>8</w:t>
            </w:r>
          </w:p>
        </w:tc>
        <w:tc>
          <w:tcPr>
            <w:tcW w:w="5245" w:type="dxa"/>
            <w:tcBorders>
              <w:top w:val="nil"/>
              <w:left w:val="nil"/>
              <w:bottom w:val="single" w:sz="4" w:space="0" w:color="auto"/>
              <w:right w:val="single" w:sz="4" w:space="0" w:color="auto"/>
            </w:tcBorders>
            <w:shd w:val="clear" w:color="auto" w:fill="auto"/>
            <w:vAlign w:val="center"/>
          </w:tcPr>
          <w:p w14:paraId="48FCD3DE" w14:textId="77777777" w:rsidR="0016750A" w:rsidRPr="0054775B" w:rsidRDefault="0016750A" w:rsidP="00195605">
            <w:pPr>
              <w:pStyle w:val="2024TABLETEXT"/>
              <w:framePr w:hSpace="0" w:wrap="auto" w:vAnchor="margin" w:yAlign="inline"/>
              <w:suppressOverlap w:val="0"/>
            </w:pPr>
            <w:r w:rsidRPr="0054775B">
              <w:t>HRQoL</w:t>
            </w:r>
          </w:p>
        </w:tc>
      </w:tr>
    </w:tbl>
    <w:p w14:paraId="25EB14C1" w14:textId="2E0D0471" w:rsidR="008D4BD9" w:rsidRPr="0054775B" w:rsidRDefault="008D4BD9" w:rsidP="009760CB">
      <w:pPr>
        <w:pStyle w:val="2024TABLEFOOTER"/>
      </w:pPr>
      <w:r w:rsidRPr="0054775B">
        <w:t>Abbreviations: BP</w:t>
      </w:r>
      <w:r w:rsidR="00753F64">
        <w:t xml:space="preserve"> </w:t>
      </w:r>
      <w:r w:rsidRPr="0054775B">
        <w:t>=</w:t>
      </w:r>
      <w:r w:rsidR="00753F64">
        <w:t xml:space="preserve"> </w:t>
      </w:r>
      <w:r w:rsidRPr="0054775B">
        <w:t>blood pressure; HRQoL=</w:t>
      </w:r>
      <w:r w:rsidR="00753F64">
        <w:t xml:space="preserve"> </w:t>
      </w:r>
      <w:r w:rsidRPr="0054775B">
        <w:t>health-related quality of life</w:t>
      </w:r>
      <w:r w:rsidR="00764AE0" w:rsidRPr="0054775B">
        <w:t>; NTWC</w:t>
      </w:r>
      <w:r w:rsidR="00753F64">
        <w:t xml:space="preserve"> </w:t>
      </w:r>
      <w:r w:rsidR="00764AE0" w:rsidRPr="0054775B">
        <w:t>=</w:t>
      </w:r>
      <w:r w:rsidR="00753F64">
        <w:t xml:space="preserve"> </w:t>
      </w:r>
      <w:r w:rsidR="00764AE0" w:rsidRPr="0054775B">
        <w:t>Natural Therapies Working Group</w:t>
      </w:r>
    </w:p>
    <w:p w14:paraId="15F840C4" w14:textId="17E4AB45" w:rsidR="00DF7691" w:rsidRPr="0054775B" w:rsidRDefault="00764AE0" w:rsidP="009760CB">
      <w:pPr>
        <w:pStyle w:val="2024TABLEFOOTER"/>
      </w:pPr>
      <w:r w:rsidRPr="0054775B">
        <w:t>*1-3 = of limited importance to decision making; 4-6 = important, but not critical, to decision making; 7-9 = critical for decision-making</w:t>
      </w:r>
    </w:p>
    <w:p w14:paraId="16D435C4" w14:textId="15AC366D" w:rsidR="00F513FE" w:rsidRPr="0054775B" w:rsidRDefault="00F513FE" w:rsidP="009E6F7F">
      <w:pPr>
        <w:pStyle w:val="2024HEADER3"/>
        <w:rPr>
          <w:rFonts w:ascii="Aptos" w:hAnsi="Aptos"/>
        </w:rPr>
      </w:pPr>
      <w:r w:rsidRPr="0054775B">
        <w:rPr>
          <w:rFonts w:ascii="Aptos" w:hAnsi="Aptos"/>
        </w:rPr>
        <w:t>Search findings</w:t>
      </w:r>
    </w:p>
    <w:p w14:paraId="7254E983" w14:textId="47E6E259" w:rsidR="007E3787" w:rsidRPr="0054775B" w:rsidRDefault="006C04E6" w:rsidP="009E6F7F">
      <w:r w:rsidRPr="0054775B">
        <w:lastRenderedPageBreak/>
        <w:t xml:space="preserve">In total, </w:t>
      </w:r>
      <w:r w:rsidR="00EE034F" w:rsidRPr="0054775B">
        <w:t xml:space="preserve">60 </w:t>
      </w:r>
      <w:r w:rsidR="003C2AC9">
        <w:t>reviews</w:t>
      </w:r>
      <w:r w:rsidR="003C2AC9" w:rsidRPr="0054775B">
        <w:t xml:space="preserve"> </w:t>
      </w:r>
      <w:r w:rsidRPr="0054775B">
        <w:t>were identified in the searches</w:t>
      </w:r>
      <w:r w:rsidR="003C425C" w:rsidRPr="0054775B">
        <w:t xml:space="preserve"> after de-duplication</w:t>
      </w:r>
      <w:r w:rsidR="00AF63F0" w:rsidRPr="0054775B">
        <w:t xml:space="preserve"> and underwent screening</w:t>
      </w:r>
      <w:r w:rsidRPr="0054775B">
        <w:t>. No</w:t>
      </w:r>
      <w:r w:rsidR="003A449A" w:rsidRPr="0054775B">
        <w:t>ne of the</w:t>
      </w:r>
      <w:r w:rsidRPr="0054775B">
        <w:t xml:space="preserve"> </w:t>
      </w:r>
      <w:r w:rsidR="003C2AC9">
        <w:t>reviews</w:t>
      </w:r>
      <w:r w:rsidR="003C2AC9" w:rsidRPr="0054775B">
        <w:t xml:space="preserve"> </w:t>
      </w:r>
      <w:r w:rsidRPr="0054775B">
        <w:t>provided by the Department’s call for evidence</w:t>
      </w:r>
      <w:r w:rsidR="003A449A" w:rsidRPr="0054775B">
        <w:t xml:space="preserve"> </w:t>
      </w:r>
      <w:r w:rsidR="00F751E8" w:rsidRPr="0054775B">
        <w:t>were relevant to this population-</w:t>
      </w:r>
      <w:r w:rsidR="0032560B">
        <w:t>supplement pair</w:t>
      </w:r>
      <w:r w:rsidRPr="0054775B">
        <w:t xml:space="preserve">. After title and abstract screening, </w:t>
      </w:r>
      <w:r w:rsidR="002F3DB9" w:rsidRPr="0054775B">
        <w:t>1</w:t>
      </w:r>
      <w:r w:rsidR="00722A39" w:rsidRPr="0054775B">
        <w:t>0</w:t>
      </w:r>
      <w:r w:rsidR="002F3DB9" w:rsidRPr="0054775B">
        <w:t xml:space="preserve"> </w:t>
      </w:r>
      <w:r w:rsidR="00417802">
        <w:t>reviews</w:t>
      </w:r>
      <w:r w:rsidR="00417802" w:rsidRPr="0054775B">
        <w:t xml:space="preserve"> </w:t>
      </w:r>
      <w:r w:rsidR="002F3DB9" w:rsidRPr="0054775B">
        <w:t xml:space="preserve">were </w:t>
      </w:r>
      <w:r w:rsidR="00FA0F77" w:rsidRPr="0054775B">
        <w:t xml:space="preserve">sought for </w:t>
      </w:r>
      <w:r w:rsidR="00CC2D94" w:rsidRPr="0054775B">
        <w:t xml:space="preserve">retrieval </w:t>
      </w:r>
      <w:r w:rsidR="002F3DB9" w:rsidRPr="0054775B">
        <w:t xml:space="preserve">for </w:t>
      </w:r>
      <w:r w:rsidRPr="0054775B">
        <w:t>full</w:t>
      </w:r>
      <w:r w:rsidR="002F3DB9" w:rsidRPr="0054775B">
        <w:t>-</w:t>
      </w:r>
      <w:r w:rsidRPr="0054775B">
        <w:t>text screening</w:t>
      </w:r>
      <w:r w:rsidR="007E3787" w:rsidRPr="0054775B">
        <w:t>:</w:t>
      </w:r>
      <w:r w:rsidR="00674D9F" w:rsidRPr="0054775B">
        <w:t xml:space="preserve"> </w:t>
      </w:r>
    </w:p>
    <w:p w14:paraId="5DCB8FFD" w14:textId="100EFD17" w:rsidR="00C11A13" w:rsidRPr="0054775B" w:rsidRDefault="00C11A13" w:rsidP="00107BEE">
      <w:pPr>
        <w:pStyle w:val="ListParagraph"/>
        <w:numPr>
          <w:ilvl w:val="0"/>
          <w:numId w:val="6"/>
        </w:numPr>
      </w:pPr>
      <w:r w:rsidRPr="0054775B">
        <w:t xml:space="preserve">2 </w:t>
      </w:r>
      <w:r w:rsidR="00417802">
        <w:t>reviews</w:t>
      </w:r>
      <w:r w:rsidR="00417802" w:rsidRPr="0054775B">
        <w:t xml:space="preserve"> </w:t>
      </w:r>
      <w:r w:rsidRPr="0054775B">
        <w:t>were ongoing (</w:t>
      </w:r>
      <w:r w:rsidR="007D2E60" w:rsidRPr="0054775B">
        <w:t xml:space="preserve">citation details recorded in Appendix </w:t>
      </w:r>
      <w:r w:rsidR="00EB662E">
        <w:t>C4</w:t>
      </w:r>
      <w:r w:rsidRPr="0054775B">
        <w:t>)</w:t>
      </w:r>
    </w:p>
    <w:p w14:paraId="2321C0E8" w14:textId="61BE0F72" w:rsidR="007E3787" w:rsidRPr="0054775B" w:rsidRDefault="00722A39" w:rsidP="00107BEE">
      <w:pPr>
        <w:pStyle w:val="ListParagraph"/>
        <w:numPr>
          <w:ilvl w:val="0"/>
          <w:numId w:val="6"/>
        </w:numPr>
      </w:pPr>
      <w:r w:rsidRPr="0054775B">
        <w:t>6</w:t>
      </w:r>
      <w:r w:rsidR="00D27CE4" w:rsidRPr="0054775B">
        <w:t xml:space="preserve"> </w:t>
      </w:r>
      <w:r w:rsidR="00417802">
        <w:t>reviews</w:t>
      </w:r>
      <w:r w:rsidR="00D27CE4" w:rsidRPr="0054775B" w:rsidDel="00417802">
        <w:t xml:space="preserve"> </w:t>
      </w:r>
      <w:r w:rsidR="00D27CE4" w:rsidRPr="0054775B">
        <w:t xml:space="preserve">did not meet inclusion criteria </w:t>
      </w:r>
      <w:r w:rsidR="00674D9F" w:rsidRPr="0054775B">
        <w:t>(</w:t>
      </w:r>
      <w:r w:rsidR="00E34EEF" w:rsidRPr="0054775B">
        <w:t xml:space="preserve">citation details and </w:t>
      </w:r>
      <w:r w:rsidR="001332AF" w:rsidRPr="0054775B">
        <w:t xml:space="preserve">reasons for exclusion recorded in Appendix </w:t>
      </w:r>
      <w:r w:rsidR="004A44A3">
        <w:t>C</w:t>
      </w:r>
      <w:r w:rsidR="00674D9F" w:rsidRPr="0054775B">
        <w:t xml:space="preserve">) </w:t>
      </w:r>
    </w:p>
    <w:p w14:paraId="04FF4E7E" w14:textId="1606C9CB" w:rsidR="006C04E6" w:rsidRPr="0054775B" w:rsidRDefault="00C65E11" w:rsidP="009E6F7F">
      <w:r w:rsidRPr="0054775B">
        <w:t>Therefore,</w:t>
      </w:r>
      <w:r w:rsidR="00316460" w:rsidRPr="0054775B">
        <w:t xml:space="preserve"> two</w:t>
      </w:r>
      <w:r w:rsidR="006C04E6" w:rsidRPr="0054775B">
        <w:t xml:space="preserve"> </w:t>
      </w:r>
      <w:r w:rsidR="00417802">
        <w:t>reviews</w:t>
      </w:r>
      <w:r w:rsidR="00417802" w:rsidRPr="0054775B">
        <w:t xml:space="preserve"> </w:t>
      </w:r>
      <w:r w:rsidR="006C04E6" w:rsidRPr="0054775B">
        <w:t>met the inclusion criteria</w:t>
      </w:r>
      <w:r w:rsidR="00C03ECD" w:rsidRPr="0054775B">
        <w:t xml:space="preserve">. </w:t>
      </w:r>
      <w:r w:rsidR="00BD4655" w:rsidRPr="0054775B">
        <w:t>Characteristics of included reviews</w:t>
      </w:r>
      <w:r w:rsidR="00C03ECD" w:rsidRPr="0054775B">
        <w:t xml:space="preserve"> are presented in Appendix </w:t>
      </w:r>
      <w:r w:rsidR="00D50FB1">
        <w:t>D</w:t>
      </w:r>
      <w:r w:rsidR="006C04E6" w:rsidRPr="0054775B">
        <w:t xml:space="preserve">. </w:t>
      </w:r>
      <w:r w:rsidR="00C03ECD" w:rsidRPr="0054775B">
        <w:t>A</w:t>
      </w:r>
      <w:r w:rsidR="006C04E6" w:rsidRPr="0054775B">
        <w:t xml:space="preserve"> full PRISMA flowchart is presented below.</w:t>
      </w:r>
      <w:r w:rsidR="006C04E6" w:rsidRPr="0054775B">
        <w:rPr>
          <w:highlight w:val="yellow"/>
        </w:rPr>
        <w:t xml:space="preserve"> </w:t>
      </w:r>
    </w:p>
    <w:p w14:paraId="5172F9DC" w14:textId="762620E6" w:rsidR="006C04E6" w:rsidRPr="0054775B" w:rsidRDefault="006C04E6" w:rsidP="00DF7691">
      <w:pPr>
        <w:pStyle w:val="2024TABLECAPTION"/>
        <w:rPr>
          <w:rFonts w:ascii="Aptos" w:hAnsi="Aptos"/>
        </w:rPr>
      </w:pPr>
      <w:bookmarkStart w:id="57" w:name="_Toc178348004"/>
      <w:r w:rsidRPr="0054775B">
        <w:rPr>
          <w:rFonts w:ascii="Aptos" w:hAnsi="Aptos"/>
        </w:rPr>
        <w:t xml:space="preserve">Figure </w:t>
      </w:r>
      <w:r w:rsidR="002F1F6C" w:rsidRPr="0054775B">
        <w:rPr>
          <w:rFonts w:ascii="Aptos" w:hAnsi="Aptos"/>
        </w:rPr>
        <w:fldChar w:fldCharType="begin"/>
      </w:r>
      <w:r w:rsidR="002F1F6C" w:rsidRPr="0054775B">
        <w:rPr>
          <w:rFonts w:ascii="Aptos" w:hAnsi="Aptos"/>
        </w:rPr>
        <w:instrText xml:space="preserve"> SEQ Figure \* ARABIC </w:instrText>
      </w:r>
      <w:r w:rsidR="002F1F6C" w:rsidRPr="0054775B">
        <w:rPr>
          <w:rFonts w:ascii="Aptos" w:hAnsi="Aptos"/>
        </w:rPr>
        <w:fldChar w:fldCharType="separate"/>
      </w:r>
      <w:r w:rsidR="00651E04">
        <w:rPr>
          <w:rFonts w:ascii="Aptos" w:hAnsi="Aptos"/>
          <w:noProof/>
        </w:rPr>
        <w:t>1</w:t>
      </w:r>
      <w:r w:rsidR="002F1F6C" w:rsidRPr="0054775B">
        <w:rPr>
          <w:rFonts w:ascii="Aptos" w:hAnsi="Aptos"/>
          <w:noProof/>
        </w:rPr>
        <w:fldChar w:fldCharType="end"/>
      </w:r>
      <w:r w:rsidRPr="0054775B">
        <w:rPr>
          <w:rFonts w:ascii="Aptos" w:hAnsi="Aptos"/>
        </w:rPr>
        <w:t>. PRISMA flowchart</w:t>
      </w:r>
      <w:r w:rsidR="00C230B2" w:rsidRPr="0054775B">
        <w:rPr>
          <w:rFonts w:ascii="Aptos" w:hAnsi="Aptos"/>
        </w:rPr>
        <w:t xml:space="preserve"> – anxiety</w:t>
      </w:r>
      <w:r w:rsidR="001273D3" w:rsidRPr="0054775B">
        <w:rPr>
          <w:rFonts w:ascii="Aptos" w:hAnsi="Aptos"/>
        </w:rPr>
        <w:t xml:space="preserve"> (including post-natal)</w:t>
      </w:r>
      <w:r w:rsidR="00C230B2" w:rsidRPr="0054775B">
        <w:rPr>
          <w:rFonts w:ascii="Aptos" w:hAnsi="Aptos"/>
        </w:rPr>
        <w:t>, magnesium</w:t>
      </w:r>
      <w:r w:rsidRPr="0054775B">
        <w:rPr>
          <w:rFonts w:ascii="Aptos" w:hAnsi="Aptos"/>
        </w:rPr>
        <w:t>.</w:t>
      </w:r>
      <w:bookmarkEnd w:id="57"/>
    </w:p>
    <w:p w14:paraId="42E84EB4" w14:textId="3B47F2AF" w:rsidR="006C04E6" w:rsidRPr="0054775B" w:rsidRDefault="005D3196" w:rsidP="009E6F7F">
      <w:r w:rsidRPr="0054775B">
        <w:rPr>
          <w:noProof/>
          <w:highlight w:val="yellow"/>
        </w:rPr>
        <mc:AlternateContent>
          <mc:Choice Requires="wpg">
            <w:drawing>
              <wp:anchor distT="0" distB="0" distL="114300" distR="114300" simplePos="0" relativeHeight="251658241" behindDoc="0" locked="0" layoutInCell="1" allowOverlap="1" wp14:anchorId="5235E74F" wp14:editId="3E0F40A5">
                <wp:simplePos x="0" y="0"/>
                <wp:positionH relativeFrom="column">
                  <wp:posOffset>18233</wp:posOffset>
                </wp:positionH>
                <wp:positionV relativeFrom="paragraph">
                  <wp:posOffset>119040</wp:posOffset>
                </wp:positionV>
                <wp:extent cx="5339080" cy="4080510"/>
                <wp:effectExtent l="0" t="0" r="7620" b="8890"/>
                <wp:wrapSquare wrapText="bothSides"/>
                <wp:docPr id="10" name="Group 10"/>
                <wp:cNvGraphicFramePr/>
                <a:graphic xmlns:a="http://schemas.openxmlformats.org/drawingml/2006/main">
                  <a:graphicData uri="http://schemas.microsoft.com/office/word/2010/wordprocessingGroup">
                    <wpg:wgp>
                      <wpg:cNvGrpSpPr/>
                      <wpg:grpSpPr>
                        <a:xfrm>
                          <a:off x="0" y="0"/>
                          <a:ext cx="5339080" cy="4080510"/>
                          <a:chOff x="16328" y="-35859"/>
                          <a:chExt cx="5536496" cy="4587469"/>
                        </a:xfrm>
                      </wpg:grpSpPr>
                      <wps:wsp>
                        <wps:cNvPr id="2" name="Rectangle 2"/>
                        <wps:cNvSpPr/>
                        <wps:spPr>
                          <a:xfrm>
                            <a:off x="3180705" y="425302"/>
                            <a:ext cx="2355790" cy="83947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7698CF0" w14:textId="77777777" w:rsidR="005D3196" w:rsidRPr="008C6127" w:rsidRDefault="005D3196" w:rsidP="00D52BE2">
                              <w:pPr>
                                <w:pStyle w:val="2024-PRISMA"/>
                              </w:pPr>
                              <w:r w:rsidRPr="008C6127">
                                <w:t>Records removed before screening:</w:t>
                              </w:r>
                            </w:p>
                            <w:p w14:paraId="0750ABE8" w14:textId="35404D11" w:rsidR="005D3196" w:rsidRPr="008C6127" w:rsidRDefault="005D3196" w:rsidP="00D52BE2">
                              <w:pPr>
                                <w:pStyle w:val="2024-PRISMA"/>
                              </w:pPr>
                              <w:r w:rsidRPr="008C6127">
                                <w:t xml:space="preserve">Duplicate records removed (n = </w:t>
                              </w:r>
                              <w:r w:rsidR="00D65569" w:rsidRPr="008C6127">
                                <w:t>4</w:t>
                              </w:r>
                              <w:r w:rsidRPr="008C6127">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Rectangle 5"/>
                        <wps:cNvSpPr/>
                        <wps:spPr>
                          <a:xfrm>
                            <a:off x="2987749" y="1509823"/>
                            <a:ext cx="1887220" cy="52641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CDF9928" w14:textId="77777777" w:rsidR="005D3196" w:rsidRPr="008C6127" w:rsidRDefault="005D3196" w:rsidP="00D52BE2">
                              <w:pPr>
                                <w:pStyle w:val="2024-PRISMA"/>
                              </w:pPr>
                              <w:r w:rsidRPr="008C6127">
                                <w:t>Records excluded</w:t>
                              </w:r>
                            </w:p>
                            <w:p w14:paraId="69035E02" w14:textId="12781B4D" w:rsidR="005D3196" w:rsidRPr="008C6127" w:rsidRDefault="005D3196" w:rsidP="00D52BE2">
                              <w:pPr>
                                <w:pStyle w:val="2024-PRISMA"/>
                              </w:pPr>
                              <w:r w:rsidRPr="008C6127">
                                <w:t xml:space="preserve">(n = </w:t>
                              </w:r>
                              <w:r w:rsidR="00722A39" w:rsidRPr="008C6127">
                                <w:t>50</w:t>
                              </w:r>
                              <w:r w:rsidRPr="008C6127">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Rectangle 7"/>
                        <wps:cNvSpPr/>
                        <wps:spPr>
                          <a:xfrm>
                            <a:off x="2987749" y="2101577"/>
                            <a:ext cx="2351878" cy="770893"/>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13A61B2" w14:textId="2E42C96D" w:rsidR="005D3196" w:rsidRPr="008C6127" w:rsidRDefault="00FC115B" w:rsidP="00D52BE2">
                              <w:pPr>
                                <w:pStyle w:val="2024-PRISMA"/>
                              </w:pPr>
                              <w:r w:rsidRPr="008C6127">
                                <w:t>Full-text unavailable</w:t>
                              </w:r>
                              <w:r w:rsidR="005D3196" w:rsidRPr="008C6127">
                                <w:t xml:space="preserve"> (n</w:t>
                              </w:r>
                              <w:r w:rsidR="00EE2A5B" w:rsidRPr="008C6127">
                                <w:t xml:space="preserve"> = 0</w:t>
                              </w:r>
                              <w:r w:rsidR="005D3196" w:rsidRPr="008C6127">
                                <w:t>)</w:t>
                              </w:r>
                            </w:p>
                            <w:p w14:paraId="47312475" w14:textId="635DF8E7" w:rsidR="00FC115B" w:rsidRDefault="00EE2A5B" w:rsidP="00D52BE2">
                              <w:pPr>
                                <w:pStyle w:val="2024-PRISMA"/>
                              </w:pPr>
                              <w:r w:rsidRPr="008C6127">
                                <w:t>Ongoing study</w:t>
                              </w:r>
                              <w:r w:rsidR="00FC115B" w:rsidRPr="008C6127">
                                <w:t xml:space="preserve"> (n</w:t>
                              </w:r>
                              <w:r w:rsidRPr="008C6127">
                                <w:t xml:space="preserve"> = 2</w:t>
                              </w:r>
                              <w:r w:rsidR="00FC115B" w:rsidRPr="008C6127">
                                <w:t>)</w:t>
                              </w:r>
                            </w:p>
                            <w:p w14:paraId="66AF9FB2" w14:textId="7EB2D645" w:rsidR="0017022E" w:rsidRPr="008C6127" w:rsidRDefault="0017022E" w:rsidP="00D52BE2">
                              <w:pPr>
                                <w:pStyle w:val="2024-PRISMA"/>
                              </w:pPr>
                              <w:r>
                                <w:t>Conference abstracts (n = 0)</w:t>
                              </w:r>
                            </w:p>
                            <w:p w14:paraId="77C2C3E0" w14:textId="1AD15CD7" w:rsidR="005D3196" w:rsidRPr="008C6127" w:rsidRDefault="0097733F" w:rsidP="00D52BE2">
                              <w:pPr>
                                <w:pStyle w:val="2024-PRISMA"/>
                              </w:pPr>
                              <w:r>
                                <w:t>Reviews</w:t>
                              </w:r>
                              <w:r w:rsidR="005D3196" w:rsidRPr="008C6127">
                                <w:t xml:space="preserve"> Awaiting Classification (n = </w:t>
                              </w:r>
                              <w:r w:rsidR="00EE2A5B" w:rsidRPr="008C6127">
                                <w:t>0</w:t>
                              </w:r>
                              <w:r w:rsidR="005D3196" w:rsidRPr="008C6127">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Rectangle 9"/>
                        <wps:cNvSpPr/>
                        <wps:spPr>
                          <a:xfrm>
                            <a:off x="2987749" y="2955851"/>
                            <a:ext cx="2179320" cy="10587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5E15CE4" w14:textId="16797C5D" w:rsidR="005D3196" w:rsidRPr="008C6127" w:rsidRDefault="005D3196" w:rsidP="00D52BE2">
                              <w:pPr>
                                <w:pStyle w:val="2024-PRISMA"/>
                              </w:pPr>
                              <w:r w:rsidRPr="008C6127">
                                <w:t xml:space="preserve">Reports excluded (n = </w:t>
                              </w:r>
                              <w:r w:rsidR="00722A39" w:rsidRPr="008C6127">
                                <w:t>6</w:t>
                              </w:r>
                              <w:r w:rsidRPr="008C6127">
                                <w:t>):</w:t>
                              </w:r>
                            </w:p>
                            <w:p w14:paraId="797B9533" w14:textId="46DFCFC4" w:rsidR="00EE2A5B" w:rsidRPr="008C6127" w:rsidRDefault="00EE2A5B" w:rsidP="00D52BE2">
                              <w:pPr>
                                <w:pStyle w:val="2024-PRISMA"/>
                              </w:pPr>
                              <w:r w:rsidRPr="008C6127">
                                <w:t xml:space="preserve">Wrong population (n = </w:t>
                              </w:r>
                              <w:r w:rsidR="00C230B2" w:rsidRPr="008C6127">
                                <w:t>1</w:t>
                              </w:r>
                              <w:r w:rsidRPr="008C6127">
                                <w:t>)</w:t>
                              </w:r>
                            </w:p>
                            <w:p w14:paraId="1B0970C1" w14:textId="2A19540F" w:rsidR="005D3196" w:rsidRPr="008C6127" w:rsidRDefault="005D3196" w:rsidP="00D52BE2">
                              <w:pPr>
                                <w:pStyle w:val="2024-PRISMA"/>
                              </w:pPr>
                              <w:r w:rsidRPr="008C6127">
                                <w:t xml:space="preserve">Wrong outcomes (n = </w:t>
                              </w:r>
                              <w:r w:rsidR="00722A39" w:rsidRPr="008C6127">
                                <w:t>1</w:t>
                              </w:r>
                              <w:r w:rsidRPr="008C6127">
                                <w:t>)</w:t>
                              </w:r>
                            </w:p>
                            <w:p w14:paraId="68BE87FB" w14:textId="4B387F8F" w:rsidR="005D3196" w:rsidRPr="008C6127" w:rsidRDefault="00EE2A5B" w:rsidP="00D52BE2">
                              <w:pPr>
                                <w:pStyle w:val="2024-PRISMA"/>
                              </w:pPr>
                              <w:r w:rsidRPr="008C6127">
                                <w:t xml:space="preserve">Does not meet minimum criteria for systematic review (n = </w:t>
                              </w:r>
                              <w:r w:rsidR="00C230B2" w:rsidRPr="008C6127">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Straight Arrow Connector 14"/>
                        <wps:cNvCnPr/>
                        <wps:spPr>
                          <a:xfrm>
                            <a:off x="2424224" y="975833"/>
                            <a:ext cx="756482"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5" name="Straight Arrow Connector 15"/>
                        <wps:cNvCnPr/>
                        <wps:spPr>
                          <a:xfrm>
                            <a:off x="2392326" y="1720112"/>
                            <a:ext cx="563245"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6" name="Straight Arrow Connector 16"/>
                        <wps:cNvCnPr/>
                        <wps:spPr>
                          <a:xfrm>
                            <a:off x="2402958" y="2421861"/>
                            <a:ext cx="563245"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7" name="Straight Arrow Connector 17"/>
                        <wps:cNvCnPr/>
                        <wps:spPr>
                          <a:xfrm>
                            <a:off x="2413591" y="3155507"/>
                            <a:ext cx="563245"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31" name="Flowchart: Alternate Process 31"/>
                        <wps:cNvSpPr/>
                        <wps:spPr>
                          <a:xfrm rot="16200000">
                            <a:off x="-363141" y="775579"/>
                            <a:ext cx="1084521" cy="325092"/>
                          </a:xfrm>
                          <a:prstGeom prst="flowChartAlternateProcess">
                            <a:avLst/>
                          </a:prstGeom>
                          <a:solidFill>
                            <a:schemeClr val="accent5">
                              <a:lumMod val="60000"/>
                              <a:lumOff val="40000"/>
                            </a:schemeClr>
                          </a:solidFill>
                          <a:ln>
                            <a:solidFill>
                              <a:schemeClr val="tx1"/>
                            </a:solidFill>
                          </a:ln>
                        </wps:spPr>
                        <wps:style>
                          <a:lnRef idx="2">
                            <a:schemeClr val="accent4">
                              <a:shade val="50000"/>
                            </a:schemeClr>
                          </a:lnRef>
                          <a:fillRef idx="1">
                            <a:schemeClr val="accent4"/>
                          </a:fillRef>
                          <a:effectRef idx="0">
                            <a:schemeClr val="accent4"/>
                          </a:effectRef>
                          <a:fontRef idx="minor">
                            <a:schemeClr val="lt1"/>
                          </a:fontRef>
                        </wps:style>
                        <wps:txbx>
                          <w:txbxContent>
                            <w:p w14:paraId="7073A982" w14:textId="77777777" w:rsidR="005D3196" w:rsidRPr="001428E8" w:rsidRDefault="005D3196" w:rsidP="00D52BE2">
                              <w:pPr>
                                <w:pStyle w:val="2024-PRISMA"/>
                                <w:rPr>
                                  <w:b/>
                                </w:rPr>
                              </w:pPr>
                              <w:r w:rsidRPr="001428E8">
                                <w:rPr>
                                  <w:b/>
                                </w:rPr>
                                <w:t>Identification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 name="Flowchart: Alternate Process 32"/>
                        <wps:cNvSpPr/>
                        <wps:spPr>
                          <a:xfrm rot="16200000">
                            <a:off x="-875292" y="2428098"/>
                            <a:ext cx="2108896" cy="325020"/>
                          </a:xfrm>
                          <a:prstGeom prst="flowChartAlternateProcess">
                            <a:avLst/>
                          </a:prstGeom>
                          <a:solidFill>
                            <a:schemeClr val="accent5">
                              <a:lumMod val="60000"/>
                              <a:lumOff val="40000"/>
                            </a:schemeClr>
                          </a:solidFill>
                          <a:ln>
                            <a:solidFill>
                              <a:schemeClr val="tx1"/>
                            </a:solidFill>
                          </a:ln>
                        </wps:spPr>
                        <wps:style>
                          <a:lnRef idx="2">
                            <a:schemeClr val="accent4">
                              <a:shade val="50000"/>
                            </a:schemeClr>
                          </a:lnRef>
                          <a:fillRef idx="1">
                            <a:schemeClr val="accent4"/>
                          </a:fillRef>
                          <a:effectRef idx="0">
                            <a:schemeClr val="accent4"/>
                          </a:effectRef>
                          <a:fontRef idx="minor">
                            <a:schemeClr val="lt1"/>
                          </a:fontRef>
                        </wps:style>
                        <wps:txbx>
                          <w:txbxContent>
                            <w:p w14:paraId="203ACDB3" w14:textId="77777777" w:rsidR="005D3196" w:rsidRPr="001428E8" w:rsidRDefault="005D3196" w:rsidP="001428E8">
                              <w:pPr>
                                <w:pStyle w:val="2024-PRISMA"/>
                                <w:jc w:val="center"/>
                                <w:rPr>
                                  <w:b/>
                                </w:rPr>
                              </w:pPr>
                              <w:r w:rsidRPr="001428E8">
                                <w:rPr>
                                  <w:b/>
                                </w:rPr>
                                <w:t>Screening</w:t>
                              </w:r>
                            </w:p>
                            <w:p w14:paraId="0AF20E0B" w14:textId="77777777" w:rsidR="005D3196" w:rsidRPr="001428E8" w:rsidRDefault="005D3196" w:rsidP="00D52BE2">
                              <w:pPr>
                                <w:pStyle w:val="2024-PRISMA"/>
                                <w:rPr>
                                  <w: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 name="Flowchart: Alternate Process 33"/>
                        <wps:cNvSpPr/>
                        <wps:spPr>
                          <a:xfrm rot="16200000">
                            <a:off x="-248952" y="3967575"/>
                            <a:ext cx="849544" cy="318525"/>
                          </a:xfrm>
                          <a:prstGeom prst="flowChartAlternateProcess">
                            <a:avLst/>
                          </a:prstGeom>
                          <a:solidFill>
                            <a:schemeClr val="accent5">
                              <a:lumMod val="60000"/>
                              <a:lumOff val="40000"/>
                            </a:schemeClr>
                          </a:solidFill>
                          <a:ln>
                            <a:solidFill>
                              <a:schemeClr val="tx1"/>
                            </a:solidFill>
                          </a:ln>
                        </wps:spPr>
                        <wps:style>
                          <a:lnRef idx="2">
                            <a:schemeClr val="accent4">
                              <a:shade val="50000"/>
                            </a:schemeClr>
                          </a:lnRef>
                          <a:fillRef idx="1">
                            <a:schemeClr val="accent4"/>
                          </a:fillRef>
                          <a:effectRef idx="0">
                            <a:schemeClr val="accent4"/>
                          </a:effectRef>
                          <a:fontRef idx="minor">
                            <a:schemeClr val="lt1"/>
                          </a:fontRef>
                        </wps:style>
                        <wps:txbx>
                          <w:txbxContent>
                            <w:p w14:paraId="03117073" w14:textId="77777777" w:rsidR="005D3196" w:rsidRPr="001428E8" w:rsidRDefault="005D3196" w:rsidP="00D52BE2">
                              <w:pPr>
                                <w:pStyle w:val="2024-PRISMA"/>
                                <w:rPr>
                                  <w:b/>
                                </w:rPr>
                              </w:pPr>
                              <w:r w:rsidRPr="001428E8">
                                <w:rPr>
                                  <w:b/>
                                </w:rPr>
                                <w:t>Included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 name="Straight Arrow Connector 27"/>
                        <wps:cNvCnPr/>
                        <wps:spPr>
                          <a:xfrm>
                            <a:off x="1339407" y="1233377"/>
                            <a:ext cx="0" cy="28130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35" name="Straight Arrow Connector 35"/>
                        <wps:cNvCnPr/>
                        <wps:spPr>
                          <a:xfrm>
                            <a:off x="1339407" y="1967023"/>
                            <a:ext cx="0" cy="28130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36" name="Straight Arrow Connector 36"/>
                        <wps:cNvCnPr/>
                        <wps:spPr>
                          <a:xfrm>
                            <a:off x="1350040" y="2690037"/>
                            <a:ext cx="0" cy="28130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9" name="Straight Arrow Connector 19"/>
                        <wps:cNvCnPr/>
                        <wps:spPr>
                          <a:xfrm>
                            <a:off x="1339406" y="3231190"/>
                            <a:ext cx="0" cy="74612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9" name="Flowchart: Alternate Process 29"/>
                        <wps:cNvSpPr/>
                        <wps:spPr>
                          <a:xfrm>
                            <a:off x="16328" y="-35859"/>
                            <a:ext cx="5536496" cy="374816"/>
                          </a:xfrm>
                          <a:prstGeom prst="flowChartAlternateProcess">
                            <a:avLst/>
                          </a:prstGeom>
                        </wps:spPr>
                        <wps:style>
                          <a:lnRef idx="2">
                            <a:schemeClr val="accent4">
                              <a:shade val="50000"/>
                            </a:schemeClr>
                          </a:lnRef>
                          <a:fillRef idx="1">
                            <a:schemeClr val="accent4"/>
                          </a:fillRef>
                          <a:effectRef idx="0">
                            <a:schemeClr val="accent4"/>
                          </a:effectRef>
                          <a:fontRef idx="minor">
                            <a:schemeClr val="lt1"/>
                          </a:fontRef>
                        </wps:style>
                        <wps:txbx>
                          <w:txbxContent>
                            <w:p w14:paraId="4F13A4F2" w14:textId="2A9499B3" w:rsidR="005D3196" w:rsidRPr="001428E8" w:rsidRDefault="005D3196" w:rsidP="001428E8">
                              <w:pPr>
                                <w:pStyle w:val="2024-PRISMA"/>
                                <w:jc w:val="center"/>
                                <w:rPr>
                                  <w:b/>
                                </w:rPr>
                              </w:pPr>
                              <w:r w:rsidRPr="001428E8">
                                <w:rPr>
                                  <w:b/>
                                </w:rPr>
                                <w:t xml:space="preserve">Identification of </w:t>
                              </w:r>
                              <w:r w:rsidR="00C93914">
                                <w:rPr>
                                  <w:b/>
                                </w:rPr>
                                <w:t>reviews</w:t>
                              </w:r>
                              <w:r w:rsidR="00C93914" w:rsidRPr="001428E8">
                                <w:rPr>
                                  <w:b/>
                                </w:rPr>
                                <w:t xml:space="preserve"> </w:t>
                              </w:r>
                              <w:r w:rsidRPr="001428E8">
                                <w:rPr>
                                  <w:b/>
                                </w:rPr>
                                <w:t>via databases and registers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 name="Rectangle 1"/>
                        <wps:cNvSpPr/>
                        <wps:spPr>
                          <a:xfrm>
                            <a:off x="499730" y="425302"/>
                            <a:ext cx="2455839" cy="839972"/>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FABC876" w14:textId="580443EE" w:rsidR="005D3196" w:rsidRPr="008C6127" w:rsidRDefault="005D3196" w:rsidP="00D52BE2">
                              <w:pPr>
                                <w:pStyle w:val="2024-PRISMA"/>
                              </w:pPr>
                              <w:r w:rsidRPr="008C6127">
                                <w:t>Records identified from:</w:t>
                              </w:r>
                            </w:p>
                            <w:p w14:paraId="3C361A9A" w14:textId="01B0C7B5" w:rsidR="005D3196" w:rsidRPr="008C6127" w:rsidRDefault="005D3196" w:rsidP="00D52BE2">
                              <w:pPr>
                                <w:pStyle w:val="2024-PRISMA"/>
                              </w:pPr>
                              <w:r w:rsidRPr="008C6127">
                                <w:t xml:space="preserve">Databases and registers (n = </w:t>
                              </w:r>
                              <w:r w:rsidR="00832896" w:rsidRPr="008C6127">
                                <w:t>6</w:t>
                              </w:r>
                              <w:r w:rsidR="00D65569" w:rsidRPr="008C6127">
                                <w:t>4</w:t>
                              </w:r>
                              <w:r w:rsidRPr="008C6127">
                                <w:t>)</w:t>
                              </w:r>
                            </w:p>
                            <w:p w14:paraId="02A76795" w14:textId="0A4C5ED8" w:rsidR="005D3196" w:rsidRPr="008C6127" w:rsidRDefault="005D3196" w:rsidP="00D52BE2">
                              <w:pPr>
                                <w:pStyle w:val="2024-PRISMA"/>
                              </w:pPr>
                              <w:r w:rsidRPr="008C6127">
                                <w:t>Manual</w:t>
                              </w:r>
                              <w:r w:rsidR="00111345" w:rsidRPr="008C6127">
                                <w:t xml:space="preserve"> or </w:t>
                              </w:r>
                              <w:r w:rsidRPr="008C6127">
                                <w:t xml:space="preserve">citation </w:t>
                              </w:r>
                              <w:r w:rsidR="00111345" w:rsidRPr="008C6127">
                                <w:t xml:space="preserve">searching </w:t>
                              </w:r>
                              <w:r w:rsidRPr="008C6127">
                                <w:t xml:space="preserve">(n = </w:t>
                              </w:r>
                              <w:r w:rsidR="00832896" w:rsidRPr="008C6127">
                                <w:t>0</w:t>
                              </w:r>
                              <w:r w:rsidRPr="008C6127">
                                <w:t>)</w:t>
                              </w:r>
                            </w:p>
                            <w:p w14:paraId="75E95F2A" w14:textId="69F3D7CF" w:rsidR="00111345" w:rsidRPr="008C6127" w:rsidRDefault="00111345" w:rsidP="00D52BE2">
                              <w:pPr>
                                <w:pStyle w:val="2024-PRISMA"/>
                              </w:pPr>
                              <w:r w:rsidRPr="008C6127">
                                <w:t>Department’s call for evidence (n = 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Rectangle 4"/>
                        <wps:cNvSpPr/>
                        <wps:spPr>
                          <a:xfrm>
                            <a:off x="499731" y="1520456"/>
                            <a:ext cx="1887220" cy="52641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B3D663D" w14:textId="77777777" w:rsidR="005D3196" w:rsidRPr="008C6127" w:rsidRDefault="005D3196" w:rsidP="00D52BE2">
                              <w:pPr>
                                <w:pStyle w:val="2024-PRISMA"/>
                              </w:pPr>
                              <w:r w:rsidRPr="008C6127">
                                <w:t>Records screened</w:t>
                              </w:r>
                            </w:p>
                            <w:p w14:paraId="2D882B53" w14:textId="7806DB42" w:rsidR="005D3196" w:rsidRPr="008C6127" w:rsidRDefault="005D3196" w:rsidP="00D52BE2">
                              <w:pPr>
                                <w:pStyle w:val="2024-PRISMA"/>
                              </w:pPr>
                              <w:r w:rsidRPr="008C6127">
                                <w:t xml:space="preserve">(n = </w:t>
                              </w:r>
                              <w:r w:rsidR="00832896" w:rsidRPr="008C6127">
                                <w:t>60</w:t>
                              </w:r>
                              <w:r w:rsidRPr="008C6127">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Rectangle 8"/>
                        <wps:cNvSpPr/>
                        <wps:spPr>
                          <a:xfrm>
                            <a:off x="499731" y="2977116"/>
                            <a:ext cx="1887220" cy="52641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BF2CE9D" w14:textId="77777777" w:rsidR="005D3196" w:rsidRPr="008C6127" w:rsidRDefault="005D3196" w:rsidP="00D52BE2">
                              <w:pPr>
                                <w:pStyle w:val="2024-PRISMA"/>
                              </w:pPr>
                              <w:r w:rsidRPr="008C6127">
                                <w:t>Reports assessed for eligibility</w:t>
                              </w:r>
                            </w:p>
                            <w:p w14:paraId="0CED5779" w14:textId="0FAB7849" w:rsidR="005D3196" w:rsidRPr="008C6127" w:rsidRDefault="005D3196" w:rsidP="00D52BE2">
                              <w:pPr>
                                <w:pStyle w:val="2024-PRISMA"/>
                              </w:pPr>
                              <w:r w:rsidRPr="008C6127">
                                <w:t xml:space="preserve">(n = </w:t>
                              </w:r>
                              <w:r w:rsidR="00722A39" w:rsidRPr="008C6127">
                                <w:t>8</w:t>
                              </w:r>
                              <w:r w:rsidRPr="008C6127">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Rectangle 13"/>
                        <wps:cNvSpPr/>
                        <wps:spPr>
                          <a:xfrm>
                            <a:off x="489098" y="3990310"/>
                            <a:ext cx="1887220" cy="511952"/>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05DF130" w14:textId="7A470164" w:rsidR="005D3196" w:rsidRPr="008C6127" w:rsidRDefault="00C93914" w:rsidP="00D52BE2">
                              <w:pPr>
                                <w:pStyle w:val="2024-PRISMA"/>
                              </w:pPr>
                              <w:r>
                                <w:t>Reviews</w:t>
                              </w:r>
                              <w:r w:rsidRPr="008C6127">
                                <w:t xml:space="preserve"> </w:t>
                              </w:r>
                              <w:r w:rsidR="005D3196" w:rsidRPr="008C6127">
                                <w:t xml:space="preserve">included in </w:t>
                              </w:r>
                              <w:r>
                                <w:t>over</w:t>
                              </w:r>
                              <w:r w:rsidR="005D3196" w:rsidRPr="008C6127">
                                <w:t>view</w:t>
                              </w:r>
                              <w:r w:rsidR="0085653C">
                                <w:t xml:space="preserve"> </w:t>
                              </w:r>
                              <w:r w:rsidR="005D3196" w:rsidRPr="008C6127">
                                <w:t xml:space="preserve">(n = </w:t>
                              </w:r>
                              <w:r w:rsidR="00C230B2" w:rsidRPr="008C6127">
                                <w:t>2</w:t>
                              </w:r>
                              <w:r w:rsidR="005D3196" w:rsidRPr="008C6127">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Rectangle 6"/>
                        <wps:cNvSpPr/>
                        <wps:spPr>
                          <a:xfrm>
                            <a:off x="499731" y="2243470"/>
                            <a:ext cx="1887220" cy="52641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EFA962E" w14:textId="77777777" w:rsidR="005D3196" w:rsidRPr="008C6127" w:rsidRDefault="005D3196" w:rsidP="00D52BE2">
                              <w:pPr>
                                <w:pStyle w:val="2024-PRISMA"/>
                              </w:pPr>
                              <w:r w:rsidRPr="008C6127">
                                <w:t>Reports sought for retrieval</w:t>
                              </w:r>
                            </w:p>
                            <w:p w14:paraId="2E603116" w14:textId="1925CDF0" w:rsidR="005D3196" w:rsidRPr="008C6127" w:rsidRDefault="005D3196" w:rsidP="00D52BE2">
                              <w:pPr>
                                <w:pStyle w:val="2024-PRISMA"/>
                              </w:pPr>
                              <w:r w:rsidRPr="008C6127">
                                <w:t xml:space="preserve">(n = </w:t>
                              </w:r>
                              <w:r w:rsidR="00D65569" w:rsidRPr="008C6127">
                                <w:t>1</w:t>
                              </w:r>
                              <w:r w:rsidR="00722A39" w:rsidRPr="008C6127">
                                <w:t>0</w:t>
                              </w:r>
                              <w:r w:rsidRPr="008C6127">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235E74F" id="Group 10" o:spid="_x0000_s1026" style="position:absolute;margin-left:1.45pt;margin-top:9.35pt;width:420.4pt;height:321.3pt;z-index:251658241;mso-width-relative:margin;mso-height-relative:margin" coordorigin="163,-358" coordsize="55364,458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">
                <v:rect id="Rectangle 2" o:spid="_x0000_s1027" style="position:absolute;left:31807;top:4253;width:23557;height:83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" filled="f" strokecolor="black [3213]" strokeweight="1pt">
                  <v:textbox>
                    <w:txbxContent>
                      <w:p w14:paraId="57698CF0" w14:textId="77777777" w:rsidR="005D3196" w:rsidRPr="008C6127" w:rsidRDefault="005D3196" w:rsidP="00D52BE2">
                        <w:pPr>
                          <w:pStyle w:val="2024-PRISMA"/>
                        </w:pPr>
                        <w:r w:rsidRPr="008C6127">
                          <w:t>Records removed before screening:</w:t>
                        </w:r>
                      </w:p>
                      <w:p w14:paraId="0750ABE8" w14:textId="35404D11" w:rsidR="005D3196" w:rsidRPr="008C6127" w:rsidRDefault="005D3196" w:rsidP="00D52BE2">
                        <w:pPr>
                          <w:pStyle w:val="2024-PRISMA"/>
                        </w:pPr>
                        <w:r w:rsidRPr="008C6127">
                          <w:t xml:space="preserve">Duplicate records removed (n = </w:t>
                        </w:r>
                        <w:r w:rsidR="00D65569" w:rsidRPr="008C6127">
                          <w:t>4</w:t>
                        </w:r>
                        <w:r w:rsidRPr="008C6127">
                          <w:t>)</w:t>
                        </w:r>
                      </w:p>
                    </w:txbxContent>
                  </v:textbox>
                </v:rect>
                <v:rect id="Rectangle 5" o:spid="_x0000_s1028" style="position:absolute;left:29877;top:15098;width:18872;height:52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" filled="f" strokecolor="black [3213]" strokeweight="1pt">
                  <v:textbox>
                    <w:txbxContent>
                      <w:p w14:paraId="3CDF9928" w14:textId="77777777" w:rsidR="005D3196" w:rsidRPr="008C6127" w:rsidRDefault="005D3196" w:rsidP="00D52BE2">
                        <w:pPr>
                          <w:pStyle w:val="2024-PRISMA"/>
                        </w:pPr>
                        <w:r w:rsidRPr="008C6127">
                          <w:t>Records excluded</w:t>
                        </w:r>
                      </w:p>
                      <w:p w14:paraId="69035E02" w14:textId="12781B4D" w:rsidR="005D3196" w:rsidRPr="008C6127" w:rsidRDefault="005D3196" w:rsidP="00D52BE2">
                        <w:pPr>
                          <w:pStyle w:val="2024-PRISMA"/>
                        </w:pPr>
                        <w:r w:rsidRPr="008C6127">
                          <w:t xml:space="preserve">(n = </w:t>
                        </w:r>
                        <w:r w:rsidR="00722A39" w:rsidRPr="008C6127">
                          <w:t>50</w:t>
                        </w:r>
                        <w:r w:rsidRPr="008C6127">
                          <w:t>)</w:t>
                        </w:r>
                      </w:p>
                    </w:txbxContent>
                  </v:textbox>
                </v:rect>
                <v:rect id="Rectangle 7" o:spid="_x0000_s1029" style="position:absolute;left:29877;top:21015;width:23519;height:77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" filled="f" strokecolor="black [3213]" strokeweight="1pt">
                  <v:textbox>
                    <w:txbxContent>
                      <w:p w14:paraId="413A61B2" w14:textId="2E42C96D" w:rsidR="005D3196" w:rsidRPr="008C6127" w:rsidRDefault="00FC115B" w:rsidP="00D52BE2">
                        <w:pPr>
                          <w:pStyle w:val="2024-PRISMA"/>
                        </w:pPr>
                        <w:r w:rsidRPr="008C6127">
                          <w:t>Full-text unavailable</w:t>
                        </w:r>
                        <w:r w:rsidR="005D3196" w:rsidRPr="008C6127">
                          <w:t xml:space="preserve"> (n</w:t>
                        </w:r>
                        <w:r w:rsidR="00EE2A5B" w:rsidRPr="008C6127">
                          <w:t xml:space="preserve"> = 0</w:t>
                        </w:r>
                        <w:r w:rsidR="005D3196" w:rsidRPr="008C6127">
                          <w:t>)</w:t>
                        </w:r>
                      </w:p>
                      <w:p w14:paraId="47312475" w14:textId="635DF8E7" w:rsidR="00FC115B" w:rsidRDefault="00EE2A5B" w:rsidP="00D52BE2">
                        <w:pPr>
                          <w:pStyle w:val="2024-PRISMA"/>
                        </w:pPr>
                        <w:r w:rsidRPr="008C6127">
                          <w:t>Ongoing study</w:t>
                        </w:r>
                        <w:r w:rsidR="00FC115B" w:rsidRPr="008C6127">
                          <w:t xml:space="preserve"> (n</w:t>
                        </w:r>
                        <w:r w:rsidRPr="008C6127">
                          <w:t xml:space="preserve"> = 2</w:t>
                        </w:r>
                        <w:r w:rsidR="00FC115B" w:rsidRPr="008C6127">
                          <w:t>)</w:t>
                        </w:r>
                      </w:p>
                      <w:p w14:paraId="66AF9FB2" w14:textId="7EB2D645" w:rsidR="0017022E" w:rsidRPr="008C6127" w:rsidRDefault="0017022E" w:rsidP="00D52BE2">
                        <w:pPr>
                          <w:pStyle w:val="2024-PRISMA"/>
                        </w:pPr>
                        <w:r>
                          <w:t>Conference abstracts (n = 0)</w:t>
                        </w:r>
                      </w:p>
                      <w:p w14:paraId="77C2C3E0" w14:textId="1AD15CD7" w:rsidR="005D3196" w:rsidRPr="008C6127" w:rsidRDefault="0097733F" w:rsidP="00D52BE2">
                        <w:pPr>
                          <w:pStyle w:val="2024-PRISMA"/>
                        </w:pPr>
                        <w:r>
                          <w:t>Reviews</w:t>
                        </w:r>
                        <w:r w:rsidR="005D3196" w:rsidRPr="008C6127">
                          <w:t xml:space="preserve"> Awaiting Classification (n = </w:t>
                        </w:r>
                        <w:r w:rsidR="00EE2A5B" w:rsidRPr="008C6127">
                          <w:t>0</w:t>
                        </w:r>
                        <w:r w:rsidR="005D3196" w:rsidRPr="008C6127">
                          <w:t>)</w:t>
                        </w:r>
                      </w:p>
                    </w:txbxContent>
                  </v:textbox>
                </v:rect>
                <v:rect id="Rectangle 9" o:spid="_x0000_s1030" style="position:absolute;left:29877;top:29558;width:21793;height:105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" filled="f" strokecolor="black [3213]" strokeweight="1pt">
                  <v:textbox>
                    <w:txbxContent>
                      <w:p w14:paraId="05E15CE4" w14:textId="16797C5D" w:rsidR="005D3196" w:rsidRPr="008C6127" w:rsidRDefault="005D3196" w:rsidP="00D52BE2">
                        <w:pPr>
                          <w:pStyle w:val="2024-PRISMA"/>
                        </w:pPr>
                        <w:r w:rsidRPr="008C6127">
                          <w:t xml:space="preserve">Reports excluded (n = </w:t>
                        </w:r>
                        <w:r w:rsidR="00722A39" w:rsidRPr="008C6127">
                          <w:t>6</w:t>
                        </w:r>
                        <w:r w:rsidRPr="008C6127">
                          <w:t>):</w:t>
                        </w:r>
                      </w:p>
                      <w:p w14:paraId="797B9533" w14:textId="46DFCFC4" w:rsidR="00EE2A5B" w:rsidRPr="008C6127" w:rsidRDefault="00EE2A5B" w:rsidP="00D52BE2">
                        <w:pPr>
                          <w:pStyle w:val="2024-PRISMA"/>
                        </w:pPr>
                        <w:r w:rsidRPr="008C6127">
                          <w:t xml:space="preserve">Wrong population (n = </w:t>
                        </w:r>
                        <w:r w:rsidR="00C230B2" w:rsidRPr="008C6127">
                          <w:t>1</w:t>
                        </w:r>
                        <w:r w:rsidRPr="008C6127">
                          <w:t>)</w:t>
                        </w:r>
                      </w:p>
                      <w:p w14:paraId="1B0970C1" w14:textId="2A19540F" w:rsidR="005D3196" w:rsidRPr="008C6127" w:rsidRDefault="005D3196" w:rsidP="00D52BE2">
                        <w:pPr>
                          <w:pStyle w:val="2024-PRISMA"/>
                        </w:pPr>
                        <w:r w:rsidRPr="008C6127">
                          <w:t xml:space="preserve">Wrong outcomes (n = </w:t>
                        </w:r>
                        <w:r w:rsidR="00722A39" w:rsidRPr="008C6127">
                          <w:t>1</w:t>
                        </w:r>
                        <w:r w:rsidRPr="008C6127">
                          <w:t>)</w:t>
                        </w:r>
                      </w:p>
                      <w:p w14:paraId="68BE87FB" w14:textId="4B387F8F" w:rsidR="005D3196" w:rsidRPr="008C6127" w:rsidRDefault="00EE2A5B" w:rsidP="00D52BE2">
                        <w:pPr>
                          <w:pStyle w:val="2024-PRISMA"/>
                        </w:pPr>
                        <w:r w:rsidRPr="008C6127">
                          <w:t xml:space="preserve">Does not meet minimum criteria for systematic review (n = </w:t>
                        </w:r>
                        <w:r w:rsidR="00C230B2" w:rsidRPr="008C6127">
                          <w:t>4)</w:t>
                        </w:r>
                      </w:p>
                    </w:txbxContent>
                  </v:textbox>
                </v:rect>
                <v:shapetype id="_x0000_t32" coordsize="21600,21600" o:spt="32" o:oned="t" path="m,l21600,21600e" filled="f">
                  <v:path arrowok="t" fillok="f" o:connecttype="none"/>
                  <o:lock v:ext="edit" shapetype="t"/>
                </v:shapetype>
                <v:shape id="Straight Arrow Connector 14" o:spid="_x0000_s1031" type="#_x0000_t32" style="position:absolute;left:24242;top:9758;width:756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" strokecolor="black [3213]" strokeweight=".5pt">
                  <v:stroke endarrow="block" joinstyle="miter"/>
                </v:shape>
                <v:shape id="Straight Arrow Connector 15" o:spid="_x0000_s1032" type="#_x0000_t32" style="position:absolute;left:23923;top:17201;width:563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" strokecolor="black [3213]" strokeweight=".5pt">
                  <v:stroke endarrow="block" joinstyle="miter"/>
                </v:shape>
                <v:shape id="Straight Arrow Connector 16" o:spid="_x0000_s1033" type="#_x0000_t32" style="position:absolute;left:24029;top:24218;width:563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" strokecolor="black [3213]" strokeweight=".5pt">
                  <v:stroke endarrow="block" joinstyle="miter"/>
                </v:shape>
                <v:shape id="Straight Arrow Connector 17" o:spid="_x0000_s1034" type="#_x0000_t32" style="position:absolute;left:24135;top:31555;width:563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" strokecolor="black [3213]" strokeweight=".5pt">
                  <v:stroke endarrow="block" joinstyle="miter"/>
                </v:shape>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Flowchart: Alternate Process 31" o:spid="_x0000_s1035" type="#_x0000_t176" style="position:absolute;left:-3632;top:7755;width:10845;height:3251;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" fillcolor="#9cc2e5 [1944]" strokecolor="black [3213]" strokeweight="1pt">
                  <v:textbox>
                    <w:txbxContent>
                      <w:p w14:paraId="7073A982" w14:textId="77777777" w:rsidR="005D3196" w:rsidRPr="001428E8" w:rsidRDefault="005D3196" w:rsidP="00D52BE2">
                        <w:pPr>
                          <w:pStyle w:val="2024-PRISMA"/>
                          <w:rPr>
                            <w:b/>
                          </w:rPr>
                        </w:pPr>
                        <w:r w:rsidRPr="001428E8">
                          <w:rPr>
                            <w:b/>
                          </w:rPr>
                          <w:t>Identification</w:t>
                        </w:r>
                      </w:p>
                    </w:txbxContent>
                  </v:textbox>
                </v:shape>
                <v:shape id="Flowchart: Alternate Process 32" o:spid="_x0000_s1036" type="#_x0000_t176" style="position:absolute;left:-8754;top:24281;width:21089;height:3250;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" fillcolor="#9cc2e5 [1944]" strokecolor="black [3213]" strokeweight="1pt">
                  <v:textbox>
                    <w:txbxContent>
                      <w:p w14:paraId="203ACDB3" w14:textId="77777777" w:rsidR="005D3196" w:rsidRPr="001428E8" w:rsidRDefault="005D3196" w:rsidP="001428E8">
                        <w:pPr>
                          <w:pStyle w:val="2024-PRISMA"/>
                          <w:jc w:val="center"/>
                          <w:rPr>
                            <w:b/>
                          </w:rPr>
                        </w:pPr>
                        <w:r w:rsidRPr="001428E8">
                          <w:rPr>
                            <w:b/>
                          </w:rPr>
                          <w:t>Screening</w:t>
                        </w:r>
                      </w:p>
                      <w:p w14:paraId="0AF20E0B" w14:textId="77777777" w:rsidR="005D3196" w:rsidRPr="001428E8" w:rsidRDefault="005D3196" w:rsidP="00D52BE2">
                        <w:pPr>
                          <w:pStyle w:val="2024-PRISMA"/>
                          <w:rPr>
                            <w:b/>
                          </w:rPr>
                        </w:pPr>
                      </w:p>
                    </w:txbxContent>
                  </v:textbox>
                </v:shape>
                <v:shape id="Flowchart: Alternate Process 33" o:spid="_x0000_s1037" type="#_x0000_t176" style="position:absolute;left:-2490;top:39675;width:8496;height:3185;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" fillcolor="#9cc2e5 [1944]" strokecolor="black [3213]" strokeweight="1pt">
                  <v:textbox>
                    <w:txbxContent>
                      <w:p w14:paraId="03117073" w14:textId="77777777" w:rsidR="005D3196" w:rsidRPr="001428E8" w:rsidRDefault="005D3196" w:rsidP="00D52BE2">
                        <w:pPr>
                          <w:pStyle w:val="2024-PRISMA"/>
                          <w:rPr>
                            <w:b/>
                          </w:rPr>
                        </w:pPr>
                        <w:r w:rsidRPr="001428E8">
                          <w:rPr>
                            <w:b/>
                          </w:rPr>
                          <w:t>Included</w:t>
                        </w:r>
                      </w:p>
                    </w:txbxContent>
                  </v:textbox>
                </v:shape>
                <v:shape id="Straight Arrow Connector 27" o:spid="_x0000_s1038" type="#_x0000_t32" style="position:absolute;left:13394;top:12333;width:0;height:281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" strokecolor="black [3213]" strokeweight=".5pt">
                  <v:stroke endarrow="block" joinstyle="miter"/>
                </v:shape>
                <v:shape id="Straight Arrow Connector 35" o:spid="_x0000_s1039" type="#_x0000_t32" style="position:absolute;left:13394;top:19670;width:0;height:281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" strokecolor="black [3213]" strokeweight=".5pt">
                  <v:stroke endarrow="block" joinstyle="miter"/>
                </v:shape>
                <v:shape id="Straight Arrow Connector 36" o:spid="_x0000_s1040" type="#_x0000_t32" style="position:absolute;left:13500;top:26900;width:0;height:281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" strokecolor="black [3213]" strokeweight=".5pt">
                  <v:stroke endarrow="block" joinstyle="miter"/>
                </v:shape>
                <v:shape id="Straight Arrow Connector 19" o:spid="_x0000_s1041" type="#_x0000_t32" style="position:absolute;left:13394;top:32311;width:0;height:746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" strokecolor="black [3213]" strokeweight=".5pt">
                  <v:stroke endarrow="block" joinstyle="miter"/>
                </v:shape>
                <v:shape id="Flowchart: Alternate Process 29" o:spid="_x0000_s1042" type="#_x0000_t176" style="position:absolute;left:163;top:-358;width:55365;height:37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" fillcolor="#ffc000 [3207]" strokecolor="#7f5f00 [1607]" strokeweight="1pt">
                  <v:textbox>
                    <w:txbxContent>
                      <w:p w14:paraId="4F13A4F2" w14:textId="2A9499B3" w:rsidR="005D3196" w:rsidRPr="001428E8" w:rsidRDefault="005D3196" w:rsidP="001428E8">
                        <w:pPr>
                          <w:pStyle w:val="2024-PRISMA"/>
                          <w:jc w:val="center"/>
                          <w:rPr>
                            <w:b/>
                          </w:rPr>
                        </w:pPr>
                        <w:r w:rsidRPr="001428E8">
                          <w:rPr>
                            <w:b/>
                          </w:rPr>
                          <w:t xml:space="preserve">Identification of </w:t>
                        </w:r>
                        <w:r w:rsidR="00C93914">
                          <w:rPr>
                            <w:b/>
                          </w:rPr>
                          <w:t>reviews</w:t>
                        </w:r>
                        <w:r w:rsidR="00C93914" w:rsidRPr="001428E8">
                          <w:rPr>
                            <w:b/>
                          </w:rPr>
                          <w:t xml:space="preserve"> </w:t>
                        </w:r>
                        <w:r w:rsidRPr="001428E8">
                          <w:rPr>
                            <w:b/>
                          </w:rPr>
                          <w:t>via databases and registers</w:t>
                        </w:r>
                      </w:p>
                    </w:txbxContent>
                  </v:textbox>
                </v:shape>
                <v:rect id="Rectangle 1" o:spid="_x0000_s1043" style="position:absolute;left:4997;top:4253;width:24558;height:83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" fillcolor="white [3212]" strokecolor="black [3213]" strokeweight="1pt">
                  <v:textbox>
                    <w:txbxContent>
                      <w:p w14:paraId="3FABC876" w14:textId="580443EE" w:rsidR="005D3196" w:rsidRPr="008C6127" w:rsidRDefault="005D3196" w:rsidP="00D52BE2">
                        <w:pPr>
                          <w:pStyle w:val="2024-PRISMA"/>
                        </w:pPr>
                        <w:r w:rsidRPr="008C6127">
                          <w:t>Records identified from:</w:t>
                        </w:r>
                      </w:p>
                      <w:p w14:paraId="3C361A9A" w14:textId="01B0C7B5" w:rsidR="005D3196" w:rsidRPr="008C6127" w:rsidRDefault="005D3196" w:rsidP="00D52BE2">
                        <w:pPr>
                          <w:pStyle w:val="2024-PRISMA"/>
                        </w:pPr>
                        <w:r w:rsidRPr="008C6127">
                          <w:t xml:space="preserve">Databases and registers (n = </w:t>
                        </w:r>
                        <w:r w:rsidR="00832896" w:rsidRPr="008C6127">
                          <w:t>6</w:t>
                        </w:r>
                        <w:r w:rsidR="00D65569" w:rsidRPr="008C6127">
                          <w:t>4</w:t>
                        </w:r>
                        <w:r w:rsidRPr="008C6127">
                          <w:t>)</w:t>
                        </w:r>
                      </w:p>
                      <w:p w14:paraId="02A76795" w14:textId="0A4C5ED8" w:rsidR="005D3196" w:rsidRPr="008C6127" w:rsidRDefault="005D3196" w:rsidP="00D52BE2">
                        <w:pPr>
                          <w:pStyle w:val="2024-PRISMA"/>
                        </w:pPr>
                        <w:r w:rsidRPr="008C6127">
                          <w:t>Manual</w:t>
                        </w:r>
                        <w:r w:rsidR="00111345" w:rsidRPr="008C6127">
                          <w:t xml:space="preserve"> or </w:t>
                        </w:r>
                        <w:r w:rsidRPr="008C6127">
                          <w:t xml:space="preserve">citation </w:t>
                        </w:r>
                        <w:r w:rsidR="00111345" w:rsidRPr="008C6127">
                          <w:t xml:space="preserve">searching </w:t>
                        </w:r>
                        <w:r w:rsidRPr="008C6127">
                          <w:t xml:space="preserve">(n = </w:t>
                        </w:r>
                        <w:r w:rsidR="00832896" w:rsidRPr="008C6127">
                          <w:t>0</w:t>
                        </w:r>
                        <w:r w:rsidRPr="008C6127">
                          <w:t>)</w:t>
                        </w:r>
                      </w:p>
                      <w:p w14:paraId="75E95F2A" w14:textId="69F3D7CF" w:rsidR="00111345" w:rsidRPr="008C6127" w:rsidRDefault="00111345" w:rsidP="00D52BE2">
                        <w:pPr>
                          <w:pStyle w:val="2024-PRISMA"/>
                        </w:pPr>
                        <w:r w:rsidRPr="008C6127">
                          <w:t>Department’s call for evidence (n = 0)</w:t>
                        </w:r>
                      </w:p>
                    </w:txbxContent>
                  </v:textbox>
                </v:rect>
                <v:rect id="Rectangle 4" o:spid="_x0000_s1044" style="position:absolute;left:4997;top:15204;width:18872;height:52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" fillcolor="white [3212]" strokecolor="black [3213]" strokeweight="1pt">
                  <v:textbox>
                    <w:txbxContent>
                      <w:p w14:paraId="6B3D663D" w14:textId="77777777" w:rsidR="005D3196" w:rsidRPr="008C6127" w:rsidRDefault="005D3196" w:rsidP="00D52BE2">
                        <w:pPr>
                          <w:pStyle w:val="2024-PRISMA"/>
                        </w:pPr>
                        <w:r w:rsidRPr="008C6127">
                          <w:t>Records screened</w:t>
                        </w:r>
                      </w:p>
                      <w:p w14:paraId="2D882B53" w14:textId="7806DB42" w:rsidR="005D3196" w:rsidRPr="008C6127" w:rsidRDefault="005D3196" w:rsidP="00D52BE2">
                        <w:pPr>
                          <w:pStyle w:val="2024-PRISMA"/>
                        </w:pPr>
                        <w:r w:rsidRPr="008C6127">
                          <w:t xml:space="preserve">(n = </w:t>
                        </w:r>
                        <w:r w:rsidR="00832896" w:rsidRPr="008C6127">
                          <w:t>60</w:t>
                        </w:r>
                        <w:r w:rsidRPr="008C6127">
                          <w:t>)</w:t>
                        </w:r>
                      </w:p>
                    </w:txbxContent>
                  </v:textbox>
                </v:rect>
                <v:rect id="Rectangle 8" o:spid="_x0000_s1045" style="position:absolute;left:4997;top:29771;width:18872;height:52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" fillcolor="white [3212]" strokecolor="black [3213]" strokeweight="1pt">
                  <v:textbox>
                    <w:txbxContent>
                      <w:p w14:paraId="5BF2CE9D" w14:textId="77777777" w:rsidR="005D3196" w:rsidRPr="008C6127" w:rsidRDefault="005D3196" w:rsidP="00D52BE2">
                        <w:pPr>
                          <w:pStyle w:val="2024-PRISMA"/>
                        </w:pPr>
                        <w:r w:rsidRPr="008C6127">
                          <w:t>Reports assessed for eligibility</w:t>
                        </w:r>
                      </w:p>
                      <w:p w14:paraId="0CED5779" w14:textId="0FAB7849" w:rsidR="005D3196" w:rsidRPr="008C6127" w:rsidRDefault="005D3196" w:rsidP="00D52BE2">
                        <w:pPr>
                          <w:pStyle w:val="2024-PRISMA"/>
                        </w:pPr>
                        <w:r w:rsidRPr="008C6127">
                          <w:t xml:space="preserve">(n = </w:t>
                        </w:r>
                        <w:r w:rsidR="00722A39" w:rsidRPr="008C6127">
                          <w:t>8</w:t>
                        </w:r>
                        <w:r w:rsidRPr="008C6127">
                          <w:t>)</w:t>
                        </w:r>
                      </w:p>
                    </w:txbxContent>
                  </v:textbox>
                </v:rect>
                <v:rect id="Rectangle 13" o:spid="_x0000_s1046" style="position:absolute;left:4890;top:39903;width:18873;height:51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" fillcolor="white [3212]" strokecolor="black [3213]" strokeweight="1pt">
                  <v:textbox>
                    <w:txbxContent>
                      <w:p w14:paraId="505DF130" w14:textId="7A470164" w:rsidR="005D3196" w:rsidRPr="008C6127" w:rsidRDefault="00C93914" w:rsidP="00D52BE2">
                        <w:pPr>
                          <w:pStyle w:val="2024-PRISMA"/>
                        </w:pPr>
                        <w:r>
                          <w:t>Reviews</w:t>
                        </w:r>
                        <w:r w:rsidRPr="008C6127">
                          <w:t xml:space="preserve"> </w:t>
                        </w:r>
                        <w:r w:rsidR="005D3196" w:rsidRPr="008C6127">
                          <w:t xml:space="preserve">included in </w:t>
                        </w:r>
                        <w:r>
                          <w:t>over</w:t>
                        </w:r>
                        <w:r w:rsidR="005D3196" w:rsidRPr="008C6127">
                          <w:t>view</w:t>
                        </w:r>
                        <w:r w:rsidR="0085653C">
                          <w:t xml:space="preserve"> </w:t>
                        </w:r>
                        <w:r w:rsidR="005D3196" w:rsidRPr="008C6127">
                          <w:t xml:space="preserve">(n = </w:t>
                        </w:r>
                        <w:r w:rsidR="00C230B2" w:rsidRPr="008C6127">
                          <w:t>2</w:t>
                        </w:r>
                        <w:r w:rsidR="005D3196" w:rsidRPr="008C6127">
                          <w:t>)</w:t>
                        </w:r>
                      </w:p>
                    </w:txbxContent>
                  </v:textbox>
                </v:rect>
                <v:rect id="Rectangle 6" o:spid="_x0000_s1047" style="position:absolute;left:4997;top:22434;width:18872;height:52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" fillcolor="white [3212]" strokecolor="black [3213]" strokeweight="1pt">
                  <v:textbox>
                    <w:txbxContent>
                      <w:p w14:paraId="3EFA962E" w14:textId="77777777" w:rsidR="005D3196" w:rsidRPr="008C6127" w:rsidRDefault="005D3196" w:rsidP="00D52BE2">
                        <w:pPr>
                          <w:pStyle w:val="2024-PRISMA"/>
                        </w:pPr>
                        <w:r w:rsidRPr="008C6127">
                          <w:t>Reports sought for retrieval</w:t>
                        </w:r>
                      </w:p>
                      <w:p w14:paraId="2E603116" w14:textId="1925CDF0" w:rsidR="005D3196" w:rsidRPr="008C6127" w:rsidRDefault="005D3196" w:rsidP="00D52BE2">
                        <w:pPr>
                          <w:pStyle w:val="2024-PRISMA"/>
                        </w:pPr>
                        <w:r w:rsidRPr="008C6127">
                          <w:t xml:space="preserve">(n = </w:t>
                        </w:r>
                        <w:r w:rsidR="00D65569" w:rsidRPr="008C6127">
                          <w:t>1</w:t>
                        </w:r>
                        <w:r w:rsidR="00722A39" w:rsidRPr="008C6127">
                          <w:t>0</w:t>
                        </w:r>
                        <w:r w:rsidRPr="008C6127">
                          <w:t>)</w:t>
                        </w:r>
                      </w:p>
                    </w:txbxContent>
                  </v:textbox>
                </v:rect>
                <w10:wrap type="square"/>
              </v:group>
            </w:pict>
          </mc:Fallback>
        </mc:AlternateContent>
      </w:r>
    </w:p>
    <w:p w14:paraId="65202ACD" w14:textId="77777777" w:rsidR="006C04E6" w:rsidRPr="0054775B" w:rsidRDefault="006C04E6" w:rsidP="009E6F7F"/>
    <w:p w14:paraId="1E16EB64" w14:textId="77777777" w:rsidR="006C04E6" w:rsidRPr="0054775B" w:rsidRDefault="006C04E6" w:rsidP="009E6F7F"/>
    <w:p w14:paraId="70512AE6" w14:textId="77777777" w:rsidR="006C04E6" w:rsidRPr="0054775B" w:rsidRDefault="006C04E6" w:rsidP="009E6F7F"/>
    <w:p w14:paraId="74E7B602" w14:textId="77777777" w:rsidR="006C04E6" w:rsidRPr="0054775B" w:rsidRDefault="006C04E6" w:rsidP="009E6F7F"/>
    <w:p w14:paraId="783E5FB0" w14:textId="77777777" w:rsidR="006C04E6" w:rsidRPr="0054775B" w:rsidRDefault="006C04E6" w:rsidP="009E6F7F"/>
    <w:p w14:paraId="0BE9D19C" w14:textId="77777777" w:rsidR="006C04E6" w:rsidRPr="0054775B" w:rsidRDefault="006C04E6" w:rsidP="009E6F7F"/>
    <w:p w14:paraId="241B0C17" w14:textId="77777777" w:rsidR="006C04E6" w:rsidRPr="0054775B" w:rsidRDefault="006C04E6" w:rsidP="009E6F7F"/>
    <w:p w14:paraId="3CAB8D98" w14:textId="77777777" w:rsidR="006C04E6" w:rsidRPr="0054775B" w:rsidRDefault="006C04E6" w:rsidP="009E6F7F"/>
    <w:p w14:paraId="1C63E5C0" w14:textId="77777777" w:rsidR="006C04E6" w:rsidRPr="0054775B" w:rsidRDefault="006C04E6" w:rsidP="009E6F7F"/>
    <w:p w14:paraId="3F71AEF2" w14:textId="77777777" w:rsidR="006C04E6" w:rsidRPr="0054775B" w:rsidRDefault="006C04E6" w:rsidP="009E6F7F"/>
    <w:p w14:paraId="07515C99" w14:textId="77777777" w:rsidR="006C04E6" w:rsidRPr="0054775B" w:rsidRDefault="006C04E6" w:rsidP="009E6F7F"/>
    <w:p w14:paraId="575A1586" w14:textId="77777777" w:rsidR="006C04E6" w:rsidRPr="0054775B" w:rsidRDefault="006C04E6" w:rsidP="009E6F7F"/>
    <w:p w14:paraId="35F89B82" w14:textId="77777777" w:rsidR="006C04E6" w:rsidRPr="0054775B" w:rsidRDefault="006C04E6" w:rsidP="009E6F7F"/>
    <w:p w14:paraId="2A7911A4" w14:textId="77777777" w:rsidR="006C04E6" w:rsidRPr="0054775B" w:rsidRDefault="006C04E6" w:rsidP="009E6F7F"/>
    <w:p w14:paraId="577962B8" w14:textId="1BD456CD" w:rsidR="00E8384B" w:rsidRPr="0054775B" w:rsidRDefault="005D3196" w:rsidP="009E6F7F">
      <w:pPr>
        <w:pStyle w:val="2024HEADER3"/>
        <w:rPr>
          <w:rFonts w:ascii="Aptos" w:hAnsi="Aptos"/>
        </w:rPr>
      </w:pPr>
      <w:r w:rsidRPr="0054775B">
        <w:rPr>
          <w:rFonts w:ascii="Aptos" w:hAnsi="Aptos"/>
        </w:rPr>
        <w:t xml:space="preserve">Description of included </w:t>
      </w:r>
      <w:r w:rsidR="001F6327" w:rsidRPr="0054775B">
        <w:rPr>
          <w:rFonts w:ascii="Aptos" w:hAnsi="Aptos"/>
        </w:rPr>
        <w:t>reviews</w:t>
      </w:r>
    </w:p>
    <w:p w14:paraId="2BBC2672" w14:textId="182CDE1B" w:rsidR="001E7A42" w:rsidRPr="0054775B" w:rsidRDefault="00C230B2" w:rsidP="009E6F7F">
      <w:r w:rsidRPr="0054775B">
        <w:t>Two</w:t>
      </w:r>
      <w:r w:rsidR="00A77E25" w:rsidRPr="0054775B">
        <w:t xml:space="preserve"> </w:t>
      </w:r>
      <w:r w:rsidR="006619FC" w:rsidRPr="0054775B">
        <w:t>reviews</w:t>
      </w:r>
      <w:r w:rsidRPr="0054775B">
        <w:t xml:space="preserve"> were</w:t>
      </w:r>
      <w:r w:rsidR="00A77E25" w:rsidRPr="0054775B">
        <w:t xml:space="preserve"> identified as eligible for inclusion</w:t>
      </w:r>
      <w:r w:rsidR="004558D0" w:rsidRPr="0054775B">
        <w:t xml:space="preserve"> (conducted in 2018 and 2023)</w:t>
      </w:r>
      <w:r w:rsidR="00BA4BD3" w:rsidRPr="0054775B">
        <w:t>.</w:t>
      </w:r>
      <w:r w:rsidR="007E329C" w:rsidRPr="0054775B">
        <w:t xml:space="preserve"> </w:t>
      </w:r>
      <w:r w:rsidR="00BA4BD3" w:rsidRPr="0054775B">
        <w:t xml:space="preserve">Both </w:t>
      </w:r>
      <w:r w:rsidR="00EB1DE9">
        <w:t xml:space="preserve">were </w:t>
      </w:r>
      <w:r w:rsidR="00BA4BD3" w:rsidRPr="0054775B">
        <w:t>systematic review</w:t>
      </w:r>
      <w:r w:rsidR="00EB1DE9">
        <w:t xml:space="preserve">s of </w:t>
      </w:r>
      <w:r w:rsidR="004558D0" w:rsidRPr="0054775B">
        <w:t>randomised controlled trials</w:t>
      </w:r>
      <w:r w:rsidR="0053699F">
        <w:t xml:space="preserve"> (RCTs)</w:t>
      </w:r>
      <w:r w:rsidR="00EB1DE9">
        <w:t xml:space="preserve"> and both included </w:t>
      </w:r>
      <w:r w:rsidR="00E44328">
        <w:t>a meta-analysis</w:t>
      </w:r>
      <w:r w:rsidR="004558D0" w:rsidRPr="0054775B">
        <w:t xml:space="preserve">. </w:t>
      </w:r>
      <w:r w:rsidR="00BA4BD3" w:rsidRPr="0054775B">
        <w:t>A</w:t>
      </w:r>
      <w:r w:rsidR="001E7A42" w:rsidRPr="0054775B">
        <w:t xml:space="preserve"> detailed summary of </w:t>
      </w:r>
      <w:r w:rsidR="00370AEC" w:rsidRPr="0054775B">
        <w:t xml:space="preserve">characteristics </w:t>
      </w:r>
      <w:r w:rsidR="001E7A42" w:rsidRPr="0054775B">
        <w:t xml:space="preserve">of the included reviews </w:t>
      </w:r>
      <w:r w:rsidR="00370AEC" w:rsidRPr="0054775B">
        <w:t xml:space="preserve">are reported in </w:t>
      </w:r>
      <w:r w:rsidR="00C03ECD" w:rsidRPr="0054775B">
        <w:t xml:space="preserve">Appendix </w:t>
      </w:r>
      <w:r w:rsidR="00D50FB1">
        <w:t>D</w:t>
      </w:r>
      <w:r w:rsidR="005C7B0F" w:rsidRPr="0054775B">
        <w:t>.</w:t>
      </w:r>
      <w:r w:rsidR="00C11649" w:rsidRPr="0054775B">
        <w:t xml:space="preserve"> </w:t>
      </w:r>
    </w:p>
    <w:p w14:paraId="68C196A2" w14:textId="64429E10" w:rsidR="0022501F" w:rsidRPr="0054775B" w:rsidRDefault="00EB3318" w:rsidP="009E6F7F">
      <w:r w:rsidRPr="0054775B">
        <w:t>Barić et al.</w:t>
      </w:r>
      <w:r w:rsidR="00B57599" w:rsidRPr="0054775B">
        <w:t xml:space="preserve">’s </w:t>
      </w:r>
      <w:r w:rsidR="00973871" w:rsidRPr="0054775B">
        <w:t xml:space="preserve">(2018) </w:t>
      </w:r>
      <w:r w:rsidR="00A61385">
        <w:rPr>
          <w:noProof/>
        </w:rPr>
        <w:t>(20)</w:t>
      </w:r>
      <w:r w:rsidR="007E0145" w:rsidRPr="0054775B">
        <w:t xml:space="preserve"> </w:t>
      </w:r>
      <w:r w:rsidR="00973871" w:rsidRPr="0054775B">
        <w:t xml:space="preserve">review </w:t>
      </w:r>
      <w:r w:rsidRPr="0054775B">
        <w:t xml:space="preserve">evaluated </w:t>
      </w:r>
      <w:r w:rsidR="00B57599" w:rsidRPr="0054775B">
        <w:t>the clinical efficacy and safety of complementary and alternative medicine in the treatment of generalised anxiety disorder</w:t>
      </w:r>
      <w:r w:rsidR="001F2C97" w:rsidRPr="0054775B">
        <w:t xml:space="preserve">. </w:t>
      </w:r>
      <w:r w:rsidR="00DD4284" w:rsidRPr="0054775B">
        <w:t>Tsai et al.’s</w:t>
      </w:r>
      <w:r w:rsidR="00973871" w:rsidRPr="0054775B">
        <w:t xml:space="preserve"> (2023)</w:t>
      </w:r>
      <w:r w:rsidR="00DD4284" w:rsidRPr="0054775B">
        <w:t xml:space="preserve"> </w:t>
      </w:r>
      <w:r w:rsidR="00A61385">
        <w:rPr>
          <w:noProof/>
        </w:rPr>
        <w:t>(21)</w:t>
      </w:r>
      <w:r w:rsidR="007E0145" w:rsidRPr="0054775B">
        <w:t xml:space="preserve"> </w:t>
      </w:r>
      <w:r w:rsidR="00DD4284" w:rsidRPr="0054775B">
        <w:t xml:space="preserve">review </w:t>
      </w:r>
      <w:r w:rsidR="003D26D8" w:rsidRPr="0054775B">
        <w:t>assessed the effectiveness of dietary interventions for the treatment of perinatal depression and/or anxiety</w:t>
      </w:r>
      <w:r w:rsidR="000441FF" w:rsidRPr="0054775B">
        <w:t xml:space="preserve"> (i.e. during pregnancy or within the first 12 months postpartum)</w:t>
      </w:r>
      <w:r w:rsidR="003D26D8" w:rsidRPr="0054775B">
        <w:t xml:space="preserve">. </w:t>
      </w:r>
      <w:r w:rsidR="003B3BA6" w:rsidRPr="0054775B">
        <w:t>Each review</w:t>
      </w:r>
      <w:r w:rsidR="003D26D8" w:rsidRPr="0054775B">
        <w:t xml:space="preserve"> included one primary study which evaluated the impact of magnesium</w:t>
      </w:r>
      <w:r w:rsidR="00344F9D" w:rsidRPr="0054775B">
        <w:t xml:space="preserve"> on outcomes of interest to this </w:t>
      </w:r>
      <w:r w:rsidR="00912F03" w:rsidRPr="0054775B">
        <w:t>overview</w:t>
      </w:r>
      <w:r w:rsidR="00F00CB5" w:rsidRPr="0054775B">
        <w:t xml:space="preserve"> (</w:t>
      </w:r>
      <w:r w:rsidR="00BC577C" w:rsidRPr="0054775B">
        <w:t>anxiety-</w:t>
      </w:r>
      <w:r w:rsidR="007E0145" w:rsidRPr="0054775B">
        <w:t>related emotional functioning/mental health burden</w:t>
      </w:r>
      <w:r w:rsidR="00BC577C" w:rsidRPr="0054775B">
        <w:t xml:space="preserve"> or </w:t>
      </w:r>
      <w:r w:rsidR="00BC577C" w:rsidRPr="0054775B">
        <w:lastRenderedPageBreak/>
        <w:t>depression-related emotional functioning/mental health burden)</w:t>
      </w:r>
      <w:r w:rsidR="003D26D8" w:rsidRPr="0054775B">
        <w:t>.</w:t>
      </w:r>
      <w:r w:rsidR="003B3BA6" w:rsidRPr="0054775B">
        <w:t xml:space="preserve"> </w:t>
      </w:r>
      <w:r w:rsidR="00AE26CF">
        <w:t>Tsai 2023</w:t>
      </w:r>
      <w:r w:rsidR="00AE26CF" w:rsidRPr="00AE26CF">
        <w:t xml:space="preserve"> </w:t>
      </w:r>
      <w:r w:rsidR="00AE26CF">
        <w:t>examined</w:t>
      </w:r>
      <w:r w:rsidR="00AE26CF" w:rsidRPr="00AE26CF">
        <w:t xml:space="preserve"> perinatal</w:t>
      </w:r>
      <w:r w:rsidR="00AE26CF">
        <w:t xml:space="preserve"> populations</w:t>
      </w:r>
      <w:r w:rsidR="00AE26CF" w:rsidRPr="00AE26CF">
        <w:t xml:space="preserve">, but the </w:t>
      </w:r>
      <w:r w:rsidR="00AE26CF">
        <w:t>relevant</w:t>
      </w:r>
      <w:r w:rsidR="00AE26CF" w:rsidRPr="00AE26CF">
        <w:t xml:space="preserve"> primary study evidence examined a postnatal population only (specifically, the first 8 weeks of the postpartum period).</w:t>
      </w:r>
    </w:p>
    <w:p w14:paraId="1880D40A" w14:textId="2A7FDEA7" w:rsidR="00934D04" w:rsidRPr="0054775B" w:rsidRDefault="00934D04" w:rsidP="009E6F7F">
      <w:r w:rsidRPr="0054775B">
        <w:t xml:space="preserve">No </w:t>
      </w:r>
      <w:r w:rsidR="007E0145" w:rsidRPr="0054775B">
        <w:t xml:space="preserve">included </w:t>
      </w:r>
      <w:r w:rsidRPr="0054775B">
        <w:t>reviews reported results for the following outcomes: physical function burden from anxiety, improvement in clinical levels of anxiety, stress-related emotional functioning/mental health burden, physiological symptoms of anxiety (heart rate, BP, adrenaline, skin conductance, weight gain, weight loss, cortisol levels), health-related quality of life.</w:t>
      </w:r>
    </w:p>
    <w:p w14:paraId="183E5662" w14:textId="6DA2A4F6" w:rsidR="00F86B0A" w:rsidRPr="0054775B" w:rsidRDefault="006D617A" w:rsidP="009E6F7F">
      <w:pPr>
        <w:pStyle w:val="2024HEADER3"/>
        <w:rPr>
          <w:rFonts w:ascii="Aptos" w:hAnsi="Aptos"/>
        </w:rPr>
      </w:pPr>
      <w:r w:rsidRPr="0054775B">
        <w:rPr>
          <w:rFonts w:ascii="Aptos" w:hAnsi="Aptos"/>
        </w:rPr>
        <w:t>Assessment of risk of bias of included reviews</w:t>
      </w:r>
    </w:p>
    <w:p w14:paraId="2A849D7B" w14:textId="7944A014" w:rsidR="00F86B0A" w:rsidRPr="0054775B" w:rsidRDefault="00370AEC" w:rsidP="009E6F7F">
      <w:r w:rsidRPr="0054775B">
        <w:t>R</w:t>
      </w:r>
      <w:r w:rsidR="00F86B0A" w:rsidRPr="0054775B">
        <w:t>isk of bias</w:t>
      </w:r>
      <w:r w:rsidRPr="0054775B">
        <w:t xml:space="preserve"> </w:t>
      </w:r>
      <w:r w:rsidR="00F50912" w:rsidRPr="0054775B">
        <w:t xml:space="preserve">assessments </w:t>
      </w:r>
      <w:r w:rsidRPr="0054775B">
        <w:t>of the</w:t>
      </w:r>
      <w:r w:rsidR="007E0145" w:rsidRPr="0054775B">
        <w:t xml:space="preserve"> included</w:t>
      </w:r>
      <w:r w:rsidRPr="0054775B">
        <w:t xml:space="preserve"> reviews</w:t>
      </w:r>
      <w:r w:rsidR="000D3090" w:rsidRPr="0054775B">
        <w:t xml:space="preserve">, as </w:t>
      </w:r>
      <w:r w:rsidR="00F50912" w:rsidRPr="0054775B">
        <w:t>appraised</w:t>
      </w:r>
      <w:r w:rsidR="000D3090" w:rsidRPr="0054775B">
        <w:t xml:space="preserve"> using </w:t>
      </w:r>
      <w:r w:rsidRPr="0054775B">
        <w:t xml:space="preserve">the </w:t>
      </w:r>
      <w:r w:rsidR="000D3090" w:rsidRPr="0054775B">
        <w:t>ROBIS</w:t>
      </w:r>
      <w:r w:rsidRPr="0054775B">
        <w:t xml:space="preserve"> tool</w:t>
      </w:r>
      <w:r w:rsidR="000D3090" w:rsidRPr="0054775B">
        <w:t>,</w:t>
      </w:r>
      <w:r w:rsidR="00F86B0A" w:rsidRPr="0054775B">
        <w:t xml:space="preserve"> </w:t>
      </w:r>
      <w:r w:rsidR="00F50912" w:rsidRPr="0054775B">
        <w:t>are</w:t>
      </w:r>
      <w:r w:rsidR="00F86B0A" w:rsidRPr="0054775B">
        <w:t xml:space="preserve"> presented below. </w:t>
      </w:r>
      <w:r w:rsidR="0089151C" w:rsidRPr="0054775B">
        <w:t xml:space="preserve">Full assessments </w:t>
      </w:r>
      <w:r w:rsidR="00C53E06" w:rsidRPr="0054775B">
        <w:t xml:space="preserve">are reported in Appendix </w:t>
      </w:r>
      <w:r w:rsidR="00D50FB1">
        <w:t>F</w:t>
      </w:r>
      <w:r w:rsidR="00C53E06" w:rsidRPr="0054775B">
        <w:t>.</w:t>
      </w:r>
    </w:p>
    <w:p w14:paraId="3C9A5425" w14:textId="6C903450" w:rsidR="00F86B0A" w:rsidRPr="0054775B" w:rsidRDefault="00F86B0A" w:rsidP="00D52BE2">
      <w:pPr>
        <w:pStyle w:val="2024TABLECAPTION"/>
        <w:rPr>
          <w:rFonts w:ascii="Aptos" w:hAnsi="Aptos"/>
        </w:rPr>
      </w:pPr>
      <w:bookmarkStart w:id="58" w:name="_Toc185261581"/>
      <w:r w:rsidRPr="0054775B">
        <w:rPr>
          <w:rFonts w:ascii="Aptos" w:hAnsi="Aptos"/>
        </w:rPr>
        <w:t xml:space="preserve">Table </w:t>
      </w:r>
      <w:r w:rsidRPr="0054775B">
        <w:rPr>
          <w:rFonts w:ascii="Aptos" w:hAnsi="Aptos"/>
        </w:rPr>
        <w:fldChar w:fldCharType="begin"/>
      </w:r>
      <w:r w:rsidRPr="0054775B">
        <w:rPr>
          <w:rFonts w:ascii="Aptos" w:hAnsi="Aptos"/>
        </w:rPr>
        <w:instrText>SEQ Table \* ARABIC</w:instrText>
      </w:r>
      <w:r w:rsidRPr="0054775B">
        <w:rPr>
          <w:rFonts w:ascii="Aptos" w:hAnsi="Aptos"/>
        </w:rPr>
        <w:fldChar w:fldCharType="separate"/>
      </w:r>
      <w:r w:rsidR="00651E04">
        <w:rPr>
          <w:rFonts w:ascii="Aptos" w:hAnsi="Aptos"/>
          <w:noProof/>
        </w:rPr>
        <w:t>3</w:t>
      </w:r>
      <w:r w:rsidRPr="0054775B">
        <w:rPr>
          <w:rFonts w:ascii="Aptos" w:hAnsi="Aptos"/>
        </w:rPr>
        <w:fldChar w:fldCharType="end"/>
      </w:r>
      <w:r w:rsidRPr="0054775B">
        <w:rPr>
          <w:rFonts w:ascii="Aptos" w:hAnsi="Aptos"/>
        </w:rPr>
        <w:t xml:space="preserve">. </w:t>
      </w:r>
      <w:r w:rsidR="0089151C" w:rsidRPr="0054775B">
        <w:rPr>
          <w:rFonts w:ascii="Aptos" w:hAnsi="Aptos"/>
        </w:rPr>
        <w:t xml:space="preserve">Summary of ROBIS assessments – </w:t>
      </w:r>
      <w:r w:rsidR="00C53E06" w:rsidRPr="0054775B">
        <w:rPr>
          <w:rFonts w:ascii="Aptos" w:hAnsi="Aptos"/>
        </w:rPr>
        <w:t>anxiety</w:t>
      </w:r>
      <w:r w:rsidR="001273D3" w:rsidRPr="0054775B">
        <w:rPr>
          <w:rFonts w:ascii="Aptos" w:hAnsi="Aptos"/>
        </w:rPr>
        <w:t xml:space="preserve"> (including post-natal),</w:t>
      </w:r>
      <w:r w:rsidR="0089151C" w:rsidRPr="0054775B">
        <w:rPr>
          <w:rFonts w:ascii="Aptos" w:hAnsi="Aptos"/>
        </w:rPr>
        <w:t xml:space="preserve"> </w:t>
      </w:r>
      <w:r w:rsidR="00C53E06" w:rsidRPr="0054775B">
        <w:rPr>
          <w:rFonts w:ascii="Aptos" w:hAnsi="Aptos"/>
        </w:rPr>
        <w:t>magnesium</w:t>
      </w:r>
      <w:r w:rsidR="0076018E" w:rsidRPr="0054775B">
        <w:rPr>
          <w:rFonts w:ascii="Aptos" w:hAnsi="Aptos"/>
        </w:rPr>
        <w:t>.</w:t>
      </w:r>
      <w:bookmarkEnd w:id="58"/>
    </w:p>
    <w:tbl>
      <w:tblPr>
        <w:tblW w:w="920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28" w:type="dxa"/>
        </w:tblCellMar>
        <w:tblLook w:val="04A0" w:firstRow="1" w:lastRow="0" w:firstColumn="1" w:lastColumn="0" w:noHBand="0" w:noVBand="1"/>
      </w:tblPr>
      <w:tblGrid>
        <w:gridCol w:w="1266"/>
        <w:gridCol w:w="1701"/>
        <w:gridCol w:w="1843"/>
        <w:gridCol w:w="1559"/>
        <w:gridCol w:w="1559"/>
        <w:gridCol w:w="1276"/>
      </w:tblGrid>
      <w:tr w:rsidR="003B16A1" w:rsidRPr="0054775B" w14:paraId="46B335D0" w14:textId="176AFBC2" w:rsidTr="00225E44">
        <w:trPr>
          <w:trHeight w:val="55"/>
        </w:trPr>
        <w:tc>
          <w:tcPr>
            <w:tcW w:w="1266" w:type="dxa"/>
            <w:vMerge w:val="restart"/>
            <w:shd w:val="clear" w:color="auto" w:fill="D9D9D9" w:themeFill="background1" w:themeFillShade="D9"/>
            <w:vAlign w:val="center"/>
            <w:hideMark/>
          </w:tcPr>
          <w:p w14:paraId="3A8ECD5B" w14:textId="1EF2991A" w:rsidR="003B16A1" w:rsidRPr="0054775B" w:rsidRDefault="003B16A1" w:rsidP="00515FE7">
            <w:pPr>
              <w:pStyle w:val="2024TABLEHEADER"/>
            </w:pPr>
            <w:r w:rsidRPr="0054775B">
              <w:t>Review ID</w:t>
            </w:r>
          </w:p>
        </w:tc>
        <w:tc>
          <w:tcPr>
            <w:tcW w:w="6662" w:type="dxa"/>
            <w:gridSpan w:val="4"/>
            <w:shd w:val="clear" w:color="auto" w:fill="D9D9D9" w:themeFill="background1" w:themeFillShade="D9"/>
            <w:vAlign w:val="center"/>
          </w:tcPr>
          <w:p w14:paraId="17B9BF29" w14:textId="5569AABA" w:rsidR="003B16A1" w:rsidRPr="0054775B" w:rsidRDefault="003B16A1" w:rsidP="00515FE7">
            <w:pPr>
              <w:pStyle w:val="2024TABLEHEADER"/>
            </w:pPr>
            <w:r w:rsidRPr="0054775B">
              <w:t>ROBIS Domains</w:t>
            </w:r>
          </w:p>
        </w:tc>
        <w:tc>
          <w:tcPr>
            <w:tcW w:w="1276" w:type="dxa"/>
            <w:vMerge w:val="restart"/>
            <w:shd w:val="clear" w:color="auto" w:fill="D9D9D9" w:themeFill="background1" w:themeFillShade="D9"/>
            <w:vAlign w:val="center"/>
          </w:tcPr>
          <w:p w14:paraId="7E490DC0" w14:textId="27B8004F" w:rsidR="003B16A1" w:rsidRPr="0054775B" w:rsidRDefault="003B16A1" w:rsidP="00515FE7">
            <w:pPr>
              <w:pStyle w:val="2024TABLEHEADER"/>
            </w:pPr>
            <w:r w:rsidRPr="0054775B">
              <w:t>Overall risk of bias</w:t>
            </w:r>
          </w:p>
        </w:tc>
      </w:tr>
      <w:tr w:rsidR="00027286" w:rsidRPr="0054775B" w14:paraId="62C895D5" w14:textId="65C3375A" w:rsidTr="00225E44">
        <w:trPr>
          <w:trHeight w:val="511"/>
        </w:trPr>
        <w:tc>
          <w:tcPr>
            <w:tcW w:w="1266" w:type="dxa"/>
            <w:vMerge/>
            <w:shd w:val="clear" w:color="auto" w:fill="D9D9D9" w:themeFill="background1" w:themeFillShade="D9"/>
            <w:vAlign w:val="center"/>
          </w:tcPr>
          <w:p w14:paraId="5E7FB128" w14:textId="77777777" w:rsidR="003B16A1" w:rsidRPr="0054775B" w:rsidRDefault="003B16A1" w:rsidP="0027698C">
            <w:pPr>
              <w:pStyle w:val="2024TABLETEXT"/>
              <w:framePr w:hSpace="0" w:wrap="auto" w:vAnchor="margin" w:yAlign="inline"/>
              <w:suppressOverlap w:val="0"/>
            </w:pPr>
          </w:p>
        </w:tc>
        <w:tc>
          <w:tcPr>
            <w:tcW w:w="1701" w:type="dxa"/>
            <w:shd w:val="clear" w:color="auto" w:fill="F2F2F2" w:themeFill="background1" w:themeFillShade="F2"/>
            <w:vAlign w:val="center"/>
          </w:tcPr>
          <w:p w14:paraId="4803105E" w14:textId="4132A3FD" w:rsidR="003B16A1" w:rsidRPr="0054775B" w:rsidRDefault="003B16A1" w:rsidP="0027698C">
            <w:pPr>
              <w:pStyle w:val="2024TABLEHEADER"/>
              <w:rPr>
                <w:b w:val="0"/>
                <w:bCs w:val="0"/>
              </w:rPr>
            </w:pPr>
            <w:r w:rsidRPr="0054775B">
              <w:rPr>
                <w:b w:val="0"/>
                <w:bCs w:val="0"/>
              </w:rPr>
              <w:t>Domain 1: Study eligibility criteria</w:t>
            </w:r>
          </w:p>
        </w:tc>
        <w:tc>
          <w:tcPr>
            <w:tcW w:w="1843" w:type="dxa"/>
            <w:shd w:val="clear" w:color="auto" w:fill="F2F2F2" w:themeFill="background1" w:themeFillShade="F2"/>
            <w:vAlign w:val="center"/>
          </w:tcPr>
          <w:p w14:paraId="3897C3E2" w14:textId="018956C3" w:rsidR="003B16A1" w:rsidRPr="0054775B" w:rsidRDefault="003B16A1" w:rsidP="0027698C">
            <w:pPr>
              <w:pStyle w:val="2024TABLEHEADER"/>
              <w:rPr>
                <w:b w:val="0"/>
                <w:bCs w:val="0"/>
              </w:rPr>
            </w:pPr>
            <w:r w:rsidRPr="0054775B">
              <w:rPr>
                <w:b w:val="0"/>
                <w:bCs w:val="0"/>
              </w:rPr>
              <w:t>Domain 2: Identification and selection of studies</w:t>
            </w:r>
          </w:p>
        </w:tc>
        <w:tc>
          <w:tcPr>
            <w:tcW w:w="1559" w:type="dxa"/>
            <w:shd w:val="clear" w:color="auto" w:fill="F2F2F2" w:themeFill="background1" w:themeFillShade="F2"/>
            <w:vAlign w:val="center"/>
          </w:tcPr>
          <w:p w14:paraId="314297DC" w14:textId="44BD3F0A" w:rsidR="003B16A1" w:rsidRPr="0054775B" w:rsidRDefault="003B16A1" w:rsidP="0027698C">
            <w:pPr>
              <w:pStyle w:val="2024TABLEHEADER"/>
              <w:rPr>
                <w:b w:val="0"/>
                <w:bCs w:val="0"/>
              </w:rPr>
            </w:pPr>
            <w:r w:rsidRPr="0054775B">
              <w:rPr>
                <w:b w:val="0"/>
                <w:bCs w:val="0"/>
              </w:rPr>
              <w:t>Domain 3: Data collection and study appraisal</w:t>
            </w:r>
          </w:p>
        </w:tc>
        <w:tc>
          <w:tcPr>
            <w:tcW w:w="1559" w:type="dxa"/>
            <w:shd w:val="clear" w:color="auto" w:fill="F2F2F2" w:themeFill="background1" w:themeFillShade="F2"/>
            <w:vAlign w:val="center"/>
          </w:tcPr>
          <w:p w14:paraId="30555129" w14:textId="2B8A56E3" w:rsidR="003B16A1" w:rsidRPr="0054775B" w:rsidRDefault="003B16A1" w:rsidP="0027698C">
            <w:pPr>
              <w:pStyle w:val="2024TABLEHEADER"/>
              <w:rPr>
                <w:b w:val="0"/>
                <w:bCs w:val="0"/>
              </w:rPr>
            </w:pPr>
            <w:r w:rsidRPr="0054775B">
              <w:rPr>
                <w:b w:val="0"/>
                <w:bCs w:val="0"/>
              </w:rPr>
              <w:t>Domain 4: Synthesis and findings</w:t>
            </w:r>
          </w:p>
        </w:tc>
        <w:tc>
          <w:tcPr>
            <w:tcW w:w="1276" w:type="dxa"/>
            <w:vMerge/>
            <w:shd w:val="clear" w:color="auto" w:fill="D9D9D9" w:themeFill="background1" w:themeFillShade="D9"/>
            <w:vAlign w:val="center"/>
          </w:tcPr>
          <w:p w14:paraId="0D2F56EF" w14:textId="6B859AF1" w:rsidR="003B16A1" w:rsidRPr="0054775B" w:rsidRDefault="003B16A1" w:rsidP="0027698C">
            <w:pPr>
              <w:pStyle w:val="2024TABLEHEADER"/>
            </w:pPr>
          </w:p>
        </w:tc>
      </w:tr>
      <w:tr w:rsidR="00225E44" w:rsidRPr="0054775B" w14:paraId="4B8D3951" w14:textId="77777777" w:rsidTr="00225E44">
        <w:trPr>
          <w:trHeight w:val="95"/>
        </w:trPr>
        <w:tc>
          <w:tcPr>
            <w:tcW w:w="1266" w:type="dxa"/>
            <w:shd w:val="clear" w:color="auto" w:fill="auto"/>
          </w:tcPr>
          <w:p w14:paraId="48061422" w14:textId="42C3ACFA" w:rsidR="00225E44" w:rsidRPr="0054775B" w:rsidRDefault="00225E44" w:rsidP="0027698C">
            <w:pPr>
              <w:pStyle w:val="2024TABLETEXT"/>
              <w:framePr w:hSpace="0" w:wrap="auto" w:vAnchor="margin" w:yAlign="inline"/>
              <w:suppressOverlap w:val="0"/>
            </w:pPr>
            <w:r w:rsidRPr="0054775B">
              <w:t>Barić 2018</w:t>
            </w:r>
          </w:p>
        </w:tc>
        <w:tc>
          <w:tcPr>
            <w:tcW w:w="1701" w:type="dxa"/>
            <w:shd w:val="clear" w:color="auto" w:fill="auto"/>
          </w:tcPr>
          <w:p w14:paraId="2C3F3A3D" w14:textId="09233D9C" w:rsidR="00225E44" w:rsidRPr="0054775B" w:rsidRDefault="00225E44" w:rsidP="0027698C">
            <w:pPr>
              <w:pStyle w:val="2024TABLETEXT"/>
              <w:framePr w:hSpace="0" w:wrap="auto" w:vAnchor="margin" w:yAlign="inline"/>
              <w:suppressOverlap w:val="0"/>
            </w:pPr>
            <w:r w:rsidRPr="0054775B">
              <w:t>Low</w:t>
            </w:r>
          </w:p>
        </w:tc>
        <w:tc>
          <w:tcPr>
            <w:tcW w:w="1843" w:type="dxa"/>
            <w:shd w:val="clear" w:color="auto" w:fill="auto"/>
          </w:tcPr>
          <w:p w14:paraId="10AA007E" w14:textId="303EEC94" w:rsidR="00225E44" w:rsidRPr="0054775B" w:rsidRDefault="00190158" w:rsidP="0027698C">
            <w:pPr>
              <w:pStyle w:val="2024TABLETEXT"/>
              <w:framePr w:hSpace="0" w:wrap="auto" w:vAnchor="margin" w:yAlign="inline"/>
              <w:suppressOverlap w:val="0"/>
            </w:pPr>
            <w:r>
              <w:t>Unclear</w:t>
            </w:r>
          </w:p>
        </w:tc>
        <w:tc>
          <w:tcPr>
            <w:tcW w:w="1559" w:type="dxa"/>
            <w:shd w:val="clear" w:color="auto" w:fill="auto"/>
          </w:tcPr>
          <w:p w14:paraId="64E19C71" w14:textId="6865E8AD" w:rsidR="00225E44" w:rsidRPr="0054775B" w:rsidRDefault="00225E44" w:rsidP="0027698C">
            <w:pPr>
              <w:pStyle w:val="2024TABLETEXT"/>
              <w:framePr w:hSpace="0" w:wrap="auto" w:vAnchor="margin" w:yAlign="inline"/>
              <w:suppressOverlap w:val="0"/>
            </w:pPr>
            <w:r w:rsidRPr="0054775B">
              <w:t>Low</w:t>
            </w:r>
          </w:p>
        </w:tc>
        <w:tc>
          <w:tcPr>
            <w:tcW w:w="1559" w:type="dxa"/>
            <w:shd w:val="clear" w:color="auto" w:fill="auto"/>
          </w:tcPr>
          <w:p w14:paraId="3E3B7D82" w14:textId="0A337657" w:rsidR="00225E44" w:rsidRPr="0054775B" w:rsidRDefault="00225E44" w:rsidP="0027698C">
            <w:pPr>
              <w:pStyle w:val="2024TABLETEXT"/>
              <w:framePr w:hSpace="0" w:wrap="auto" w:vAnchor="margin" w:yAlign="inline"/>
              <w:suppressOverlap w:val="0"/>
            </w:pPr>
            <w:r w:rsidRPr="0054775B">
              <w:t>Low</w:t>
            </w:r>
          </w:p>
        </w:tc>
        <w:tc>
          <w:tcPr>
            <w:tcW w:w="1276" w:type="dxa"/>
            <w:shd w:val="clear" w:color="auto" w:fill="auto"/>
            <w:vAlign w:val="center"/>
          </w:tcPr>
          <w:p w14:paraId="0B4AB1A2" w14:textId="5DEFA792" w:rsidR="00225E44" w:rsidRPr="0054775B" w:rsidRDefault="00225E44" w:rsidP="0027698C">
            <w:pPr>
              <w:pStyle w:val="2024TABLETEXT"/>
              <w:framePr w:hSpace="0" w:wrap="auto" w:vAnchor="margin" w:yAlign="inline"/>
              <w:suppressOverlap w:val="0"/>
            </w:pPr>
            <w:r w:rsidRPr="0054775B">
              <w:t>Low risk</w:t>
            </w:r>
          </w:p>
        </w:tc>
      </w:tr>
      <w:tr w:rsidR="00225E44" w:rsidRPr="0054775B" w14:paraId="7D14EE65" w14:textId="77777777" w:rsidTr="00225E44">
        <w:trPr>
          <w:trHeight w:val="95"/>
        </w:trPr>
        <w:tc>
          <w:tcPr>
            <w:tcW w:w="1266" w:type="dxa"/>
            <w:shd w:val="clear" w:color="auto" w:fill="auto"/>
          </w:tcPr>
          <w:p w14:paraId="70CE6EF6" w14:textId="1ABC746E" w:rsidR="00225E44" w:rsidRPr="0054775B" w:rsidRDefault="00225E44" w:rsidP="0027698C">
            <w:pPr>
              <w:pStyle w:val="2024TABLETEXT"/>
              <w:framePr w:hSpace="0" w:wrap="auto" w:vAnchor="margin" w:yAlign="inline"/>
              <w:suppressOverlap w:val="0"/>
            </w:pPr>
            <w:r w:rsidRPr="0054775B">
              <w:rPr>
                <w:rFonts w:eastAsiaTheme="minorHAnsi"/>
              </w:rPr>
              <w:t>Tsai 2023</w:t>
            </w:r>
          </w:p>
        </w:tc>
        <w:tc>
          <w:tcPr>
            <w:tcW w:w="1701" w:type="dxa"/>
            <w:shd w:val="clear" w:color="auto" w:fill="auto"/>
          </w:tcPr>
          <w:p w14:paraId="3A83CD47" w14:textId="27FF3B6D" w:rsidR="00225E44" w:rsidRPr="0054775B" w:rsidRDefault="00225E44" w:rsidP="0027698C">
            <w:pPr>
              <w:pStyle w:val="2024TABLETEXT"/>
              <w:framePr w:hSpace="0" w:wrap="auto" w:vAnchor="margin" w:yAlign="inline"/>
              <w:suppressOverlap w:val="0"/>
            </w:pPr>
            <w:r w:rsidRPr="0054775B">
              <w:t>Low</w:t>
            </w:r>
          </w:p>
        </w:tc>
        <w:tc>
          <w:tcPr>
            <w:tcW w:w="1843" w:type="dxa"/>
            <w:shd w:val="clear" w:color="auto" w:fill="auto"/>
          </w:tcPr>
          <w:p w14:paraId="6D66E4A6" w14:textId="7B01EB53" w:rsidR="00225E44" w:rsidRPr="0054775B" w:rsidRDefault="00190158" w:rsidP="0027698C">
            <w:pPr>
              <w:pStyle w:val="2024TABLETEXT"/>
              <w:framePr w:hSpace="0" w:wrap="auto" w:vAnchor="margin" w:yAlign="inline"/>
              <w:suppressOverlap w:val="0"/>
            </w:pPr>
            <w:r>
              <w:t>Unclear</w:t>
            </w:r>
          </w:p>
        </w:tc>
        <w:tc>
          <w:tcPr>
            <w:tcW w:w="1559" w:type="dxa"/>
            <w:shd w:val="clear" w:color="auto" w:fill="auto"/>
          </w:tcPr>
          <w:p w14:paraId="1F5E9590" w14:textId="5A5EEB2C" w:rsidR="00225E44" w:rsidRPr="0054775B" w:rsidRDefault="00190158" w:rsidP="0027698C">
            <w:pPr>
              <w:pStyle w:val="2024TABLETEXT"/>
              <w:framePr w:hSpace="0" w:wrap="auto" w:vAnchor="margin" w:yAlign="inline"/>
              <w:suppressOverlap w:val="0"/>
            </w:pPr>
            <w:r w:rsidRPr="0054775B">
              <w:t>Low</w:t>
            </w:r>
          </w:p>
        </w:tc>
        <w:tc>
          <w:tcPr>
            <w:tcW w:w="1559" w:type="dxa"/>
            <w:shd w:val="clear" w:color="auto" w:fill="auto"/>
          </w:tcPr>
          <w:p w14:paraId="0A9C8650" w14:textId="734F9D67" w:rsidR="00225E44" w:rsidRPr="0054775B" w:rsidRDefault="00225E44" w:rsidP="0027698C">
            <w:pPr>
              <w:pStyle w:val="2024TABLETEXT"/>
              <w:framePr w:hSpace="0" w:wrap="auto" w:vAnchor="margin" w:yAlign="inline"/>
              <w:suppressOverlap w:val="0"/>
            </w:pPr>
            <w:r w:rsidRPr="0054775B">
              <w:t>Low</w:t>
            </w:r>
          </w:p>
        </w:tc>
        <w:tc>
          <w:tcPr>
            <w:tcW w:w="1276" w:type="dxa"/>
            <w:shd w:val="clear" w:color="auto" w:fill="auto"/>
            <w:vAlign w:val="center"/>
          </w:tcPr>
          <w:p w14:paraId="31D96C1A" w14:textId="4DFC6FB1" w:rsidR="00225E44" w:rsidRPr="0054775B" w:rsidRDefault="00225E44" w:rsidP="0027698C">
            <w:pPr>
              <w:pStyle w:val="2024TABLETEXT"/>
              <w:framePr w:hSpace="0" w:wrap="auto" w:vAnchor="margin" w:yAlign="inline"/>
              <w:suppressOverlap w:val="0"/>
            </w:pPr>
            <w:r w:rsidRPr="0054775B">
              <w:t>Low risk</w:t>
            </w:r>
          </w:p>
        </w:tc>
      </w:tr>
    </w:tbl>
    <w:p w14:paraId="3E15DA9C" w14:textId="77777777" w:rsidR="003B6E4E" w:rsidRPr="0054775B" w:rsidRDefault="003B6E4E" w:rsidP="009E6F7F">
      <w:pPr>
        <w:pStyle w:val="2024HEADER3"/>
        <w:rPr>
          <w:rFonts w:ascii="Aptos" w:hAnsi="Aptos"/>
        </w:rPr>
      </w:pPr>
      <w:r w:rsidRPr="0054775B">
        <w:rPr>
          <w:rFonts w:ascii="Aptos" w:hAnsi="Aptos"/>
        </w:rPr>
        <w:t xml:space="preserve">Results </w:t>
      </w:r>
    </w:p>
    <w:p w14:paraId="477BF26A" w14:textId="4C2C99FC" w:rsidR="003B6E4E" w:rsidRPr="0054775B" w:rsidRDefault="00B230AA" w:rsidP="00134ABD">
      <w:r w:rsidRPr="0054775B">
        <w:t>There was no cross-over of PICOs</w:t>
      </w:r>
      <w:r w:rsidR="0059269C">
        <w:t>;</w:t>
      </w:r>
      <w:r w:rsidR="001E6281" w:rsidRPr="0054775B">
        <w:t xml:space="preserve"> </w:t>
      </w:r>
      <w:r w:rsidR="00003BA7">
        <w:t>one review included magnesium alone, where the other included a co-</w:t>
      </w:r>
      <w:r w:rsidR="001E6281" w:rsidRPr="0054775B" w:rsidDel="00003BA7">
        <w:t>intervention</w:t>
      </w:r>
      <w:r w:rsidRPr="0054775B">
        <w:t xml:space="preserve">, and so </w:t>
      </w:r>
      <w:r w:rsidR="00134ABD">
        <w:t>both Barić 2018 and Tsai 2023 were considered preferred reviews</w:t>
      </w:r>
      <w:r w:rsidR="006D7F8F">
        <w:t>,</w:t>
      </w:r>
      <w:r w:rsidR="00134ABD">
        <w:t xml:space="preserve"> and all reported results were presented</w:t>
      </w:r>
      <w:r w:rsidR="00510ABC" w:rsidRPr="0054775B">
        <w:t>.</w:t>
      </w:r>
    </w:p>
    <w:p w14:paraId="790FAFC9" w14:textId="175D137B" w:rsidR="003B6E4E" w:rsidRPr="0054775B" w:rsidRDefault="003B6E4E" w:rsidP="0076018E">
      <w:pPr>
        <w:pStyle w:val="2024TABLECAPTION"/>
        <w:rPr>
          <w:rFonts w:ascii="Aptos" w:hAnsi="Aptos"/>
        </w:rPr>
      </w:pPr>
      <w:bookmarkStart w:id="59" w:name="_Toc185261582"/>
      <w:r w:rsidRPr="0054775B">
        <w:rPr>
          <w:rFonts w:ascii="Aptos" w:hAnsi="Aptos"/>
        </w:rPr>
        <w:t xml:space="preserve">Table </w:t>
      </w:r>
      <w:r w:rsidRPr="0054775B">
        <w:rPr>
          <w:rFonts w:ascii="Aptos" w:hAnsi="Aptos"/>
        </w:rPr>
        <w:fldChar w:fldCharType="begin"/>
      </w:r>
      <w:r w:rsidRPr="0054775B">
        <w:rPr>
          <w:rFonts w:ascii="Aptos" w:hAnsi="Aptos"/>
        </w:rPr>
        <w:instrText>SEQ Table \* ARABIC</w:instrText>
      </w:r>
      <w:r w:rsidRPr="0054775B">
        <w:rPr>
          <w:rFonts w:ascii="Aptos" w:hAnsi="Aptos"/>
        </w:rPr>
        <w:fldChar w:fldCharType="separate"/>
      </w:r>
      <w:r w:rsidR="00651E04">
        <w:rPr>
          <w:rFonts w:ascii="Aptos" w:hAnsi="Aptos"/>
          <w:noProof/>
        </w:rPr>
        <w:t>4</w:t>
      </w:r>
      <w:r w:rsidRPr="0054775B">
        <w:rPr>
          <w:rFonts w:ascii="Aptos" w:hAnsi="Aptos"/>
        </w:rPr>
        <w:fldChar w:fldCharType="end"/>
      </w:r>
      <w:r w:rsidRPr="0054775B">
        <w:rPr>
          <w:rFonts w:ascii="Aptos" w:hAnsi="Aptos"/>
        </w:rPr>
        <w:t xml:space="preserve">. </w:t>
      </w:r>
      <w:r w:rsidR="00361B89" w:rsidRPr="0054775B">
        <w:rPr>
          <w:rFonts w:ascii="Aptos" w:hAnsi="Aptos"/>
        </w:rPr>
        <w:t>Contributing</w:t>
      </w:r>
      <w:r w:rsidR="005F73B0" w:rsidRPr="0054775B">
        <w:rPr>
          <w:rFonts w:ascii="Aptos" w:hAnsi="Aptos"/>
        </w:rPr>
        <w:t xml:space="preserve"> reviews for </w:t>
      </w:r>
      <w:r w:rsidR="00A7089C" w:rsidRPr="0054775B">
        <w:rPr>
          <w:rFonts w:ascii="Aptos" w:hAnsi="Aptos"/>
        </w:rPr>
        <w:t>each population and intervention/co-intervention</w:t>
      </w:r>
      <w:r w:rsidR="005F73B0" w:rsidRPr="0054775B">
        <w:rPr>
          <w:rFonts w:ascii="Aptos" w:hAnsi="Aptos"/>
        </w:rPr>
        <w:t xml:space="preserve"> </w:t>
      </w:r>
      <w:r w:rsidR="00A7089C" w:rsidRPr="0054775B">
        <w:rPr>
          <w:rFonts w:ascii="Aptos" w:hAnsi="Aptos"/>
        </w:rPr>
        <w:t xml:space="preserve">combination </w:t>
      </w:r>
      <w:r w:rsidRPr="0054775B">
        <w:rPr>
          <w:rFonts w:ascii="Aptos" w:hAnsi="Aptos"/>
        </w:rPr>
        <w:t>– anxiety (including post-natal), magnesium.</w:t>
      </w:r>
      <w:bookmarkEnd w:id="59"/>
    </w:p>
    <w:tbl>
      <w:tblPr>
        <w:tblStyle w:val="TableGrid"/>
        <w:tblW w:w="0" w:type="auto"/>
        <w:tblLook w:val="04A0" w:firstRow="1" w:lastRow="0" w:firstColumn="1" w:lastColumn="0" w:noHBand="0" w:noVBand="1"/>
      </w:tblPr>
      <w:tblGrid>
        <w:gridCol w:w="4815"/>
        <w:gridCol w:w="2126"/>
        <w:gridCol w:w="2279"/>
      </w:tblGrid>
      <w:tr w:rsidR="003B6E4E" w:rsidRPr="0054775B" w14:paraId="54D2ECDA" w14:textId="77777777" w:rsidTr="008767C8">
        <w:tc>
          <w:tcPr>
            <w:tcW w:w="4815" w:type="dxa"/>
            <w:shd w:val="clear" w:color="auto" w:fill="D9D9D9" w:themeFill="background1" w:themeFillShade="D9"/>
          </w:tcPr>
          <w:p w14:paraId="69D7A5B5" w14:textId="77777777" w:rsidR="003B6E4E" w:rsidRPr="0054775B" w:rsidRDefault="003B6E4E" w:rsidP="00515FE7">
            <w:pPr>
              <w:pStyle w:val="2024TABLEHEADER"/>
            </w:pPr>
          </w:p>
        </w:tc>
        <w:tc>
          <w:tcPr>
            <w:tcW w:w="2126" w:type="dxa"/>
            <w:shd w:val="clear" w:color="auto" w:fill="D9D9D9" w:themeFill="background1" w:themeFillShade="D9"/>
          </w:tcPr>
          <w:p w14:paraId="10FCFBFB" w14:textId="289ABA73" w:rsidR="003B6E4E" w:rsidRPr="0054775B" w:rsidRDefault="003B6E4E" w:rsidP="00515FE7">
            <w:pPr>
              <w:pStyle w:val="2024TABLEHEADER"/>
            </w:pPr>
            <w:r w:rsidRPr="0054775B">
              <w:t xml:space="preserve">With </w:t>
            </w:r>
            <w:r w:rsidR="00A8593C" w:rsidRPr="0054775B">
              <w:t>anxiety (including post</w:t>
            </w:r>
            <w:r w:rsidR="00390A31" w:rsidRPr="0054775B">
              <w:t>-</w:t>
            </w:r>
            <w:r w:rsidR="00A8593C" w:rsidRPr="0054775B">
              <w:t>natal)</w:t>
            </w:r>
          </w:p>
        </w:tc>
        <w:tc>
          <w:tcPr>
            <w:tcW w:w="2279" w:type="dxa"/>
            <w:shd w:val="clear" w:color="auto" w:fill="D9D9D9" w:themeFill="background1" w:themeFillShade="D9"/>
          </w:tcPr>
          <w:p w14:paraId="545B7CE3" w14:textId="3A601D08" w:rsidR="003B6E4E" w:rsidRPr="0054775B" w:rsidRDefault="003B6E4E" w:rsidP="00515FE7">
            <w:pPr>
              <w:pStyle w:val="2024TABLEHEADER"/>
            </w:pPr>
            <w:r w:rsidRPr="0054775B">
              <w:t>At</w:t>
            </w:r>
            <w:r w:rsidR="00361B89" w:rsidRPr="0054775B">
              <w:t xml:space="preserve"> </w:t>
            </w:r>
            <w:r w:rsidRPr="0054775B">
              <w:t xml:space="preserve">risk of </w:t>
            </w:r>
            <w:r w:rsidR="00A8593C" w:rsidRPr="0054775B">
              <w:t>anxiety (including post</w:t>
            </w:r>
            <w:r w:rsidR="00390A31" w:rsidRPr="0054775B">
              <w:t>-</w:t>
            </w:r>
            <w:r w:rsidR="00A8593C" w:rsidRPr="0054775B">
              <w:t>natal)</w:t>
            </w:r>
          </w:p>
        </w:tc>
      </w:tr>
      <w:tr w:rsidR="003B6E4E" w:rsidRPr="0054775B" w14:paraId="5EE794EC" w14:textId="77777777" w:rsidTr="008767C8">
        <w:tc>
          <w:tcPr>
            <w:tcW w:w="4815" w:type="dxa"/>
            <w:shd w:val="clear" w:color="auto" w:fill="D9D9D9" w:themeFill="background1" w:themeFillShade="D9"/>
          </w:tcPr>
          <w:p w14:paraId="3AD53F9D" w14:textId="7AB13BC1" w:rsidR="003B6E4E" w:rsidRPr="0054775B" w:rsidRDefault="00A8593C" w:rsidP="00515FE7">
            <w:pPr>
              <w:pStyle w:val="2024TABLEHEADER"/>
            </w:pPr>
            <w:r w:rsidRPr="0054775B">
              <w:t xml:space="preserve">Magnesium </w:t>
            </w:r>
            <w:r w:rsidR="003B6E4E" w:rsidRPr="0054775B">
              <w:t xml:space="preserve">VS </w:t>
            </w:r>
            <w:r w:rsidR="00361B89" w:rsidRPr="0054775B">
              <w:t>p</w:t>
            </w:r>
            <w:r w:rsidR="00261FAC" w:rsidRPr="0054775B">
              <w:t>lacebo/inactive control</w:t>
            </w:r>
          </w:p>
        </w:tc>
        <w:tc>
          <w:tcPr>
            <w:tcW w:w="2126" w:type="dxa"/>
          </w:tcPr>
          <w:p w14:paraId="21F62A67" w14:textId="3B5554AB" w:rsidR="003B6E4E" w:rsidRPr="0054775B" w:rsidRDefault="008723B5" w:rsidP="00515FE7">
            <w:pPr>
              <w:pStyle w:val="2024TABLEHEADER"/>
              <w:rPr>
                <w:b w:val="0"/>
                <w:bCs w:val="0"/>
              </w:rPr>
            </w:pPr>
            <w:r w:rsidRPr="0054775B">
              <w:rPr>
                <w:b w:val="0"/>
                <w:bCs w:val="0"/>
              </w:rPr>
              <w:t>-</w:t>
            </w:r>
          </w:p>
        </w:tc>
        <w:tc>
          <w:tcPr>
            <w:tcW w:w="2279" w:type="dxa"/>
          </w:tcPr>
          <w:p w14:paraId="7BC56604" w14:textId="77777777" w:rsidR="003B6E4E" w:rsidRPr="0054775B" w:rsidRDefault="003B6E4E" w:rsidP="00361B89">
            <w:pPr>
              <w:pStyle w:val="2024TABLEHEADER"/>
              <w:rPr>
                <w:b w:val="0"/>
                <w:bCs w:val="0"/>
                <w:color w:val="000000"/>
              </w:rPr>
            </w:pPr>
            <w:r w:rsidRPr="0054775B">
              <w:rPr>
                <w:rFonts w:eastAsiaTheme="minorHAnsi"/>
                <w:b w:val="0"/>
                <w:bCs w:val="0"/>
              </w:rPr>
              <w:t xml:space="preserve">Tsai </w:t>
            </w:r>
            <w:r w:rsidRPr="0054775B">
              <w:rPr>
                <w:b w:val="0"/>
                <w:bCs w:val="0"/>
              </w:rPr>
              <w:t>2023</w:t>
            </w:r>
          </w:p>
        </w:tc>
      </w:tr>
      <w:tr w:rsidR="003B6E4E" w:rsidRPr="0054775B" w14:paraId="6322C4CE" w14:textId="77777777" w:rsidTr="008767C8">
        <w:tc>
          <w:tcPr>
            <w:tcW w:w="4815" w:type="dxa"/>
            <w:shd w:val="clear" w:color="auto" w:fill="D9D9D9" w:themeFill="background1" w:themeFillShade="D9"/>
          </w:tcPr>
          <w:p w14:paraId="75490A1B" w14:textId="61CD89BB" w:rsidR="003B6E4E" w:rsidRPr="0054775B" w:rsidRDefault="00A8593C" w:rsidP="00515FE7">
            <w:pPr>
              <w:pStyle w:val="2024TABLEHEADER"/>
            </w:pPr>
            <w:r w:rsidRPr="0054775B">
              <w:t>Magnesium</w:t>
            </w:r>
            <w:r w:rsidR="003B6E4E" w:rsidRPr="0054775B">
              <w:t xml:space="preserve"> + naturopathy co-intervention VS </w:t>
            </w:r>
            <w:r w:rsidR="00361B89" w:rsidRPr="0054775B">
              <w:t>p</w:t>
            </w:r>
            <w:r w:rsidR="00261FAC" w:rsidRPr="0054775B">
              <w:t>lacebo/inactive control</w:t>
            </w:r>
          </w:p>
        </w:tc>
        <w:tc>
          <w:tcPr>
            <w:tcW w:w="2126" w:type="dxa"/>
          </w:tcPr>
          <w:p w14:paraId="0E15AEFD" w14:textId="3C3AA586" w:rsidR="003B6E4E" w:rsidRPr="0054775B" w:rsidRDefault="003B6E4E" w:rsidP="00361B89">
            <w:pPr>
              <w:pStyle w:val="2024TABLEHEADER"/>
              <w:rPr>
                <w:b w:val="0"/>
                <w:bCs w:val="0"/>
                <w:color w:val="000000"/>
              </w:rPr>
            </w:pPr>
            <w:r w:rsidRPr="0054775B">
              <w:rPr>
                <w:b w:val="0"/>
                <w:bCs w:val="0"/>
              </w:rPr>
              <w:t>Barić 2018</w:t>
            </w:r>
          </w:p>
        </w:tc>
        <w:tc>
          <w:tcPr>
            <w:tcW w:w="2279" w:type="dxa"/>
          </w:tcPr>
          <w:p w14:paraId="70E6D914" w14:textId="539DF0B2" w:rsidR="003B6E4E" w:rsidRPr="0054775B" w:rsidRDefault="008723B5" w:rsidP="00515FE7">
            <w:pPr>
              <w:pStyle w:val="2024TABLEHEADER"/>
              <w:rPr>
                <w:b w:val="0"/>
                <w:bCs w:val="0"/>
              </w:rPr>
            </w:pPr>
            <w:r w:rsidRPr="0054775B">
              <w:rPr>
                <w:b w:val="0"/>
                <w:bCs w:val="0"/>
              </w:rPr>
              <w:t>-</w:t>
            </w:r>
          </w:p>
        </w:tc>
      </w:tr>
    </w:tbl>
    <w:p w14:paraId="69AA8F1D" w14:textId="77777777" w:rsidR="005E5EB3" w:rsidRPr="0054775B" w:rsidRDefault="005E5EB3" w:rsidP="009E6F7F"/>
    <w:p w14:paraId="1C25B1E9" w14:textId="63F5FB66" w:rsidR="005C639D" w:rsidRPr="0054775B" w:rsidRDefault="005C639D" w:rsidP="009E6F7F">
      <w:pPr>
        <w:sectPr w:rsidR="005C639D" w:rsidRPr="0054775B" w:rsidSect="006A72DC">
          <w:headerReference w:type="even" r:id="rId15"/>
          <w:footerReference w:type="default" r:id="rId16"/>
          <w:headerReference w:type="first" r:id="rId17"/>
          <w:footerReference w:type="first" r:id="rId18"/>
          <w:pgSz w:w="11910" w:h="16840"/>
          <w:pgMar w:top="1356" w:right="1340" w:bottom="1396" w:left="1340" w:header="720" w:footer="720" w:gutter="0"/>
          <w:cols w:space="720"/>
        </w:sectPr>
      </w:pPr>
    </w:p>
    <w:p w14:paraId="44B98E06" w14:textId="77777777" w:rsidR="00977BB3" w:rsidRPr="0054775B" w:rsidRDefault="00977BB3" w:rsidP="00977BB3">
      <w:pPr>
        <w:pStyle w:val="2024HEADER3"/>
        <w:rPr>
          <w:rFonts w:ascii="Aptos" w:hAnsi="Aptos"/>
        </w:rPr>
      </w:pPr>
      <w:r w:rsidRPr="0054775B">
        <w:rPr>
          <w:rFonts w:ascii="Aptos" w:hAnsi="Aptos"/>
        </w:rPr>
        <w:lastRenderedPageBreak/>
        <w:t>Summary of findings and evidence statements</w:t>
      </w:r>
    </w:p>
    <w:p w14:paraId="398D8D67" w14:textId="2A93E5D1" w:rsidR="002157D3" w:rsidRPr="0054775B" w:rsidRDefault="002157D3" w:rsidP="002157D3">
      <w:pPr>
        <w:pStyle w:val="2024TABLECAPTION"/>
        <w:rPr>
          <w:rFonts w:ascii="Aptos" w:hAnsi="Aptos"/>
        </w:rPr>
      </w:pPr>
      <w:bookmarkStart w:id="60" w:name="_Toc185261583"/>
      <w:r w:rsidRPr="0054775B">
        <w:rPr>
          <w:rFonts w:ascii="Aptos" w:hAnsi="Aptos"/>
        </w:rPr>
        <w:t xml:space="preserve">Table </w:t>
      </w:r>
      <w:r w:rsidRPr="0054775B">
        <w:rPr>
          <w:rFonts w:ascii="Aptos" w:hAnsi="Aptos"/>
        </w:rPr>
        <w:fldChar w:fldCharType="begin"/>
      </w:r>
      <w:r w:rsidRPr="0054775B">
        <w:rPr>
          <w:rFonts w:ascii="Aptos" w:hAnsi="Aptos"/>
        </w:rPr>
        <w:instrText>SEQ Table \* ARABIC</w:instrText>
      </w:r>
      <w:r w:rsidRPr="0054775B">
        <w:rPr>
          <w:rFonts w:ascii="Aptos" w:hAnsi="Aptos"/>
        </w:rPr>
        <w:fldChar w:fldCharType="separate"/>
      </w:r>
      <w:r w:rsidR="00651E04">
        <w:rPr>
          <w:rFonts w:ascii="Aptos" w:hAnsi="Aptos"/>
          <w:noProof/>
        </w:rPr>
        <w:t>5</w:t>
      </w:r>
      <w:r w:rsidRPr="0054775B">
        <w:rPr>
          <w:rFonts w:ascii="Aptos" w:hAnsi="Aptos"/>
        </w:rPr>
        <w:fldChar w:fldCharType="end"/>
      </w:r>
      <w:r w:rsidRPr="0054775B">
        <w:rPr>
          <w:rFonts w:ascii="Aptos" w:hAnsi="Aptos"/>
        </w:rPr>
        <w:t>. Magnesium compared to placebo/inactive control for people at risk of anxiety (including postnatal)</w:t>
      </w:r>
      <w:bookmarkEnd w:id="60"/>
    </w:p>
    <w:tbl>
      <w:tblPr>
        <w:tblW w:w="4662" w:type="pct"/>
        <w:tblLayout w:type="fixed"/>
        <w:tblCellMar>
          <w:top w:w="28" w:type="dxa"/>
          <w:left w:w="57" w:type="dxa"/>
          <w:bottom w:w="28" w:type="dxa"/>
          <w:right w:w="28" w:type="dxa"/>
        </w:tblCellMar>
        <w:tblLook w:val="04A0" w:firstRow="1" w:lastRow="0" w:firstColumn="1" w:lastColumn="0" w:noHBand="0" w:noVBand="1"/>
      </w:tblPr>
      <w:tblGrid>
        <w:gridCol w:w="850"/>
        <w:gridCol w:w="4110"/>
        <w:gridCol w:w="1276"/>
        <w:gridCol w:w="1415"/>
        <w:gridCol w:w="1276"/>
        <w:gridCol w:w="1140"/>
        <w:gridCol w:w="4103"/>
        <w:gridCol w:w="6"/>
      </w:tblGrid>
      <w:tr w:rsidR="002157D3" w:rsidRPr="0054775B" w14:paraId="4B16E313" w14:textId="77777777">
        <w:trPr>
          <w:cantSplit/>
        </w:trPr>
        <w:tc>
          <w:tcPr>
            <w:tcW w:w="5000" w:type="pct"/>
            <w:gridSpan w:val="8"/>
            <w:tcBorders>
              <w:top w:val="single" w:sz="12" w:space="0" w:color="000000"/>
              <w:left w:val="nil"/>
              <w:bottom w:val="single" w:sz="12" w:space="0" w:color="000000"/>
              <w:right w:val="nil"/>
            </w:tcBorders>
          </w:tcPr>
          <w:p w14:paraId="06768CAD" w14:textId="600B9B4B" w:rsidR="002157D3" w:rsidRPr="0054775B" w:rsidRDefault="002157D3">
            <w:pPr>
              <w:pStyle w:val="2024TABLETEXT"/>
              <w:framePr w:hSpace="0" w:wrap="auto" w:vAnchor="margin" w:yAlign="inline"/>
              <w:suppressOverlap w:val="0"/>
              <w:rPr>
                <w:rStyle w:val="Strong"/>
              </w:rPr>
            </w:pPr>
            <w:r w:rsidRPr="0054775B">
              <w:rPr>
                <w:rStyle w:val="Strong"/>
                <w:b w:val="0"/>
                <w:bCs w:val="0"/>
              </w:rPr>
              <w:t>Patient or population:</w:t>
            </w:r>
            <w:r w:rsidRPr="0054775B">
              <w:rPr>
                <w:rStyle w:val="Strong"/>
              </w:rPr>
              <w:t xml:space="preserve"> At risk of anxiety (including postnatal)</w:t>
            </w:r>
          </w:p>
          <w:p w14:paraId="0CFF7DAD" w14:textId="77777777" w:rsidR="002157D3" w:rsidRPr="0054775B" w:rsidRDefault="002157D3">
            <w:pPr>
              <w:pStyle w:val="2024TABLETEXT"/>
              <w:framePr w:hSpace="0" w:wrap="auto" w:vAnchor="margin" w:yAlign="inline"/>
              <w:suppressOverlap w:val="0"/>
              <w:rPr>
                <w:rStyle w:val="Strong"/>
              </w:rPr>
            </w:pPr>
            <w:r w:rsidRPr="0054775B">
              <w:rPr>
                <w:rStyle w:val="Strong"/>
                <w:b w:val="0"/>
                <w:bCs w:val="0"/>
              </w:rPr>
              <w:t>Intervention</w:t>
            </w:r>
            <w:r w:rsidRPr="0054775B">
              <w:rPr>
                <w:rStyle w:val="Strong"/>
              </w:rPr>
              <w:t>: Magnesium</w:t>
            </w:r>
          </w:p>
          <w:p w14:paraId="40850B7F" w14:textId="77777777" w:rsidR="002157D3" w:rsidRPr="0054775B" w:rsidRDefault="002157D3">
            <w:pPr>
              <w:pStyle w:val="2024TABLETEXT"/>
              <w:framePr w:hSpace="0" w:wrap="auto" w:vAnchor="margin" w:yAlign="inline"/>
              <w:suppressOverlap w:val="0"/>
            </w:pPr>
            <w:r w:rsidRPr="0054775B">
              <w:rPr>
                <w:rStyle w:val="Strong"/>
                <w:b w:val="0"/>
                <w:bCs w:val="0"/>
              </w:rPr>
              <w:t>Comparison</w:t>
            </w:r>
            <w:r w:rsidRPr="0054775B">
              <w:rPr>
                <w:rStyle w:val="Strong"/>
              </w:rPr>
              <w:t xml:space="preserve">: </w:t>
            </w:r>
            <w:r w:rsidRPr="0054775B">
              <w:rPr>
                <w:b/>
                <w:bCs/>
              </w:rPr>
              <w:t xml:space="preserve"> Placebo/inactive control</w:t>
            </w:r>
          </w:p>
        </w:tc>
      </w:tr>
      <w:tr w:rsidR="002157D3" w:rsidRPr="0054775B" w14:paraId="1C5733DD" w14:textId="77777777" w:rsidTr="00307685">
        <w:trPr>
          <w:cantSplit/>
          <w:trHeight w:val="567"/>
        </w:trPr>
        <w:tc>
          <w:tcPr>
            <w:tcW w:w="300" w:type="pct"/>
            <w:tcBorders>
              <w:right w:val="single" w:sz="6" w:space="0" w:color="EFEFEF"/>
            </w:tcBorders>
            <w:shd w:val="clear" w:color="auto" w:fill="FFE599" w:themeFill="accent4" w:themeFillTint="66"/>
            <w:vAlign w:val="bottom"/>
          </w:tcPr>
          <w:p w14:paraId="481224DF" w14:textId="77777777" w:rsidR="002157D3" w:rsidRPr="0054775B" w:rsidRDefault="002157D3">
            <w:pPr>
              <w:pStyle w:val="2024TABLEHEADER"/>
            </w:pPr>
            <w:r w:rsidRPr="0054775B">
              <w:t>NTWC Rating*</w:t>
            </w:r>
          </w:p>
        </w:tc>
        <w:tc>
          <w:tcPr>
            <w:tcW w:w="1450" w:type="pct"/>
            <w:tcBorders>
              <w:right w:val="single" w:sz="6" w:space="0" w:color="EFEFEF"/>
            </w:tcBorders>
            <w:shd w:val="clear" w:color="auto" w:fill="FFE599" w:themeFill="accent4" w:themeFillTint="66"/>
            <w:vAlign w:val="bottom"/>
            <w:hideMark/>
          </w:tcPr>
          <w:p w14:paraId="7B1D5819" w14:textId="77777777" w:rsidR="002157D3" w:rsidRPr="0054775B" w:rsidRDefault="002157D3">
            <w:pPr>
              <w:pStyle w:val="2024TABLEHEADER"/>
            </w:pPr>
            <w:r w:rsidRPr="0054775B">
              <w:t>Outcomes</w:t>
            </w:r>
          </w:p>
        </w:tc>
        <w:tc>
          <w:tcPr>
            <w:tcW w:w="450" w:type="pct"/>
            <w:shd w:val="clear" w:color="auto" w:fill="FFF2CC" w:themeFill="accent4" w:themeFillTint="33"/>
            <w:vAlign w:val="bottom"/>
          </w:tcPr>
          <w:p w14:paraId="2FC9B629" w14:textId="3A2830D0" w:rsidR="002157D3" w:rsidRPr="0054775B" w:rsidRDefault="002157D3">
            <w:pPr>
              <w:pStyle w:val="2024TABLEHEADER"/>
            </w:pPr>
            <w:r w:rsidRPr="0054775B">
              <w:t>Contributing review</w:t>
            </w:r>
          </w:p>
        </w:tc>
        <w:tc>
          <w:tcPr>
            <w:tcW w:w="499" w:type="pct"/>
            <w:tcBorders>
              <w:top w:val="single" w:sz="6" w:space="0" w:color="EFEFEF"/>
              <w:right w:val="single" w:sz="6" w:space="0" w:color="EFEFEF"/>
            </w:tcBorders>
            <w:shd w:val="clear" w:color="auto" w:fill="E0E0E0"/>
            <w:vAlign w:val="bottom"/>
          </w:tcPr>
          <w:p w14:paraId="685E1F21" w14:textId="23B0B043" w:rsidR="002157D3" w:rsidRPr="0054775B" w:rsidRDefault="002157D3">
            <w:pPr>
              <w:pStyle w:val="2024TABLEHEADER"/>
            </w:pPr>
            <w:r w:rsidRPr="0054775B">
              <w:t>Relative effect</w:t>
            </w:r>
            <w:r w:rsidRPr="0054775B">
              <w:br/>
              <w:t>(95% CI)</w:t>
            </w:r>
          </w:p>
        </w:tc>
        <w:tc>
          <w:tcPr>
            <w:tcW w:w="450" w:type="pct"/>
            <w:tcBorders>
              <w:right w:val="single" w:sz="6" w:space="0" w:color="EFEFEF"/>
            </w:tcBorders>
            <w:shd w:val="clear" w:color="auto" w:fill="FFE599" w:themeFill="accent4" w:themeFillTint="66"/>
            <w:vAlign w:val="bottom"/>
            <w:hideMark/>
          </w:tcPr>
          <w:p w14:paraId="7DDD25D4" w14:textId="77777777" w:rsidR="002157D3" w:rsidRPr="0054775B" w:rsidRDefault="002157D3">
            <w:pPr>
              <w:pStyle w:val="2024TABLEHEADER"/>
            </w:pPr>
            <w:r w:rsidRPr="0054775B">
              <w:t>№ of participants</w:t>
            </w:r>
            <w:r w:rsidRPr="0054775B">
              <w:br/>
              <w:t>(studies)</w:t>
            </w:r>
          </w:p>
        </w:tc>
        <w:tc>
          <w:tcPr>
            <w:tcW w:w="402" w:type="pct"/>
            <w:tcBorders>
              <w:right w:val="single" w:sz="6" w:space="0" w:color="EFEFEF"/>
            </w:tcBorders>
            <w:shd w:val="clear" w:color="auto" w:fill="FFE599" w:themeFill="accent4" w:themeFillTint="66"/>
            <w:vAlign w:val="bottom"/>
            <w:hideMark/>
          </w:tcPr>
          <w:p w14:paraId="280124FC" w14:textId="77777777" w:rsidR="002157D3" w:rsidRPr="0054775B" w:rsidRDefault="002157D3">
            <w:pPr>
              <w:pStyle w:val="2024TABLEHEADER"/>
            </w:pPr>
            <w:r w:rsidRPr="0054775B">
              <w:t>Certainty of the evidence</w:t>
            </w:r>
            <w:r w:rsidRPr="0054775B">
              <w:br/>
              <w:t>(GRADE)</w:t>
            </w:r>
          </w:p>
        </w:tc>
        <w:tc>
          <w:tcPr>
            <w:tcW w:w="1449" w:type="pct"/>
            <w:gridSpan w:val="2"/>
            <w:tcBorders>
              <w:right w:val="single" w:sz="6" w:space="0" w:color="EFEFEF"/>
            </w:tcBorders>
            <w:shd w:val="clear" w:color="auto" w:fill="FFE599" w:themeFill="accent4" w:themeFillTint="66"/>
            <w:vAlign w:val="bottom"/>
            <w:hideMark/>
          </w:tcPr>
          <w:p w14:paraId="4EF4B1D6" w14:textId="77777777" w:rsidR="002157D3" w:rsidRPr="0054775B" w:rsidRDefault="002157D3">
            <w:pPr>
              <w:pStyle w:val="2024TABLEHEADER"/>
            </w:pPr>
            <w:r w:rsidRPr="0054775B">
              <w:t>Evidence statement</w:t>
            </w:r>
          </w:p>
        </w:tc>
      </w:tr>
      <w:tr w:rsidR="002157D3" w:rsidRPr="0054775B" w14:paraId="4A217281" w14:textId="77777777" w:rsidTr="00307685">
        <w:trPr>
          <w:cantSplit/>
          <w:trHeight w:val="671"/>
        </w:trPr>
        <w:tc>
          <w:tcPr>
            <w:tcW w:w="300" w:type="pct"/>
            <w:tcBorders>
              <w:top w:val="single" w:sz="6" w:space="0" w:color="000000"/>
              <w:left w:val="nil"/>
              <w:bottom w:val="single" w:sz="6" w:space="0" w:color="000000"/>
              <w:right w:val="nil"/>
            </w:tcBorders>
            <w:vAlign w:val="center"/>
          </w:tcPr>
          <w:p w14:paraId="586D65F2" w14:textId="77777777" w:rsidR="002157D3" w:rsidRPr="0054775B" w:rsidRDefault="002157D3">
            <w:pPr>
              <w:pStyle w:val="2024TABLETEXT"/>
              <w:framePr w:hSpace="0" w:wrap="auto" w:vAnchor="margin" w:yAlign="inline"/>
              <w:suppressOverlap w:val="0"/>
              <w:rPr>
                <w:b/>
                <w:bCs/>
              </w:rPr>
            </w:pPr>
            <w:r w:rsidRPr="0054775B">
              <w:rPr>
                <w:b/>
                <w:bCs/>
              </w:rPr>
              <w:t>9</w:t>
            </w:r>
          </w:p>
        </w:tc>
        <w:tc>
          <w:tcPr>
            <w:tcW w:w="1450" w:type="pct"/>
            <w:tcBorders>
              <w:top w:val="single" w:sz="6" w:space="0" w:color="000000"/>
              <w:left w:val="nil"/>
              <w:bottom w:val="single" w:sz="6" w:space="0" w:color="000000"/>
              <w:right w:val="nil"/>
            </w:tcBorders>
            <w:vAlign w:val="center"/>
            <w:hideMark/>
          </w:tcPr>
          <w:p w14:paraId="77ECEBBF" w14:textId="77777777" w:rsidR="002157D3" w:rsidRPr="0054775B" w:rsidRDefault="002157D3">
            <w:pPr>
              <w:pStyle w:val="2024TABLETEXT"/>
              <w:framePr w:hSpace="0" w:wrap="auto" w:vAnchor="margin" w:yAlign="inline"/>
              <w:spacing w:after="120"/>
              <w:ind w:left="87"/>
              <w:suppressOverlap w:val="0"/>
              <w:rPr>
                <w:b/>
                <w:bCs/>
              </w:rPr>
            </w:pPr>
            <w:r w:rsidRPr="0054775B">
              <w:rPr>
                <w:b/>
                <w:bCs/>
              </w:rPr>
              <w:t>Anxiety-related emotional functioning/mental health burden</w:t>
            </w:r>
          </w:p>
          <w:p w14:paraId="571D01BC" w14:textId="38516EDA" w:rsidR="002157D3" w:rsidRPr="0054775B" w:rsidRDefault="002157D3">
            <w:pPr>
              <w:pStyle w:val="2024TABLETEXT"/>
              <w:framePr w:hSpace="0" w:wrap="auto" w:vAnchor="margin" w:yAlign="inline"/>
              <w:ind w:left="370"/>
              <w:suppressOverlap w:val="0"/>
            </w:pPr>
            <w:r w:rsidRPr="0054775B">
              <w:rPr>
                <w:b/>
                <w:bCs/>
              </w:rPr>
              <w:t>Condition:</w:t>
            </w:r>
            <w:r w:rsidRPr="0054775B">
              <w:t xml:space="preserve"> At-risk of postnatal anxiety </w:t>
            </w:r>
          </w:p>
          <w:p w14:paraId="0ED8732D" w14:textId="77777777" w:rsidR="002157D3" w:rsidRPr="0054775B" w:rsidRDefault="002157D3">
            <w:pPr>
              <w:pStyle w:val="2024TABLETEXT"/>
              <w:framePr w:hSpace="0" w:wrap="auto" w:vAnchor="margin" w:yAlign="inline"/>
              <w:ind w:left="370"/>
              <w:suppressOverlap w:val="0"/>
            </w:pPr>
            <w:r w:rsidRPr="0054775B">
              <w:rPr>
                <w:b/>
                <w:bCs/>
              </w:rPr>
              <w:t>Population:</w:t>
            </w:r>
            <w:r w:rsidRPr="0054775B">
              <w:t xml:space="preserve"> First 8 weeks postpartum</w:t>
            </w:r>
          </w:p>
          <w:p w14:paraId="20C72BB7" w14:textId="77777777" w:rsidR="002157D3" w:rsidRPr="0054775B" w:rsidRDefault="002157D3">
            <w:pPr>
              <w:pStyle w:val="2024TABLETEXT"/>
              <w:framePr w:hSpace="0" w:wrap="auto" w:vAnchor="margin" w:yAlign="inline"/>
              <w:ind w:left="370"/>
              <w:suppressOverlap w:val="0"/>
            </w:pPr>
            <w:r w:rsidRPr="0054775B">
              <w:rPr>
                <w:b/>
                <w:bCs/>
              </w:rPr>
              <w:t>Dose:</w:t>
            </w:r>
            <w:r w:rsidRPr="0054775B">
              <w:t xml:space="preserve"> 64.6mg per day</w:t>
            </w:r>
          </w:p>
          <w:p w14:paraId="13E4BEF6" w14:textId="77777777" w:rsidR="002157D3" w:rsidRPr="0054775B" w:rsidRDefault="002157D3">
            <w:pPr>
              <w:pStyle w:val="2024TABLETEXT"/>
              <w:framePr w:hSpace="0" w:wrap="auto" w:vAnchor="margin" w:yAlign="inline"/>
              <w:ind w:left="370"/>
              <w:suppressOverlap w:val="0"/>
            </w:pPr>
            <w:r w:rsidRPr="0054775B">
              <w:rPr>
                <w:b/>
                <w:bCs/>
              </w:rPr>
              <w:t>Assessed with:</w:t>
            </w:r>
            <w:r w:rsidRPr="0054775B">
              <w:t xml:space="preserve"> STAI</w:t>
            </w:r>
          </w:p>
          <w:p w14:paraId="497E8EAD" w14:textId="77777777" w:rsidR="002157D3" w:rsidRPr="0054775B" w:rsidRDefault="002157D3">
            <w:pPr>
              <w:pStyle w:val="2024TABLETEXT"/>
              <w:framePr w:hSpace="0" w:wrap="auto" w:vAnchor="margin" w:yAlign="inline"/>
              <w:ind w:left="370"/>
              <w:suppressOverlap w:val="0"/>
              <w:rPr>
                <w:b/>
                <w:bCs/>
                <w:color w:val="000000" w:themeColor="text1"/>
              </w:rPr>
            </w:pPr>
            <w:r w:rsidRPr="0054775B">
              <w:rPr>
                <w:b/>
                <w:bCs/>
                <w:color w:val="000000" w:themeColor="text1"/>
              </w:rPr>
              <w:t xml:space="preserve">Follow up: </w:t>
            </w:r>
            <w:r w:rsidRPr="0054775B">
              <w:rPr>
                <w:color w:val="000000" w:themeColor="text1"/>
              </w:rPr>
              <w:t>8 weeks after baseline</w:t>
            </w:r>
          </w:p>
        </w:tc>
        <w:tc>
          <w:tcPr>
            <w:tcW w:w="450" w:type="pct"/>
            <w:tcBorders>
              <w:top w:val="single" w:sz="6" w:space="0" w:color="000000"/>
              <w:left w:val="nil"/>
              <w:bottom w:val="single" w:sz="6" w:space="0" w:color="000000"/>
              <w:right w:val="nil"/>
            </w:tcBorders>
            <w:vAlign w:val="center"/>
          </w:tcPr>
          <w:p w14:paraId="17345C3D" w14:textId="14CFA531" w:rsidR="002157D3" w:rsidRPr="0054775B" w:rsidRDefault="002157D3">
            <w:pPr>
              <w:pStyle w:val="2024TABLETEXT"/>
              <w:framePr w:hSpace="0" w:wrap="auto" w:vAnchor="margin" w:yAlign="inline"/>
              <w:suppressOverlap w:val="0"/>
            </w:pPr>
            <w:r w:rsidRPr="0054775B">
              <w:rPr>
                <w:rFonts w:eastAsiaTheme="minorHAnsi"/>
              </w:rPr>
              <w:t>Tsai 2023</w:t>
            </w:r>
            <w:r w:rsidR="00AD34BA">
              <w:t>#</w:t>
            </w:r>
          </w:p>
        </w:tc>
        <w:tc>
          <w:tcPr>
            <w:tcW w:w="499" w:type="pct"/>
            <w:tcBorders>
              <w:top w:val="single" w:sz="6" w:space="0" w:color="000000"/>
              <w:left w:val="nil"/>
              <w:bottom w:val="single" w:sz="6" w:space="0" w:color="000000"/>
              <w:right w:val="nil"/>
            </w:tcBorders>
            <w:shd w:val="clear" w:color="auto" w:fill="auto"/>
            <w:vAlign w:val="center"/>
            <w:hideMark/>
          </w:tcPr>
          <w:p w14:paraId="4EC35E62" w14:textId="71FAAA82" w:rsidR="002157D3" w:rsidRPr="0054775B" w:rsidRDefault="002157D3">
            <w:pPr>
              <w:pStyle w:val="2024TABLETEXT"/>
              <w:framePr w:hSpace="0" w:wrap="auto" w:vAnchor="margin" w:yAlign="inline"/>
              <w:suppressOverlap w:val="0"/>
              <w:rPr>
                <w:b/>
                <w:bCs/>
              </w:rPr>
            </w:pPr>
            <w:r w:rsidRPr="0054775B">
              <w:t xml:space="preserve">SMD = </w:t>
            </w:r>
            <w:r w:rsidR="00EC791A" w:rsidRPr="0054775B">
              <w:t>−</w:t>
            </w:r>
            <w:r w:rsidRPr="0054775B">
              <w:t>0.34 (</w:t>
            </w:r>
            <w:r w:rsidR="00ED2DED" w:rsidRPr="0054775B">
              <w:t>−</w:t>
            </w:r>
            <w:r w:rsidRPr="0054775B">
              <w:t>0.83, 0.15)</w:t>
            </w:r>
            <w:r w:rsidR="000F563B">
              <w:t>^</w:t>
            </w:r>
          </w:p>
        </w:tc>
        <w:tc>
          <w:tcPr>
            <w:tcW w:w="450" w:type="pct"/>
            <w:tcBorders>
              <w:top w:val="single" w:sz="6" w:space="0" w:color="000000"/>
              <w:left w:val="nil"/>
              <w:bottom w:val="single" w:sz="6" w:space="0" w:color="000000"/>
              <w:right w:val="nil"/>
            </w:tcBorders>
            <w:vAlign w:val="center"/>
            <w:hideMark/>
          </w:tcPr>
          <w:p w14:paraId="3808C7B8" w14:textId="2EEBA68B" w:rsidR="002157D3" w:rsidRPr="0054775B" w:rsidRDefault="001119B1">
            <w:pPr>
              <w:pStyle w:val="2024TABLETEXT"/>
              <w:framePr w:hSpace="0" w:wrap="auto" w:vAnchor="margin" w:yAlign="inline"/>
              <w:suppressOverlap w:val="0"/>
            </w:pPr>
            <w:r>
              <w:t>31</w:t>
            </w:r>
            <w:r w:rsidR="00ED2DED" w:rsidRPr="0054775B">
              <w:t xml:space="preserve"> </w:t>
            </w:r>
            <w:r w:rsidR="002157D3" w:rsidRPr="0054775B">
              <w:t>(1)</w:t>
            </w:r>
          </w:p>
        </w:tc>
        <w:tc>
          <w:tcPr>
            <w:tcW w:w="402" w:type="pct"/>
            <w:tcBorders>
              <w:top w:val="single" w:sz="6" w:space="0" w:color="000000"/>
              <w:left w:val="nil"/>
              <w:bottom w:val="single" w:sz="6" w:space="0" w:color="000000"/>
              <w:right w:val="nil"/>
            </w:tcBorders>
            <w:vAlign w:val="center"/>
            <w:hideMark/>
          </w:tcPr>
          <w:p w14:paraId="43E2A9D2" w14:textId="77777777" w:rsidR="002157D3" w:rsidRPr="0054775B" w:rsidRDefault="002157D3">
            <w:pPr>
              <w:pStyle w:val="2024TABLETEXT"/>
              <w:framePr w:hSpace="0" w:wrap="auto" w:vAnchor="margin" w:yAlign="inline"/>
              <w:suppressOverlap w:val="0"/>
              <w:rPr>
                <w:rStyle w:val="FootnoteReference"/>
                <w:caps/>
              </w:rPr>
            </w:pPr>
            <w:r w:rsidRPr="0054775B">
              <w:rPr>
                <w:rFonts w:ascii="Cambria Math" w:hAnsi="Cambria Math" w:cs="Cambria Math"/>
                <w:sz w:val="22"/>
                <w:szCs w:val="22"/>
              </w:rPr>
              <w:t>⨁</w:t>
            </w:r>
            <w:r w:rsidRPr="0054775B">
              <w:rPr>
                <w:rFonts w:ascii="Segoe UI Symbol" w:hAnsi="Segoe UI Symbol" w:cs="Segoe UI Symbol"/>
              </w:rPr>
              <w:t>◯◯◯</w:t>
            </w:r>
            <w:r w:rsidRPr="0054775B">
              <w:br/>
              <w:t>VERY LOW</w:t>
            </w:r>
            <w:r w:rsidRPr="0054775B">
              <w:rPr>
                <w:rStyle w:val="FootnoteReference"/>
              </w:rPr>
              <w:t xml:space="preserve"> a</w:t>
            </w:r>
          </w:p>
        </w:tc>
        <w:tc>
          <w:tcPr>
            <w:tcW w:w="1449" w:type="pct"/>
            <w:gridSpan w:val="2"/>
            <w:tcBorders>
              <w:top w:val="single" w:sz="6" w:space="0" w:color="000000"/>
              <w:left w:val="nil"/>
              <w:bottom w:val="single" w:sz="6" w:space="0" w:color="000000"/>
              <w:right w:val="nil"/>
            </w:tcBorders>
            <w:vAlign w:val="center"/>
            <w:hideMark/>
          </w:tcPr>
          <w:p w14:paraId="6999BE2B" w14:textId="63A8FB23" w:rsidR="002157D3" w:rsidRPr="0054775B" w:rsidRDefault="002157D3">
            <w:pPr>
              <w:pStyle w:val="2024TABLETEXT"/>
              <w:framePr w:hSpace="0" w:wrap="auto" w:vAnchor="margin" w:yAlign="inline"/>
              <w:suppressOverlap w:val="0"/>
            </w:pPr>
            <w:r w:rsidRPr="0054775B">
              <w:t xml:space="preserve">The evidence is very uncertain about the effect of magnesium on anxiety-related emotional functioning/mental health burden </w:t>
            </w:r>
            <w:r w:rsidR="005B53AC" w:rsidRPr="0054775B">
              <w:t xml:space="preserve">for </w:t>
            </w:r>
            <w:r w:rsidR="0087305D" w:rsidRPr="0054775B">
              <w:t xml:space="preserve">people at risk of </w:t>
            </w:r>
            <w:r w:rsidR="005B53AC" w:rsidRPr="0054775B">
              <w:t>anxiety.</w:t>
            </w:r>
          </w:p>
        </w:tc>
      </w:tr>
      <w:tr w:rsidR="002157D3" w:rsidRPr="0054775B" w14:paraId="24B05D38" w14:textId="77777777" w:rsidTr="00307685">
        <w:trPr>
          <w:cantSplit/>
        </w:trPr>
        <w:tc>
          <w:tcPr>
            <w:tcW w:w="300" w:type="pct"/>
            <w:tcBorders>
              <w:top w:val="single" w:sz="6" w:space="0" w:color="000000"/>
              <w:left w:val="nil"/>
              <w:bottom w:val="single" w:sz="6" w:space="0" w:color="000000"/>
              <w:right w:val="nil"/>
            </w:tcBorders>
            <w:vAlign w:val="center"/>
          </w:tcPr>
          <w:p w14:paraId="00329483" w14:textId="77777777" w:rsidR="002157D3" w:rsidRPr="0054775B" w:rsidRDefault="002157D3">
            <w:pPr>
              <w:pStyle w:val="2024TABLETEXT"/>
              <w:framePr w:hSpace="0" w:wrap="auto" w:vAnchor="margin" w:yAlign="inline"/>
              <w:suppressOverlap w:val="0"/>
              <w:rPr>
                <w:b/>
                <w:bCs/>
              </w:rPr>
            </w:pPr>
            <w:r w:rsidRPr="0054775B">
              <w:rPr>
                <w:b/>
                <w:bCs/>
              </w:rPr>
              <w:t>9</w:t>
            </w:r>
          </w:p>
        </w:tc>
        <w:tc>
          <w:tcPr>
            <w:tcW w:w="1450" w:type="pct"/>
            <w:tcBorders>
              <w:top w:val="single" w:sz="6" w:space="0" w:color="000000"/>
              <w:left w:val="nil"/>
              <w:bottom w:val="single" w:sz="6" w:space="0" w:color="000000"/>
              <w:right w:val="nil"/>
            </w:tcBorders>
            <w:vAlign w:val="center"/>
          </w:tcPr>
          <w:p w14:paraId="2F780A4E" w14:textId="77777777" w:rsidR="002157D3" w:rsidRPr="0054775B" w:rsidRDefault="002157D3">
            <w:pPr>
              <w:pStyle w:val="2024TABLETEXT"/>
              <w:framePr w:hSpace="0" w:wrap="auto" w:vAnchor="margin" w:yAlign="inline"/>
              <w:suppressOverlap w:val="0"/>
              <w:rPr>
                <w:b/>
                <w:bCs/>
              </w:rPr>
            </w:pPr>
            <w:r w:rsidRPr="0054775B">
              <w:rPr>
                <w:b/>
                <w:bCs/>
              </w:rPr>
              <w:t>Physical function burden from anxiety</w:t>
            </w:r>
          </w:p>
        </w:tc>
        <w:tc>
          <w:tcPr>
            <w:tcW w:w="450" w:type="pct"/>
            <w:tcBorders>
              <w:top w:val="single" w:sz="6" w:space="0" w:color="000000"/>
              <w:left w:val="nil"/>
              <w:bottom w:val="single" w:sz="6" w:space="0" w:color="000000"/>
              <w:right w:val="nil"/>
            </w:tcBorders>
            <w:vAlign w:val="center"/>
          </w:tcPr>
          <w:p w14:paraId="2B302C54" w14:textId="77777777" w:rsidR="002157D3" w:rsidRPr="0054775B" w:rsidRDefault="002157D3">
            <w:pPr>
              <w:pStyle w:val="2024TABLETEXT"/>
              <w:framePr w:hSpace="0" w:wrap="auto" w:vAnchor="margin" w:yAlign="inline"/>
              <w:suppressOverlap w:val="0"/>
            </w:pPr>
            <w:r w:rsidRPr="0054775B">
              <w:t>-</w:t>
            </w:r>
          </w:p>
        </w:tc>
        <w:tc>
          <w:tcPr>
            <w:tcW w:w="499" w:type="pct"/>
            <w:tcBorders>
              <w:top w:val="single" w:sz="6" w:space="0" w:color="000000"/>
              <w:left w:val="nil"/>
              <w:bottom w:val="single" w:sz="6" w:space="0" w:color="000000"/>
              <w:right w:val="nil"/>
            </w:tcBorders>
            <w:shd w:val="clear" w:color="auto" w:fill="auto"/>
            <w:vAlign w:val="center"/>
          </w:tcPr>
          <w:p w14:paraId="72215A25" w14:textId="77777777" w:rsidR="002157D3" w:rsidRPr="0054775B" w:rsidRDefault="002157D3">
            <w:pPr>
              <w:pStyle w:val="2024TABLETEXT"/>
              <w:framePr w:hSpace="0" w:wrap="auto" w:vAnchor="margin" w:yAlign="inline"/>
              <w:suppressOverlap w:val="0"/>
            </w:pPr>
            <w:r w:rsidRPr="0054775B">
              <w:t>-</w:t>
            </w:r>
          </w:p>
        </w:tc>
        <w:tc>
          <w:tcPr>
            <w:tcW w:w="450" w:type="pct"/>
            <w:tcBorders>
              <w:top w:val="single" w:sz="6" w:space="0" w:color="000000"/>
              <w:left w:val="nil"/>
              <w:bottom w:val="single" w:sz="6" w:space="0" w:color="000000"/>
              <w:right w:val="nil"/>
            </w:tcBorders>
            <w:vAlign w:val="center"/>
          </w:tcPr>
          <w:p w14:paraId="048C3029" w14:textId="77777777" w:rsidR="002157D3" w:rsidRPr="0054775B" w:rsidRDefault="002157D3">
            <w:pPr>
              <w:pStyle w:val="2024TABLETEXT"/>
              <w:framePr w:hSpace="0" w:wrap="auto" w:vAnchor="margin" w:yAlign="inline"/>
              <w:suppressOverlap w:val="0"/>
            </w:pPr>
            <w:r w:rsidRPr="0054775B">
              <w:t>-</w:t>
            </w:r>
          </w:p>
        </w:tc>
        <w:tc>
          <w:tcPr>
            <w:tcW w:w="402" w:type="pct"/>
            <w:tcBorders>
              <w:top w:val="single" w:sz="6" w:space="0" w:color="000000"/>
              <w:left w:val="nil"/>
              <w:bottom w:val="single" w:sz="6" w:space="0" w:color="000000"/>
              <w:right w:val="nil"/>
            </w:tcBorders>
            <w:vAlign w:val="center"/>
          </w:tcPr>
          <w:p w14:paraId="11204BF8" w14:textId="77777777" w:rsidR="002157D3" w:rsidRPr="0054775B" w:rsidRDefault="002157D3">
            <w:pPr>
              <w:pStyle w:val="2024TABLETEXT"/>
              <w:framePr w:hSpace="0" w:wrap="auto" w:vAnchor="margin" w:yAlign="inline"/>
              <w:suppressOverlap w:val="0"/>
            </w:pPr>
            <w:r w:rsidRPr="0054775B">
              <w:t>-</w:t>
            </w:r>
          </w:p>
        </w:tc>
        <w:tc>
          <w:tcPr>
            <w:tcW w:w="1449" w:type="pct"/>
            <w:gridSpan w:val="2"/>
            <w:tcBorders>
              <w:top w:val="single" w:sz="6" w:space="0" w:color="000000"/>
              <w:left w:val="nil"/>
              <w:bottom w:val="single" w:sz="6" w:space="0" w:color="000000"/>
              <w:right w:val="nil"/>
            </w:tcBorders>
            <w:vAlign w:val="center"/>
          </w:tcPr>
          <w:p w14:paraId="1F0F2FFA" w14:textId="2952D5C5" w:rsidR="002157D3" w:rsidRPr="0054775B" w:rsidRDefault="002157D3">
            <w:pPr>
              <w:pStyle w:val="2024TABLETEXT"/>
              <w:framePr w:hSpace="0" w:wrap="auto" w:vAnchor="margin" w:yAlign="inline"/>
              <w:suppressOverlap w:val="0"/>
            </w:pPr>
            <w:r w:rsidRPr="0054775B">
              <w:t xml:space="preserve">No </w:t>
            </w:r>
            <w:r w:rsidR="00417802">
              <w:t>reviews</w:t>
            </w:r>
            <w:r w:rsidR="00417802" w:rsidRPr="0054775B">
              <w:t xml:space="preserve"> </w:t>
            </w:r>
            <w:r w:rsidRPr="0054775B">
              <w:t xml:space="preserve">found. The effect of magnesium on improvement in physical function burden from anxiety </w:t>
            </w:r>
            <w:r w:rsidR="005B53AC" w:rsidRPr="0054775B">
              <w:t xml:space="preserve">for </w:t>
            </w:r>
            <w:r w:rsidR="0087305D" w:rsidRPr="0054775B">
              <w:t xml:space="preserve">people at risk of anxiety </w:t>
            </w:r>
            <w:r w:rsidR="005B53AC" w:rsidRPr="0054775B">
              <w:t>is unknown.</w:t>
            </w:r>
          </w:p>
        </w:tc>
      </w:tr>
      <w:tr w:rsidR="002157D3" w:rsidRPr="0054775B" w14:paraId="429BD719" w14:textId="77777777" w:rsidTr="00307685">
        <w:trPr>
          <w:cantSplit/>
          <w:trHeight w:val="559"/>
        </w:trPr>
        <w:tc>
          <w:tcPr>
            <w:tcW w:w="300" w:type="pct"/>
            <w:tcBorders>
              <w:top w:val="single" w:sz="6" w:space="0" w:color="000000"/>
              <w:left w:val="nil"/>
              <w:bottom w:val="single" w:sz="6" w:space="0" w:color="000000"/>
              <w:right w:val="nil"/>
            </w:tcBorders>
            <w:vAlign w:val="center"/>
          </w:tcPr>
          <w:p w14:paraId="1CF4E731" w14:textId="77777777" w:rsidR="002157D3" w:rsidRPr="0054775B" w:rsidRDefault="002157D3">
            <w:pPr>
              <w:pStyle w:val="2024TABLETEXT"/>
              <w:framePr w:hSpace="0" w:wrap="auto" w:vAnchor="margin" w:yAlign="inline"/>
              <w:suppressOverlap w:val="0"/>
              <w:rPr>
                <w:b/>
                <w:bCs/>
              </w:rPr>
            </w:pPr>
            <w:r w:rsidRPr="0054775B">
              <w:rPr>
                <w:b/>
                <w:bCs/>
              </w:rPr>
              <w:t>9</w:t>
            </w:r>
          </w:p>
        </w:tc>
        <w:tc>
          <w:tcPr>
            <w:tcW w:w="1450" w:type="pct"/>
            <w:tcBorders>
              <w:top w:val="single" w:sz="6" w:space="0" w:color="000000"/>
              <w:left w:val="nil"/>
              <w:bottom w:val="single" w:sz="6" w:space="0" w:color="000000"/>
              <w:right w:val="nil"/>
            </w:tcBorders>
            <w:vAlign w:val="center"/>
          </w:tcPr>
          <w:p w14:paraId="7A55FEF7" w14:textId="7E345386" w:rsidR="002157D3" w:rsidRPr="0054775B" w:rsidRDefault="002157D3">
            <w:pPr>
              <w:pStyle w:val="2024TABLETEXT"/>
              <w:framePr w:hSpace="0" w:wrap="auto" w:vAnchor="margin" w:yAlign="inline"/>
              <w:suppressOverlap w:val="0"/>
              <w:rPr>
                <w:b/>
                <w:bCs/>
              </w:rPr>
            </w:pPr>
            <w:r w:rsidRPr="0054775B">
              <w:rPr>
                <w:b/>
                <w:bCs/>
              </w:rPr>
              <w:t>Improvement in clinical levels of anxiety</w:t>
            </w:r>
          </w:p>
        </w:tc>
        <w:tc>
          <w:tcPr>
            <w:tcW w:w="450" w:type="pct"/>
            <w:tcBorders>
              <w:top w:val="single" w:sz="6" w:space="0" w:color="000000"/>
              <w:left w:val="nil"/>
              <w:bottom w:val="single" w:sz="6" w:space="0" w:color="000000"/>
              <w:right w:val="nil"/>
            </w:tcBorders>
            <w:vAlign w:val="center"/>
          </w:tcPr>
          <w:p w14:paraId="50234476" w14:textId="77777777" w:rsidR="002157D3" w:rsidRPr="0054775B" w:rsidRDefault="002157D3">
            <w:pPr>
              <w:pStyle w:val="2024TABLETEXT"/>
              <w:framePr w:hSpace="0" w:wrap="auto" w:vAnchor="margin" w:yAlign="inline"/>
              <w:suppressOverlap w:val="0"/>
            </w:pPr>
            <w:r w:rsidRPr="0054775B">
              <w:t>-</w:t>
            </w:r>
          </w:p>
        </w:tc>
        <w:tc>
          <w:tcPr>
            <w:tcW w:w="499" w:type="pct"/>
            <w:tcBorders>
              <w:top w:val="single" w:sz="6" w:space="0" w:color="000000"/>
              <w:left w:val="nil"/>
              <w:bottom w:val="single" w:sz="6" w:space="0" w:color="000000"/>
              <w:right w:val="nil"/>
            </w:tcBorders>
            <w:shd w:val="clear" w:color="auto" w:fill="auto"/>
            <w:vAlign w:val="center"/>
          </w:tcPr>
          <w:p w14:paraId="740650EF" w14:textId="77777777" w:rsidR="002157D3" w:rsidRPr="0054775B" w:rsidRDefault="002157D3">
            <w:pPr>
              <w:pStyle w:val="2024TABLETEXT"/>
              <w:framePr w:hSpace="0" w:wrap="auto" w:vAnchor="margin" w:yAlign="inline"/>
              <w:suppressOverlap w:val="0"/>
            </w:pPr>
            <w:r w:rsidRPr="0054775B">
              <w:t>-</w:t>
            </w:r>
          </w:p>
        </w:tc>
        <w:tc>
          <w:tcPr>
            <w:tcW w:w="450" w:type="pct"/>
            <w:tcBorders>
              <w:top w:val="single" w:sz="6" w:space="0" w:color="000000"/>
              <w:left w:val="nil"/>
              <w:bottom w:val="single" w:sz="6" w:space="0" w:color="000000"/>
              <w:right w:val="nil"/>
            </w:tcBorders>
            <w:vAlign w:val="center"/>
          </w:tcPr>
          <w:p w14:paraId="315BDA82" w14:textId="77777777" w:rsidR="002157D3" w:rsidRPr="0054775B" w:rsidRDefault="002157D3">
            <w:pPr>
              <w:pStyle w:val="2024TABLETEXT"/>
              <w:framePr w:hSpace="0" w:wrap="auto" w:vAnchor="margin" w:yAlign="inline"/>
              <w:suppressOverlap w:val="0"/>
            </w:pPr>
            <w:r w:rsidRPr="0054775B">
              <w:t>-</w:t>
            </w:r>
          </w:p>
        </w:tc>
        <w:tc>
          <w:tcPr>
            <w:tcW w:w="402" w:type="pct"/>
            <w:tcBorders>
              <w:top w:val="single" w:sz="6" w:space="0" w:color="000000"/>
              <w:left w:val="nil"/>
              <w:bottom w:val="single" w:sz="6" w:space="0" w:color="000000"/>
              <w:right w:val="nil"/>
            </w:tcBorders>
            <w:vAlign w:val="center"/>
          </w:tcPr>
          <w:p w14:paraId="2BDA8678" w14:textId="77777777" w:rsidR="002157D3" w:rsidRPr="0054775B" w:rsidRDefault="002157D3">
            <w:pPr>
              <w:pStyle w:val="2024TABLETEXT"/>
              <w:framePr w:hSpace="0" w:wrap="auto" w:vAnchor="margin" w:yAlign="inline"/>
              <w:suppressOverlap w:val="0"/>
            </w:pPr>
            <w:r w:rsidRPr="0054775B">
              <w:t>-</w:t>
            </w:r>
          </w:p>
        </w:tc>
        <w:tc>
          <w:tcPr>
            <w:tcW w:w="1449" w:type="pct"/>
            <w:gridSpan w:val="2"/>
            <w:tcBorders>
              <w:top w:val="single" w:sz="6" w:space="0" w:color="000000"/>
              <w:left w:val="nil"/>
              <w:bottom w:val="single" w:sz="6" w:space="0" w:color="000000"/>
              <w:right w:val="nil"/>
            </w:tcBorders>
            <w:vAlign w:val="center"/>
          </w:tcPr>
          <w:p w14:paraId="796569E1" w14:textId="28C8E47C" w:rsidR="002157D3" w:rsidRPr="0054775B" w:rsidRDefault="002157D3">
            <w:pPr>
              <w:pStyle w:val="2024TABLETEXT"/>
              <w:framePr w:hSpace="0" w:wrap="auto" w:vAnchor="margin" w:yAlign="inline"/>
              <w:suppressOverlap w:val="0"/>
            </w:pPr>
            <w:r w:rsidRPr="0054775B">
              <w:t xml:space="preserve">No </w:t>
            </w:r>
            <w:r w:rsidR="00417802">
              <w:t>reviews</w:t>
            </w:r>
            <w:r w:rsidR="00417802" w:rsidRPr="0054775B">
              <w:t xml:space="preserve"> </w:t>
            </w:r>
            <w:r w:rsidRPr="0054775B">
              <w:t xml:space="preserve">found. The effect of magnesium on improvement in clinical levels of anxiety </w:t>
            </w:r>
            <w:r w:rsidR="005B53AC" w:rsidRPr="0054775B">
              <w:t xml:space="preserve">for </w:t>
            </w:r>
            <w:r w:rsidR="0087305D" w:rsidRPr="0054775B">
              <w:t xml:space="preserve">people at risk of anxiety </w:t>
            </w:r>
            <w:r w:rsidR="005B53AC" w:rsidRPr="0054775B">
              <w:t>is unknown.</w:t>
            </w:r>
          </w:p>
        </w:tc>
      </w:tr>
      <w:tr w:rsidR="002157D3" w:rsidRPr="0054775B" w14:paraId="2D989DD1" w14:textId="77777777" w:rsidTr="00307685">
        <w:trPr>
          <w:cantSplit/>
        </w:trPr>
        <w:tc>
          <w:tcPr>
            <w:tcW w:w="300" w:type="pct"/>
            <w:tcBorders>
              <w:top w:val="single" w:sz="6" w:space="0" w:color="000000"/>
              <w:left w:val="nil"/>
              <w:bottom w:val="single" w:sz="6" w:space="0" w:color="000000"/>
              <w:right w:val="nil"/>
            </w:tcBorders>
            <w:vAlign w:val="center"/>
          </w:tcPr>
          <w:p w14:paraId="6F97A562" w14:textId="77777777" w:rsidR="002157D3" w:rsidRPr="0054775B" w:rsidRDefault="002157D3">
            <w:pPr>
              <w:pStyle w:val="2024TABLETEXT"/>
              <w:framePr w:hSpace="0" w:wrap="auto" w:vAnchor="margin" w:yAlign="inline"/>
              <w:suppressOverlap w:val="0"/>
              <w:rPr>
                <w:b/>
                <w:bCs/>
              </w:rPr>
            </w:pPr>
            <w:r w:rsidRPr="0054775B">
              <w:rPr>
                <w:b/>
                <w:bCs/>
              </w:rPr>
              <w:t>8</w:t>
            </w:r>
          </w:p>
        </w:tc>
        <w:tc>
          <w:tcPr>
            <w:tcW w:w="1450" w:type="pct"/>
            <w:tcBorders>
              <w:top w:val="single" w:sz="6" w:space="0" w:color="000000"/>
              <w:left w:val="nil"/>
              <w:bottom w:val="single" w:sz="6" w:space="0" w:color="000000"/>
              <w:right w:val="nil"/>
            </w:tcBorders>
            <w:vAlign w:val="center"/>
          </w:tcPr>
          <w:p w14:paraId="27B08F7F" w14:textId="77777777" w:rsidR="002157D3" w:rsidRPr="0054775B" w:rsidRDefault="002157D3">
            <w:pPr>
              <w:pStyle w:val="2024TABLETEXT"/>
              <w:framePr w:hSpace="0" w:wrap="auto" w:vAnchor="margin" w:yAlign="inline"/>
              <w:spacing w:after="120"/>
              <w:ind w:left="87"/>
              <w:suppressOverlap w:val="0"/>
              <w:rPr>
                <w:b/>
                <w:bCs/>
              </w:rPr>
            </w:pPr>
            <w:r w:rsidRPr="0054775B">
              <w:rPr>
                <w:b/>
                <w:bCs/>
              </w:rPr>
              <w:t>Depression-related emotional functioning/mental health burden</w:t>
            </w:r>
          </w:p>
          <w:p w14:paraId="3B7DCE62" w14:textId="5F986517" w:rsidR="002157D3" w:rsidRPr="0054775B" w:rsidRDefault="002157D3">
            <w:pPr>
              <w:pStyle w:val="2024TABLETEXT"/>
              <w:framePr w:hSpace="0" w:wrap="auto" w:vAnchor="margin" w:yAlign="inline"/>
              <w:ind w:left="370"/>
              <w:suppressOverlap w:val="0"/>
            </w:pPr>
            <w:r w:rsidRPr="0054775B">
              <w:rPr>
                <w:b/>
                <w:bCs/>
              </w:rPr>
              <w:t>Condition:</w:t>
            </w:r>
            <w:r w:rsidRPr="0054775B">
              <w:t xml:space="preserve"> At-risk of post</w:t>
            </w:r>
            <w:r w:rsidR="00A37E66" w:rsidRPr="0054775B">
              <w:t>-</w:t>
            </w:r>
            <w:r w:rsidRPr="0054775B">
              <w:t xml:space="preserve">natal anxiety </w:t>
            </w:r>
          </w:p>
          <w:p w14:paraId="646357DF" w14:textId="77777777" w:rsidR="002157D3" w:rsidRPr="0054775B" w:rsidRDefault="002157D3">
            <w:pPr>
              <w:pStyle w:val="2024TABLETEXT"/>
              <w:framePr w:hSpace="0" w:wrap="auto" w:vAnchor="margin" w:yAlign="inline"/>
              <w:ind w:left="370"/>
              <w:suppressOverlap w:val="0"/>
            </w:pPr>
            <w:r w:rsidRPr="0054775B">
              <w:rPr>
                <w:b/>
                <w:bCs/>
              </w:rPr>
              <w:t>Population:</w:t>
            </w:r>
            <w:r w:rsidRPr="0054775B">
              <w:t xml:space="preserve"> First 8 weeks postpartum</w:t>
            </w:r>
          </w:p>
          <w:p w14:paraId="522EF0C9" w14:textId="77777777" w:rsidR="002157D3" w:rsidRPr="0054775B" w:rsidRDefault="002157D3">
            <w:pPr>
              <w:pStyle w:val="2024TABLETEXT"/>
              <w:framePr w:hSpace="0" w:wrap="auto" w:vAnchor="margin" w:yAlign="inline"/>
              <w:ind w:left="370"/>
              <w:suppressOverlap w:val="0"/>
            </w:pPr>
            <w:r w:rsidRPr="0054775B">
              <w:rPr>
                <w:b/>
                <w:bCs/>
              </w:rPr>
              <w:t>Dose:</w:t>
            </w:r>
            <w:r w:rsidRPr="0054775B">
              <w:t xml:space="preserve"> 64.6mg per day</w:t>
            </w:r>
          </w:p>
          <w:p w14:paraId="6DD822A3" w14:textId="77777777" w:rsidR="002157D3" w:rsidRPr="0054775B" w:rsidRDefault="002157D3">
            <w:pPr>
              <w:pStyle w:val="2024TABLETEXT"/>
              <w:framePr w:hSpace="0" w:wrap="auto" w:vAnchor="margin" w:yAlign="inline"/>
              <w:ind w:left="370"/>
              <w:suppressOverlap w:val="0"/>
            </w:pPr>
            <w:r w:rsidRPr="0054775B">
              <w:rPr>
                <w:b/>
                <w:bCs/>
              </w:rPr>
              <w:t>Assessed with:</w:t>
            </w:r>
            <w:r w:rsidRPr="0054775B">
              <w:t xml:space="preserve"> EPDS</w:t>
            </w:r>
          </w:p>
          <w:p w14:paraId="17B5BC55" w14:textId="77777777" w:rsidR="002157D3" w:rsidRPr="0054775B" w:rsidRDefault="002157D3">
            <w:pPr>
              <w:pStyle w:val="2024TABLETEXT"/>
              <w:framePr w:hSpace="0" w:wrap="auto" w:vAnchor="margin" w:yAlign="inline"/>
              <w:ind w:left="370"/>
              <w:suppressOverlap w:val="0"/>
            </w:pPr>
            <w:r w:rsidRPr="0054775B">
              <w:rPr>
                <w:b/>
                <w:bCs/>
                <w:color w:val="000000" w:themeColor="text1"/>
              </w:rPr>
              <w:t xml:space="preserve">Follow up: </w:t>
            </w:r>
            <w:r w:rsidRPr="0054775B">
              <w:rPr>
                <w:color w:val="000000" w:themeColor="text1"/>
              </w:rPr>
              <w:t>8 weeks after baseline</w:t>
            </w:r>
          </w:p>
        </w:tc>
        <w:tc>
          <w:tcPr>
            <w:tcW w:w="450" w:type="pct"/>
            <w:tcBorders>
              <w:top w:val="single" w:sz="6" w:space="0" w:color="000000"/>
              <w:left w:val="nil"/>
              <w:bottom w:val="single" w:sz="6" w:space="0" w:color="000000"/>
              <w:right w:val="nil"/>
            </w:tcBorders>
            <w:vAlign w:val="center"/>
          </w:tcPr>
          <w:p w14:paraId="3206B8C2" w14:textId="7634429B" w:rsidR="002157D3" w:rsidRPr="0054775B" w:rsidRDefault="002157D3">
            <w:pPr>
              <w:pStyle w:val="2024TABLETEXT"/>
              <w:framePr w:hSpace="0" w:wrap="auto" w:vAnchor="margin" w:yAlign="inline"/>
              <w:suppressOverlap w:val="0"/>
            </w:pPr>
            <w:r w:rsidRPr="0054775B">
              <w:rPr>
                <w:rFonts w:eastAsiaTheme="minorHAnsi"/>
              </w:rPr>
              <w:t>Tsai 2023</w:t>
            </w:r>
            <w:r w:rsidR="00AD34BA">
              <w:t>#</w:t>
            </w:r>
          </w:p>
        </w:tc>
        <w:tc>
          <w:tcPr>
            <w:tcW w:w="499" w:type="pct"/>
            <w:tcBorders>
              <w:top w:val="single" w:sz="6" w:space="0" w:color="000000"/>
              <w:left w:val="nil"/>
              <w:bottom w:val="single" w:sz="6" w:space="0" w:color="000000"/>
              <w:right w:val="nil"/>
            </w:tcBorders>
            <w:shd w:val="clear" w:color="auto" w:fill="auto"/>
            <w:vAlign w:val="center"/>
          </w:tcPr>
          <w:p w14:paraId="46EAC6F0" w14:textId="412FD75B" w:rsidR="002157D3" w:rsidRPr="0054775B" w:rsidRDefault="002157D3">
            <w:pPr>
              <w:pStyle w:val="2024TABLETEXT"/>
              <w:framePr w:hSpace="0" w:wrap="auto" w:vAnchor="margin" w:yAlign="inline"/>
              <w:suppressOverlap w:val="0"/>
            </w:pPr>
            <w:r w:rsidRPr="0054775B">
              <w:t>SMD = 0.20 (</w:t>
            </w:r>
            <w:r w:rsidR="00ED2DED" w:rsidRPr="0054775B">
              <w:t>−</w:t>
            </w:r>
            <w:r w:rsidRPr="0054775B">
              <w:t>0.29, 0.69)</w:t>
            </w:r>
            <w:r w:rsidR="000F563B">
              <w:t>^</w:t>
            </w:r>
          </w:p>
        </w:tc>
        <w:tc>
          <w:tcPr>
            <w:tcW w:w="450" w:type="pct"/>
            <w:tcBorders>
              <w:top w:val="single" w:sz="6" w:space="0" w:color="000000"/>
              <w:left w:val="nil"/>
              <w:bottom w:val="single" w:sz="6" w:space="0" w:color="000000"/>
              <w:right w:val="nil"/>
            </w:tcBorders>
            <w:vAlign w:val="center"/>
          </w:tcPr>
          <w:p w14:paraId="37DEC492" w14:textId="57711C39" w:rsidR="002157D3" w:rsidRPr="0054775B" w:rsidRDefault="001119B1">
            <w:pPr>
              <w:pStyle w:val="2024TABLETEXT"/>
              <w:framePr w:hSpace="0" w:wrap="auto" w:vAnchor="margin" w:yAlign="inline"/>
              <w:suppressOverlap w:val="0"/>
            </w:pPr>
            <w:r>
              <w:t>31</w:t>
            </w:r>
            <w:r w:rsidR="00ED2DED" w:rsidRPr="0054775B">
              <w:t xml:space="preserve"> </w:t>
            </w:r>
            <w:r w:rsidR="002157D3" w:rsidRPr="0054775B">
              <w:t>(1)</w:t>
            </w:r>
          </w:p>
        </w:tc>
        <w:tc>
          <w:tcPr>
            <w:tcW w:w="402" w:type="pct"/>
            <w:tcBorders>
              <w:top w:val="single" w:sz="6" w:space="0" w:color="000000"/>
              <w:left w:val="nil"/>
              <w:bottom w:val="single" w:sz="6" w:space="0" w:color="000000"/>
              <w:right w:val="nil"/>
            </w:tcBorders>
            <w:vAlign w:val="center"/>
          </w:tcPr>
          <w:p w14:paraId="7827F7A4" w14:textId="77777777" w:rsidR="002157D3" w:rsidRPr="0054775B" w:rsidRDefault="002157D3">
            <w:pPr>
              <w:pStyle w:val="2024TABLETEXT"/>
              <w:framePr w:hSpace="0" w:wrap="auto" w:vAnchor="margin" w:yAlign="inline"/>
              <w:suppressOverlap w:val="0"/>
            </w:pPr>
            <w:r w:rsidRPr="0054775B">
              <w:rPr>
                <w:rFonts w:ascii="Cambria Math" w:hAnsi="Cambria Math" w:cs="Cambria Math"/>
                <w:sz w:val="22"/>
                <w:szCs w:val="22"/>
              </w:rPr>
              <w:t>⨁</w:t>
            </w:r>
            <w:r w:rsidRPr="0054775B">
              <w:rPr>
                <w:rFonts w:ascii="Segoe UI Symbol" w:hAnsi="Segoe UI Symbol" w:cs="Segoe UI Symbol"/>
              </w:rPr>
              <w:t>◯◯◯</w:t>
            </w:r>
            <w:r w:rsidRPr="0054775B">
              <w:br/>
              <w:t>VERY LOW</w:t>
            </w:r>
            <w:r w:rsidRPr="0054775B">
              <w:rPr>
                <w:rStyle w:val="FootnoteReference"/>
              </w:rPr>
              <w:t xml:space="preserve"> a</w:t>
            </w:r>
          </w:p>
        </w:tc>
        <w:tc>
          <w:tcPr>
            <w:tcW w:w="1449" w:type="pct"/>
            <w:gridSpan w:val="2"/>
            <w:tcBorders>
              <w:top w:val="single" w:sz="6" w:space="0" w:color="000000"/>
              <w:left w:val="nil"/>
              <w:bottom w:val="single" w:sz="6" w:space="0" w:color="000000"/>
              <w:right w:val="nil"/>
            </w:tcBorders>
            <w:vAlign w:val="center"/>
          </w:tcPr>
          <w:p w14:paraId="30545048" w14:textId="17CA8DF7" w:rsidR="002157D3" w:rsidRPr="0054775B" w:rsidRDefault="002157D3">
            <w:pPr>
              <w:pStyle w:val="2024TABLETEXT"/>
              <w:framePr w:hSpace="0" w:wrap="auto" w:vAnchor="margin" w:yAlign="inline"/>
              <w:suppressOverlap w:val="0"/>
            </w:pPr>
            <w:r w:rsidRPr="0054775B">
              <w:t xml:space="preserve">The evidence is very uncertain about the effect of magnesium on depression-related emotional functioning/mental health burden </w:t>
            </w:r>
            <w:r w:rsidR="0087305D" w:rsidRPr="0054775B">
              <w:t xml:space="preserve">for people at risk of </w:t>
            </w:r>
            <w:r w:rsidR="005B53AC" w:rsidRPr="0054775B">
              <w:t>anxiety.</w:t>
            </w:r>
          </w:p>
        </w:tc>
      </w:tr>
      <w:tr w:rsidR="002157D3" w:rsidRPr="0054775B" w14:paraId="3C306BA3" w14:textId="77777777" w:rsidTr="00307685">
        <w:trPr>
          <w:cantSplit/>
        </w:trPr>
        <w:tc>
          <w:tcPr>
            <w:tcW w:w="300" w:type="pct"/>
            <w:tcBorders>
              <w:top w:val="single" w:sz="6" w:space="0" w:color="000000"/>
              <w:left w:val="nil"/>
              <w:bottom w:val="single" w:sz="6" w:space="0" w:color="000000"/>
              <w:right w:val="nil"/>
            </w:tcBorders>
            <w:vAlign w:val="center"/>
          </w:tcPr>
          <w:p w14:paraId="52EB3597" w14:textId="77777777" w:rsidR="002157D3" w:rsidRPr="0054775B" w:rsidRDefault="002157D3">
            <w:pPr>
              <w:pStyle w:val="2024TABLETEXT"/>
              <w:framePr w:hSpace="0" w:wrap="auto" w:vAnchor="margin" w:yAlign="inline"/>
              <w:suppressOverlap w:val="0"/>
              <w:rPr>
                <w:b/>
                <w:bCs/>
              </w:rPr>
            </w:pPr>
            <w:r w:rsidRPr="0054775B">
              <w:rPr>
                <w:b/>
                <w:bCs/>
              </w:rPr>
              <w:t>8</w:t>
            </w:r>
          </w:p>
        </w:tc>
        <w:tc>
          <w:tcPr>
            <w:tcW w:w="1450" w:type="pct"/>
            <w:tcBorders>
              <w:top w:val="single" w:sz="6" w:space="0" w:color="000000"/>
              <w:left w:val="nil"/>
              <w:bottom w:val="single" w:sz="6" w:space="0" w:color="000000"/>
              <w:right w:val="nil"/>
            </w:tcBorders>
            <w:vAlign w:val="center"/>
          </w:tcPr>
          <w:p w14:paraId="2473B374" w14:textId="77777777" w:rsidR="002157D3" w:rsidRPr="0054775B" w:rsidRDefault="002157D3">
            <w:pPr>
              <w:pStyle w:val="2024TABLETEXT"/>
              <w:framePr w:hSpace="0" w:wrap="auto" w:vAnchor="margin" w:yAlign="inline"/>
              <w:suppressOverlap w:val="0"/>
              <w:rPr>
                <w:b/>
                <w:bCs/>
              </w:rPr>
            </w:pPr>
            <w:r w:rsidRPr="0054775B">
              <w:rPr>
                <w:b/>
                <w:bCs/>
              </w:rPr>
              <w:t>Stress-related emotional functioning/mental health burden</w:t>
            </w:r>
          </w:p>
        </w:tc>
        <w:tc>
          <w:tcPr>
            <w:tcW w:w="450" w:type="pct"/>
            <w:tcBorders>
              <w:top w:val="single" w:sz="6" w:space="0" w:color="000000"/>
              <w:left w:val="nil"/>
              <w:bottom w:val="single" w:sz="6" w:space="0" w:color="000000"/>
              <w:right w:val="nil"/>
            </w:tcBorders>
            <w:vAlign w:val="center"/>
          </w:tcPr>
          <w:p w14:paraId="05B83B91" w14:textId="77777777" w:rsidR="002157D3" w:rsidRPr="0054775B" w:rsidRDefault="002157D3">
            <w:pPr>
              <w:pStyle w:val="2024TABLETEXT"/>
              <w:framePr w:hSpace="0" w:wrap="auto" w:vAnchor="margin" w:yAlign="inline"/>
              <w:suppressOverlap w:val="0"/>
            </w:pPr>
            <w:r w:rsidRPr="0054775B">
              <w:t>-</w:t>
            </w:r>
          </w:p>
        </w:tc>
        <w:tc>
          <w:tcPr>
            <w:tcW w:w="499" w:type="pct"/>
            <w:tcBorders>
              <w:top w:val="single" w:sz="6" w:space="0" w:color="000000"/>
              <w:left w:val="nil"/>
              <w:bottom w:val="single" w:sz="6" w:space="0" w:color="000000"/>
              <w:right w:val="nil"/>
            </w:tcBorders>
            <w:shd w:val="clear" w:color="auto" w:fill="auto"/>
            <w:vAlign w:val="center"/>
          </w:tcPr>
          <w:p w14:paraId="07D1D5AA" w14:textId="77777777" w:rsidR="002157D3" w:rsidRPr="0054775B" w:rsidRDefault="002157D3">
            <w:pPr>
              <w:pStyle w:val="2024TABLETEXT"/>
              <w:framePr w:hSpace="0" w:wrap="auto" w:vAnchor="margin" w:yAlign="inline"/>
              <w:suppressOverlap w:val="0"/>
            </w:pPr>
            <w:r w:rsidRPr="0054775B">
              <w:t>-</w:t>
            </w:r>
          </w:p>
        </w:tc>
        <w:tc>
          <w:tcPr>
            <w:tcW w:w="450" w:type="pct"/>
            <w:tcBorders>
              <w:top w:val="single" w:sz="6" w:space="0" w:color="000000"/>
              <w:left w:val="nil"/>
              <w:bottom w:val="single" w:sz="6" w:space="0" w:color="000000"/>
              <w:right w:val="nil"/>
            </w:tcBorders>
            <w:vAlign w:val="center"/>
          </w:tcPr>
          <w:p w14:paraId="17FE7FC6" w14:textId="77777777" w:rsidR="002157D3" w:rsidRPr="0054775B" w:rsidRDefault="002157D3">
            <w:pPr>
              <w:pStyle w:val="2024TABLETEXT"/>
              <w:framePr w:hSpace="0" w:wrap="auto" w:vAnchor="margin" w:yAlign="inline"/>
              <w:suppressOverlap w:val="0"/>
            </w:pPr>
            <w:r w:rsidRPr="0054775B">
              <w:t>-</w:t>
            </w:r>
          </w:p>
        </w:tc>
        <w:tc>
          <w:tcPr>
            <w:tcW w:w="402" w:type="pct"/>
            <w:tcBorders>
              <w:top w:val="single" w:sz="6" w:space="0" w:color="000000"/>
              <w:left w:val="nil"/>
              <w:bottom w:val="single" w:sz="6" w:space="0" w:color="000000"/>
              <w:right w:val="nil"/>
            </w:tcBorders>
            <w:vAlign w:val="center"/>
          </w:tcPr>
          <w:p w14:paraId="19789E6E" w14:textId="77777777" w:rsidR="002157D3" w:rsidRPr="0054775B" w:rsidRDefault="002157D3">
            <w:pPr>
              <w:pStyle w:val="2024TABLETEXT"/>
              <w:framePr w:hSpace="0" w:wrap="auto" w:vAnchor="margin" w:yAlign="inline"/>
              <w:suppressOverlap w:val="0"/>
            </w:pPr>
            <w:r w:rsidRPr="0054775B">
              <w:t>-</w:t>
            </w:r>
          </w:p>
        </w:tc>
        <w:tc>
          <w:tcPr>
            <w:tcW w:w="1449" w:type="pct"/>
            <w:gridSpan w:val="2"/>
            <w:tcBorders>
              <w:top w:val="single" w:sz="6" w:space="0" w:color="000000"/>
              <w:left w:val="nil"/>
              <w:bottom w:val="single" w:sz="6" w:space="0" w:color="000000"/>
              <w:right w:val="nil"/>
            </w:tcBorders>
            <w:vAlign w:val="center"/>
          </w:tcPr>
          <w:p w14:paraId="4362B116" w14:textId="0DDF015D" w:rsidR="002157D3" w:rsidRPr="0054775B" w:rsidRDefault="002157D3">
            <w:pPr>
              <w:pStyle w:val="2024TABLETEXT"/>
              <w:framePr w:hSpace="0" w:wrap="auto" w:vAnchor="margin" w:yAlign="inline"/>
              <w:suppressOverlap w:val="0"/>
            </w:pPr>
            <w:r w:rsidRPr="0054775B">
              <w:t xml:space="preserve">No </w:t>
            </w:r>
            <w:r w:rsidR="00417802">
              <w:t>reviews</w:t>
            </w:r>
            <w:r w:rsidR="00417802" w:rsidRPr="0054775B">
              <w:t xml:space="preserve"> </w:t>
            </w:r>
            <w:r w:rsidRPr="0054775B">
              <w:t>found. The effect of magnesium on improvement in stress-related emotional functioning/mental health burden</w:t>
            </w:r>
            <w:r w:rsidR="005B53AC" w:rsidRPr="0054775B">
              <w:t xml:space="preserve"> </w:t>
            </w:r>
            <w:r w:rsidR="0087305D" w:rsidRPr="0054775B">
              <w:t xml:space="preserve">for people at risk of anxiety </w:t>
            </w:r>
            <w:r w:rsidR="005B53AC" w:rsidRPr="0054775B">
              <w:t>is unknown.</w:t>
            </w:r>
          </w:p>
        </w:tc>
      </w:tr>
      <w:tr w:rsidR="002157D3" w:rsidRPr="0054775B" w14:paraId="41100016" w14:textId="77777777" w:rsidTr="00307685">
        <w:trPr>
          <w:cantSplit/>
        </w:trPr>
        <w:tc>
          <w:tcPr>
            <w:tcW w:w="300" w:type="pct"/>
            <w:tcBorders>
              <w:top w:val="single" w:sz="6" w:space="0" w:color="000000"/>
              <w:left w:val="nil"/>
              <w:bottom w:val="single" w:sz="6" w:space="0" w:color="000000"/>
              <w:right w:val="nil"/>
            </w:tcBorders>
            <w:vAlign w:val="center"/>
          </w:tcPr>
          <w:p w14:paraId="289E3378" w14:textId="77777777" w:rsidR="002157D3" w:rsidRPr="0054775B" w:rsidRDefault="002157D3">
            <w:pPr>
              <w:pStyle w:val="2024TABLETEXT"/>
              <w:framePr w:hSpace="0" w:wrap="auto" w:vAnchor="margin" w:yAlign="inline"/>
              <w:suppressOverlap w:val="0"/>
              <w:rPr>
                <w:b/>
                <w:bCs/>
              </w:rPr>
            </w:pPr>
            <w:r w:rsidRPr="0054775B">
              <w:rPr>
                <w:b/>
                <w:bCs/>
              </w:rPr>
              <w:t>8</w:t>
            </w:r>
          </w:p>
        </w:tc>
        <w:tc>
          <w:tcPr>
            <w:tcW w:w="1450" w:type="pct"/>
            <w:tcBorders>
              <w:top w:val="single" w:sz="6" w:space="0" w:color="000000"/>
              <w:left w:val="nil"/>
              <w:bottom w:val="single" w:sz="6" w:space="0" w:color="000000"/>
              <w:right w:val="nil"/>
            </w:tcBorders>
            <w:vAlign w:val="center"/>
          </w:tcPr>
          <w:p w14:paraId="5829419B" w14:textId="77777777" w:rsidR="002157D3" w:rsidRPr="0054775B" w:rsidRDefault="002157D3">
            <w:pPr>
              <w:pStyle w:val="2024TABLETEXT"/>
              <w:framePr w:hSpace="0" w:wrap="auto" w:vAnchor="margin" w:yAlign="inline"/>
              <w:suppressOverlap w:val="0"/>
              <w:rPr>
                <w:b/>
                <w:bCs/>
              </w:rPr>
            </w:pPr>
            <w:r w:rsidRPr="0054775B">
              <w:rPr>
                <w:b/>
                <w:bCs/>
              </w:rPr>
              <w:t>Physiological symptoms of anxiety (heart rate, BP, adrenaline, skin conductance, weight gain, weight loss, cortisol levels)</w:t>
            </w:r>
          </w:p>
        </w:tc>
        <w:tc>
          <w:tcPr>
            <w:tcW w:w="450" w:type="pct"/>
            <w:tcBorders>
              <w:top w:val="single" w:sz="6" w:space="0" w:color="000000"/>
              <w:left w:val="nil"/>
              <w:bottom w:val="single" w:sz="6" w:space="0" w:color="000000"/>
              <w:right w:val="nil"/>
            </w:tcBorders>
            <w:vAlign w:val="center"/>
          </w:tcPr>
          <w:p w14:paraId="41C6CE4C" w14:textId="77777777" w:rsidR="002157D3" w:rsidRPr="0054775B" w:rsidRDefault="002157D3">
            <w:pPr>
              <w:pStyle w:val="2024TABLETEXT"/>
              <w:framePr w:hSpace="0" w:wrap="auto" w:vAnchor="margin" w:yAlign="inline"/>
              <w:suppressOverlap w:val="0"/>
            </w:pPr>
            <w:r w:rsidRPr="0054775B">
              <w:t>-</w:t>
            </w:r>
          </w:p>
        </w:tc>
        <w:tc>
          <w:tcPr>
            <w:tcW w:w="499" w:type="pct"/>
            <w:tcBorders>
              <w:top w:val="single" w:sz="6" w:space="0" w:color="000000"/>
              <w:left w:val="nil"/>
              <w:bottom w:val="single" w:sz="6" w:space="0" w:color="000000"/>
              <w:right w:val="nil"/>
            </w:tcBorders>
            <w:shd w:val="clear" w:color="auto" w:fill="auto"/>
            <w:vAlign w:val="center"/>
          </w:tcPr>
          <w:p w14:paraId="02E4FE2C" w14:textId="77777777" w:rsidR="002157D3" w:rsidRPr="0054775B" w:rsidRDefault="002157D3">
            <w:pPr>
              <w:pStyle w:val="2024TABLETEXT"/>
              <w:framePr w:hSpace="0" w:wrap="auto" w:vAnchor="margin" w:yAlign="inline"/>
              <w:suppressOverlap w:val="0"/>
            </w:pPr>
            <w:r w:rsidRPr="0054775B">
              <w:t>-</w:t>
            </w:r>
          </w:p>
        </w:tc>
        <w:tc>
          <w:tcPr>
            <w:tcW w:w="450" w:type="pct"/>
            <w:tcBorders>
              <w:top w:val="single" w:sz="6" w:space="0" w:color="000000"/>
              <w:left w:val="nil"/>
              <w:bottom w:val="single" w:sz="6" w:space="0" w:color="000000"/>
              <w:right w:val="nil"/>
            </w:tcBorders>
            <w:vAlign w:val="center"/>
          </w:tcPr>
          <w:p w14:paraId="25F7992E" w14:textId="77777777" w:rsidR="002157D3" w:rsidRPr="0054775B" w:rsidRDefault="002157D3">
            <w:pPr>
              <w:pStyle w:val="2024TABLETEXT"/>
              <w:framePr w:hSpace="0" w:wrap="auto" w:vAnchor="margin" w:yAlign="inline"/>
              <w:suppressOverlap w:val="0"/>
            </w:pPr>
            <w:r w:rsidRPr="0054775B">
              <w:t>-</w:t>
            </w:r>
          </w:p>
        </w:tc>
        <w:tc>
          <w:tcPr>
            <w:tcW w:w="402" w:type="pct"/>
            <w:tcBorders>
              <w:top w:val="single" w:sz="6" w:space="0" w:color="000000"/>
              <w:left w:val="nil"/>
              <w:bottom w:val="single" w:sz="6" w:space="0" w:color="000000"/>
              <w:right w:val="nil"/>
            </w:tcBorders>
            <w:vAlign w:val="center"/>
          </w:tcPr>
          <w:p w14:paraId="26BC4039" w14:textId="77777777" w:rsidR="002157D3" w:rsidRPr="0054775B" w:rsidRDefault="002157D3">
            <w:pPr>
              <w:pStyle w:val="2024TABLETEXT"/>
              <w:framePr w:hSpace="0" w:wrap="auto" w:vAnchor="margin" w:yAlign="inline"/>
              <w:suppressOverlap w:val="0"/>
            </w:pPr>
            <w:r w:rsidRPr="0054775B">
              <w:t>-</w:t>
            </w:r>
          </w:p>
        </w:tc>
        <w:tc>
          <w:tcPr>
            <w:tcW w:w="1449" w:type="pct"/>
            <w:gridSpan w:val="2"/>
            <w:tcBorders>
              <w:top w:val="single" w:sz="6" w:space="0" w:color="000000"/>
              <w:left w:val="nil"/>
              <w:bottom w:val="single" w:sz="6" w:space="0" w:color="000000"/>
              <w:right w:val="nil"/>
            </w:tcBorders>
            <w:vAlign w:val="center"/>
          </w:tcPr>
          <w:p w14:paraId="1EF89244" w14:textId="2B4F6400" w:rsidR="002157D3" w:rsidRPr="0054775B" w:rsidRDefault="002157D3">
            <w:pPr>
              <w:pStyle w:val="2024TABLETEXT"/>
              <w:framePr w:hSpace="0" w:wrap="auto" w:vAnchor="margin" w:yAlign="inline"/>
              <w:suppressOverlap w:val="0"/>
            </w:pPr>
            <w:r w:rsidRPr="0054775B">
              <w:t xml:space="preserve">No </w:t>
            </w:r>
            <w:r w:rsidR="00417802">
              <w:t>reviews</w:t>
            </w:r>
            <w:r w:rsidR="00417802" w:rsidRPr="0054775B">
              <w:t xml:space="preserve"> </w:t>
            </w:r>
            <w:r w:rsidRPr="0054775B">
              <w:t xml:space="preserve">found. The effect of magnesium on improvement in physiological symptoms of anxiety </w:t>
            </w:r>
            <w:r w:rsidR="0087305D" w:rsidRPr="0054775B">
              <w:t xml:space="preserve">for people at risk of anxiety </w:t>
            </w:r>
            <w:r w:rsidR="005B53AC" w:rsidRPr="0054775B">
              <w:t>is unknown.</w:t>
            </w:r>
          </w:p>
        </w:tc>
      </w:tr>
      <w:tr w:rsidR="002157D3" w:rsidRPr="0054775B" w14:paraId="68BEE908" w14:textId="77777777" w:rsidTr="00307685">
        <w:trPr>
          <w:cantSplit/>
        </w:trPr>
        <w:tc>
          <w:tcPr>
            <w:tcW w:w="300" w:type="pct"/>
            <w:tcBorders>
              <w:top w:val="single" w:sz="6" w:space="0" w:color="000000"/>
              <w:left w:val="nil"/>
              <w:bottom w:val="single" w:sz="6" w:space="0" w:color="000000"/>
              <w:right w:val="nil"/>
            </w:tcBorders>
            <w:vAlign w:val="center"/>
          </w:tcPr>
          <w:p w14:paraId="1DE02D7A" w14:textId="77777777" w:rsidR="002157D3" w:rsidRPr="0054775B" w:rsidRDefault="002157D3">
            <w:pPr>
              <w:pStyle w:val="2024TABLETEXT"/>
              <w:framePr w:hSpace="0" w:wrap="auto" w:vAnchor="margin" w:yAlign="inline"/>
              <w:suppressOverlap w:val="0"/>
              <w:rPr>
                <w:b/>
                <w:bCs/>
              </w:rPr>
            </w:pPr>
            <w:r w:rsidRPr="0054775B">
              <w:rPr>
                <w:b/>
                <w:bCs/>
              </w:rPr>
              <w:t>8</w:t>
            </w:r>
          </w:p>
        </w:tc>
        <w:tc>
          <w:tcPr>
            <w:tcW w:w="1450" w:type="pct"/>
            <w:tcBorders>
              <w:top w:val="single" w:sz="6" w:space="0" w:color="000000"/>
              <w:left w:val="nil"/>
              <w:bottom w:val="single" w:sz="6" w:space="0" w:color="000000"/>
              <w:right w:val="nil"/>
            </w:tcBorders>
            <w:vAlign w:val="center"/>
          </w:tcPr>
          <w:p w14:paraId="3C3D60DC" w14:textId="77777777" w:rsidR="002157D3" w:rsidRPr="0054775B" w:rsidRDefault="002157D3">
            <w:pPr>
              <w:pStyle w:val="2024TABLETEXT"/>
              <w:framePr w:hSpace="0" w:wrap="auto" w:vAnchor="margin" w:yAlign="inline"/>
              <w:suppressOverlap w:val="0"/>
              <w:rPr>
                <w:b/>
                <w:bCs/>
              </w:rPr>
            </w:pPr>
            <w:r w:rsidRPr="0054775B">
              <w:rPr>
                <w:b/>
                <w:bCs/>
              </w:rPr>
              <w:t>Health-related quality of life</w:t>
            </w:r>
          </w:p>
        </w:tc>
        <w:tc>
          <w:tcPr>
            <w:tcW w:w="450" w:type="pct"/>
            <w:tcBorders>
              <w:top w:val="single" w:sz="6" w:space="0" w:color="000000"/>
              <w:left w:val="nil"/>
              <w:bottom w:val="single" w:sz="6" w:space="0" w:color="000000"/>
              <w:right w:val="nil"/>
            </w:tcBorders>
            <w:vAlign w:val="center"/>
          </w:tcPr>
          <w:p w14:paraId="19B9B2F6" w14:textId="77777777" w:rsidR="002157D3" w:rsidRPr="0054775B" w:rsidRDefault="002157D3">
            <w:pPr>
              <w:pStyle w:val="2024TABLETEXT"/>
              <w:framePr w:hSpace="0" w:wrap="auto" w:vAnchor="margin" w:yAlign="inline"/>
              <w:suppressOverlap w:val="0"/>
            </w:pPr>
            <w:r w:rsidRPr="0054775B">
              <w:t>-</w:t>
            </w:r>
          </w:p>
        </w:tc>
        <w:tc>
          <w:tcPr>
            <w:tcW w:w="499" w:type="pct"/>
            <w:tcBorders>
              <w:top w:val="single" w:sz="6" w:space="0" w:color="000000"/>
              <w:left w:val="nil"/>
              <w:bottom w:val="single" w:sz="6" w:space="0" w:color="000000"/>
              <w:right w:val="nil"/>
            </w:tcBorders>
            <w:shd w:val="clear" w:color="auto" w:fill="auto"/>
            <w:vAlign w:val="center"/>
          </w:tcPr>
          <w:p w14:paraId="04135572" w14:textId="77777777" w:rsidR="002157D3" w:rsidRPr="0054775B" w:rsidRDefault="002157D3">
            <w:pPr>
              <w:pStyle w:val="2024TABLETEXT"/>
              <w:framePr w:hSpace="0" w:wrap="auto" w:vAnchor="margin" w:yAlign="inline"/>
              <w:suppressOverlap w:val="0"/>
            </w:pPr>
            <w:r w:rsidRPr="0054775B">
              <w:t>-</w:t>
            </w:r>
          </w:p>
        </w:tc>
        <w:tc>
          <w:tcPr>
            <w:tcW w:w="450" w:type="pct"/>
            <w:tcBorders>
              <w:top w:val="single" w:sz="6" w:space="0" w:color="000000"/>
              <w:left w:val="nil"/>
              <w:bottom w:val="single" w:sz="6" w:space="0" w:color="000000"/>
              <w:right w:val="nil"/>
            </w:tcBorders>
            <w:vAlign w:val="center"/>
          </w:tcPr>
          <w:p w14:paraId="74C1B43A" w14:textId="77777777" w:rsidR="002157D3" w:rsidRPr="0054775B" w:rsidRDefault="002157D3">
            <w:pPr>
              <w:pStyle w:val="2024TABLETEXT"/>
              <w:framePr w:hSpace="0" w:wrap="auto" w:vAnchor="margin" w:yAlign="inline"/>
              <w:suppressOverlap w:val="0"/>
            </w:pPr>
            <w:r w:rsidRPr="0054775B">
              <w:t>-</w:t>
            </w:r>
          </w:p>
        </w:tc>
        <w:tc>
          <w:tcPr>
            <w:tcW w:w="402" w:type="pct"/>
            <w:tcBorders>
              <w:top w:val="single" w:sz="6" w:space="0" w:color="000000"/>
              <w:left w:val="nil"/>
              <w:bottom w:val="single" w:sz="6" w:space="0" w:color="000000"/>
              <w:right w:val="nil"/>
            </w:tcBorders>
            <w:vAlign w:val="center"/>
          </w:tcPr>
          <w:p w14:paraId="462C0FA7" w14:textId="77777777" w:rsidR="002157D3" w:rsidRPr="0054775B" w:rsidRDefault="002157D3">
            <w:pPr>
              <w:pStyle w:val="2024TABLETEXT"/>
              <w:framePr w:hSpace="0" w:wrap="auto" w:vAnchor="margin" w:yAlign="inline"/>
              <w:suppressOverlap w:val="0"/>
            </w:pPr>
            <w:r w:rsidRPr="0054775B">
              <w:t>-</w:t>
            </w:r>
          </w:p>
        </w:tc>
        <w:tc>
          <w:tcPr>
            <w:tcW w:w="1449" w:type="pct"/>
            <w:gridSpan w:val="2"/>
            <w:tcBorders>
              <w:top w:val="single" w:sz="6" w:space="0" w:color="000000"/>
              <w:left w:val="nil"/>
              <w:bottom w:val="single" w:sz="6" w:space="0" w:color="000000"/>
              <w:right w:val="nil"/>
            </w:tcBorders>
            <w:vAlign w:val="center"/>
          </w:tcPr>
          <w:p w14:paraId="236159CE" w14:textId="5D5C5223" w:rsidR="002157D3" w:rsidRPr="0054775B" w:rsidRDefault="002157D3">
            <w:pPr>
              <w:pStyle w:val="2024TABLETEXT"/>
              <w:framePr w:hSpace="0" w:wrap="auto" w:vAnchor="margin" w:yAlign="inline"/>
              <w:suppressOverlap w:val="0"/>
            </w:pPr>
            <w:r w:rsidRPr="0054775B">
              <w:t xml:space="preserve">No </w:t>
            </w:r>
            <w:r w:rsidR="00417802">
              <w:t>reviews</w:t>
            </w:r>
            <w:r w:rsidR="00417802" w:rsidRPr="0054775B">
              <w:t xml:space="preserve"> </w:t>
            </w:r>
            <w:r w:rsidRPr="0054775B">
              <w:t>found. The effect of magnesium on improvement in health-related quality of life</w:t>
            </w:r>
            <w:r w:rsidR="0087305D" w:rsidRPr="0054775B">
              <w:t xml:space="preserve"> for people at risk of anxiety </w:t>
            </w:r>
            <w:r w:rsidR="005B53AC" w:rsidRPr="0054775B">
              <w:t>is unknown.</w:t>
            </w:r>
          </w:p>
        </w:tc>
      </w:tr>
      <w:tr w:rsidR="002157D3" w:rsidRPr="0054775B" w14:paraId="396974D4" w14:textId="77777777">
        <w:trPr>
          <w:gridAfter w:val="1"/>
          <w:wAfter w:w="2" w:type="pct"/>
          <w:cantSplit/>
          <w:trHeight w:val="50"/>
        </w:trPr>
        <w:tc>
          <w:tcPr>
            <w:tcW w:w="4998" w:type="pct"/>
            <w:gridSpan w:val="7"/>
            <w:tcBorders>
              <w:top w:val="single" w:sz="6" w:space="0" w:color="000000"/>
              <w:left w:val="nil"/>
              <w:bottom w:val="single" w:sz="6" w:space="0" w:color="000000"/>
              <w:right w:val="nil"/>
            </w:tcBorders>
          </w:tcPr>
          <w:p w14:paraId="0D7A333A" w14:textId="77777777" w:rsidR="00DE689E" w:rsidRPr="0054775B" w:rsidRDefault="00DE689E" w:rsidP="00DE689E">
            <w:pPr>
              <w:pStyle w:val="2024TABLEFOOTER"/>
            </w:pPr>
            <w:r w:rsidRPr="0054775B">
              <w:lastRenderedPageBreak/>
              <w:t>*Ratings 1-3 = of limited importance to decision making; 4-6 = important, but not critical, to decision making; 7-9 = critical for decision-making</w:t>
            </w:r>
          </w:p>
          <w:p w14:paraId="1C48D2F5" w14:textId="77777777" w:rsidR="00DE689E" w:rsidRDefault="00DE689E" w:rsidP="00DE689E">
            <w:pPr>
              <w:pStyle w:val="2024TABLEFOOTER"/>
            </w:pPr>
            <w:r>
              <w:t>#Absolute risk differences measured using STAI and EPDS were not presented.</w:t>
            </w:r>
          </w:p>
          <w:p w14:paraId="4A93CB6C" w14:textId="1A82E8D2" w:rsidR="00B00666" w:rsidRPr="0054775B" w:rsidRDefault="00B00666">
            <w:pPr>
              <w:pStyle w:val="2024TABLEFOOTER"/>
            </w:pPr>
            <w:r w:rsidRPr="0054775B">
              <w:t>^SMDs of 0.2, 0.5, and 0.8 are considered small, medium, and large, respectively</w:t>
            </w:r>
            <w:r w:rsidR="007D7E03">
              <w:t xml:space="preserve"> </w:t>
            </w:r>
            <w:r w:rsidR="00A61385">
              <w:rPr>
                <w:noProof/>
              </w:rPr>
              <w:t>(22)</w:t>
            </w:r>
          </w:p>
          <w:p w14:paraId="28477D10" w14:textId="77777777" w:rsidR="00263AC3" w:rsidRDefault="00263AC3">
            <w:pPr>
              <w:pStyle w:val="2024TABLEFOOTER"/>
            </w:pPr>
          </w:p>
          <w:p w14:paraId="1181BE2D" w14:textId="6DE93FF5" w:rsidR="002157D3" w:rsidRPr="0054775B" w:rsidRDefault="002157D3">
            <w:pPr>
              <w:pStyle w:val="2024TABLEFOOTER"/>
              <w:rPr>
                <w:sz w:val="15"/>
                <w:szCs w:val="15"/>
              </w:rPr>
            </w:pPr>
            <w:r w:rsidRPr="0054775B">
              <w:t>Abbreviations: BP=blood pressure</w:t>
            </w:r>
            <w:r w:rsidR="00AB1937" w:rsidRPr="0054775B">
              <w:t>,</w:t>
            </w:r>
            <w:r w:rsidRPr="0054775B">
              <w:t xml:space="preserve"> </w:t>
            </w:r>
            <w:r w:rsidR="00AB1937" w:rsidRPr="0054775B">
              <w:t>CI=Confidence Interval,</w:t>
            </w:r>
            <w:r w:rsidRPr="0054775B">
              <w:t xml:space="preserve"> EPDS= Edinburgh Postnatal Depression Scale</w:t>
            </w:r>
            <w:r w:rsidR="00AB1937" w:rsidRPr="0054775B">
              <w:t>,</w:t>
            </w:r>
            <w:r w:rsidRPr="0054775B">
              <w:t xml:space="preserve"> STAI=State Trait Anxiety Inventory</w:t>
            </w:r>
            <w:r w:rsidR="00AB1937" w:rsidRPr="0054775B">
              <w:t>,</w:t>
            </w:r>
            <w:r w:rsidRPr="0054775B">
              <w:t xml:space="preserve"> SMD=Standardised Mean Difference</w:t>
            </w:r>
          </w:p>
        </w:tc>
      </w:tr>
      <w:tr w:rsidR="002157D3" w:rsidRPr="0054775B" w14:paraId="1186DCEB" w14:textId="77777777">
        <w:trPr>
          <w:gridAfter w:val="1"/>
          <w:wAfter w:w="2" w:type="pct"/>
          <w:cantSplit/>
          <w:trHeight w:val="236"/>
        </w:trPr>
        <w:tc>
          <w:tcPr>
            <w:tcW w:w="4998" w:type="pct"/>
            <w:gridSpan w:val="7"/>
            <w:tcBorders>
              <w:top w:val="single" w:sz="6" w:space="0" w:color="000000"/>
              <w:left w:val="nil"/>
              <w:bottom w:val="single" w:sz="6" w:space="0" w:color="000000"/>
              <w:right w:val="nil"/>
            </w:tcBorders>
          </w:tcPr>
          <w:p w14:paraId="1DB3B080" w14:textId="77777777" w:rsidR="002157D3" w:rsidRPr="0054775B" w:rsidRDefault="002157D3">
            <w:pPr>
              <w:pStyle w:val="2024TABLEFOOTER"/>
            </w:pPr>
            <w:r w:rsidRPr="0054775B">
              <w:t>GRADE Working Group grades of evidence</w:t>
            </w:r>
            <w:r w:rsidRPr="0054775B">
              <w:br/>
            </w:r>
            <w:r w:rsidRPr="0054775B">
              <w:rPr>
                <w:b/>
              </w:rPr>
              <w:t>High certainty:</w:t>
            </w:r>
            <w:r w:rsidRPr="0054775B">
              <w:t xml:space="preserve"> we are very confident that the true effect lies close to that of the estimate of the effect.</w:t>
            </w:r>
            <w:r w:rsidRPr="0054775B">
              <w:br/>
            </w:r>
            <w:r w:rsidRPr="0054775B">
              <w:rPr>
                <w:b/>
              </w:rPr>
              <w:t>Moderate certainty:</w:t>
            </w:r>
            <w:r w:rsidRPr="0054775B">
              <w:t xml:space="preserve"> we are moderately confident in the effect estimate: the true effect is likely to be close to the estimate of the effect, but there is a possibility that it is substantially different.</w:t>
            </w:r>
            <w:r w:rsidRPr="0054775B">
              <w:br/>
            </w:r>
            <w:r w:rsidRPr="0054775B">
              <w:rPr>
                <w:b/>
              </w:rPr>
              <w:t>Low certainty:</w:t>
            </w:r>
            <w:r w:rsidRPr="0054775B">
              <w:t xml:space="preserve"> our confidence in the effect estimate is limited: the true effect may be substantially different from the estimate of the effect.</w:t>
            </w:r>
            <w:r w:rsidRPr="0054775B">
              <w:br/>
            </w:r>
            <w:r w:rsidRPr="0054775B">
              <w:rPr>
                <w:b/>
              </w:rPr>
              <w:t>Very low certainty:</w:t>
            </w:r>
            <w:r w:rsidRPr="0054775B">
              <w:t xml:space="preserve"> we have very little confidence in the effect estimate: the true effect is likely to be substantially different from the estimate of effect.</w:t>
            </w:r>
          </w:p>
        </w:tc>
      </w:tr>
      <w:tr w:rsidR="002157D3" w:rsidRPr="0054775B" w14:paraId="2C6E632A" w14:textId="77777777">
        <w:trPr>
          <w:gridAfter w:val="1"/>
          <w:wAfter w:w="2" w:type="pct"/>
          <w:cantSplit/>
          <w:trHeight w:val="236"/>
        </w:trPr>
        <w:tc>
          <w:tcPr>
            <w:tcW w:w="4998" w:type="pct"/>
            <w:gridSpan w:val="7"/>
            <w:tcBorders>
              <w:top w:val="single" w:sz="6" w:space="0" w:color="000000"/>
              <w:left w:val="nil"/>
              <w:bottom w:val="single" w:sz="6" w:space="0" w:color="000000"/>
              <w:right w:val="nil"/>
            </w:tcBorders>
          </w:tcPr>
          <w:p w14:paraId="7DD5E29B" w14:textId="77777777" w:rsidR="002157D3" w:rsidRPr="0054775B" w:rsidRDefault="002157D3">
            <w:pPr>
              <w:pStyle w:val="2024TABLEFOOTER"/>
              <w:rPr>
                <w:b/>
              </w:rPr>
            </w:pPr>
            <w:r w:rsidRPr="0054775B">
              <w:rPr>
                <w:b/>
              </w:rPr>
              <w:t>Explanations</w:t>
            </w:r>
          </w:p>
          <w:p w14:paraId="11636034" w14:textId="679085A8" w:rsidR="002157D3" w:rsidRPr="0054775B" w:rsidRDefault="002157D3">
            <w:pPr>
              <w:pStyle w:val="2024TABLEFOOTER"/>
            </w:pPr>
            <w:r w:rsidRPr="0054775B">
              <w:t>a.</w:t>
            </w:r>
            <w:r w:rsidR="00094989">
              <w:t xml:space="preserve"> Risk of bias was rated by review authors as “some concerns” (no change for risk of bias).</w:t>
            </w:r>
            <w:r w:rsidRPr="0054775B">
              <w:t xml:space="preserve"> Population </w:t>
            </w:r>
            <w:r w:rsidR="005242D5" w:rsidRPr="0054775B">
              <w:t xml:space="preserve">in </w:t>
            </w:r>
            <w:r w:rsidRPr="0054775B">
              <w:t xml:space="preserve">the included review was restricted to pregnant women at risk of postnatal anxiety only (downgraded one for indirectness). </w:t>
            </w:r>
            <w:r w:rsidR="00673EA4">
              <w:t>Wide</w:t>
            </w:r>
            <w:r w:rsidR="000C06EA" w:rsidRPr="000C06EA" w:rsidDel="00673EA4">
              <w:t xml:space="preserve"> </w:t>
            </w:r>
            <w:r w:rsidR="00B848D9">
              <w:t>CI</w:t>
            </w:r>
            <w:r w:rsidR="002F08A6">
              <w:t xml:space="preserve"> to</w:t>
            </w:r>
            <w:r w:rsidR="000C06EA" w:rsidRPr="000C06EA">
              <w:t xml:space="preserve"> where </w:t>
            </w:r>
            <w:r w:rsidR="000C06EA">
              <w:t>point estimate</w:t>
            </w:r>
            <w:r w:rsidR="000C06EA" w:rsidRPr="000C06EA">
              <w:t xml:space="preserve"> is uninterpretable</w:t>
            </w:r>
            <w:r w:rsidR="00B848D9">
              <w:t>;</w:t>
            </w:r>
            <w:r w:rsidR="00296F1D">
              <w:t xml:space="preserve"> </w:t>
            </w:r>
            <w:r w:rsidR="00B848D9" w:rsidRPr="00B848D9">
              <w:t xml:space="preserve">CI appreciably crosses the threshold(s) of interest </w:t>
            </w:r>
            <w:r w:rsidR="000F563B">
              <w:t xml:space="preserve">(SMD = 0.2) </w:t>
            </w:r>
            <w:r w:rsidRPr="0054775B">
              <w:t xml:space="preserve">(downgraded </w:t>
            </w:r>
            <w:r w:rsidR="00A95A4C">
              <w:t>3</w:t>
            </w:r>
            <w:r w:rsidR="00296F1D" w:rsidRPr="0054775B">
              <w:t xml:space="preserve"> </w:t>
            </w:r>
            <w:r w:rsidRPr="0054775B">
              <w:t>for</w:t>
            </w:r>
            <w:r w:rsidR="00296F1D">
              <w:t xml:space="preserve"> very serious</w:t>
            </w:r>
            <w:r w:rsidRPr="0054775B">
              <w:t xml:space="preserve"> imprecision).</w:t>
            </w:r>
            <w:r w:rsidR="00E14DD8">
              <w:t xml:space="preserve"> No inconsistency due to singular study (no change for inconsistency).</w:t>
            </w:r>
            <w:r w:rsidR="00080F7A">
              <w:t xml:space="preserve"> Publication bias not assessed due to insufficient number of studies (no change for publication bias).</w:t>
            </w:r>
          </w:p>
        </w:tc>
      </w:tr>
    </w:tbl>
    <w:p w14:paraId="21DF058C" w14:textId="77777777" w:rsidR="002157D3" w:rsidRPr="0054775B" w:rsidRDefault="002157D3" w:rsidP="002157D3">
      <w:pPr>
        <w:pStyle w:val="Caption1"/>
        <w:rPr>
          <w:rFonts w:ascii="Aptos" w:hAnsi="Aptos"/>
        </w:rPr>
      </w:pPr>
    </w:p>
    <w:p w14:paraId="03E483AF" w14:textId="77777777" w:rsidR="002157D3" w:rsidRPr="0054775B" w:rsidRDefault="002157D3" w:rsidP="002157D3">
      <w:pPr>
        <w:rPr>
          <w:color w:val="000000" w:themeColor="text1"/>
          <w:sz w:val="20"/>
          <w:szCs w:val="20"/>
        </w:rPr>
      </w:pPr>
      <w:r w:rsidRPr="0054775B">
        <w:br w:type="page"/>
      </w:r>
    </w:p>
    <w:p w14:paraId="709C9069" w14:textId="254DA691" w:rsidR="002157D3" w:rsidRPr="0054775B" w:rsidRDefault="002157D3" w:rsidP="002157D3">
      <w:pPr>
        <w:pStyle w:val="2024TABLECAPTION"/>
        <w:rPr>
          <w:rFonts w:ascii="Aptos" w:hAnsi="Aptos"/>
        </w:rPr>
      </w:pPr>
      <w:bookmarkStart w:id="61" w:name="_Toc185261584"/>
      <w:r w:rsidRPr="0054775B">
        <w:rPr>
          <w:rFonts w:ascii="Aptos" w:hAnsi="Aptos"/>
        </w:rPr>
        <w:lastRenderedPageBreak/>
        <w:t xml:space="preserve">Table </w:t>
      </w:r>
      <w:r w:rsidRPr="0054775B">
        <w:rPr>
          <w:rFonts w:ascii="Aptos" w:hAnsi="Aptos"/>
        </w:rPr>
        <w:fldChar w:fldCharType="begin"/>
      </w:r>
      <w:r w:rsidRPr="0054775B">
        <w:rPr>
          <w:rFonts w:ascii="Aptos" w:hAnsi="Aptos"/>
        </w:rPr>
        <w:instrText>SEQ Table \* ARABIC</w:instrText>
      </w:r>
      <w:r w:rsidRPr="0054775B">
        <w:rPr>
          <w:rFonts w:ascii="Aptos" w:hAnsi="Aptos"/>
        </w:rPr>
        <w:fldChar w:fldCharType="separate"/>
      </w:r>
      <w:r w:rsidR="00651E04">
        <w:rPr>
          <w:rFonts w:ascii="Aptos" w:hAnsi="Aptos"/>
          <w:noProof/>
        </w:rPr>
        <w:t>6</w:t>
      </w:r>
      <w:r w:rsidRPr="0054775B">
        <w:rPr>
          <w:rFonts w:ascii="Aptos" w:hAnsi="Aptos"/>
        </w:rPr>
        <w:fldChar w:fldCharType="end"/>
      </w:r>
      <w:r w:rsidRPr="0054775B">
        <w:rPr>
          <w:rFonts w:ascii="Aptos" w:hAnsi="Aptos"/>
        </w:rPr>
        <w:t>. Magnesium + naturopathy co-intervention compared to placebo/inactive control for anxiety</w:t>
      </w:r>
      <w:bookmarkEnd w:id="61"/>
    </w:p>
    <w:tbl>
      <w:tblPr>
        <w:tblpPr w:leftFromText="180" w:rightFromText="180" w:vertAnchor="text" w:tblpY="1"/>
        <w:tblOverlap w:val="never"/>
        <w:tblW w:w="4608" w:type="pct"/>
        <w:tblLayout w:type="fixed"/>
        <w:tblCellMar>
          <w:top w:w="28" w:type="dxa"/>
          <w:left w:w="57" w:type="dxa"/>
          <w:bottom w:w="28" w:type="dxa"/>
          <w:right w:w="28" w:type="dxa"/>
        </w:tblCellMar>
        <w:tblLook w:val="04A0" w:firstRow="1" w:lastRow="0" w:firstColumn="1" w:lastColumn="0" w:noHBand="0" w:noVBand="1"/>
      </w:tblPr>
      <w:tblGrid>
        <w:gridCol w:w="834"/>
        <w:gridCol w:w="3598"/>
        <w:gridCol w:w="1247"/>
        <w:gridCol w:w="1127"/>
        <w:gridCol w:w="1127"/>
        <w:gridCol w:w="1219"/>
        <w:gridCol w:w="1239"/>
        <w:gridCol w:w="3621"/>
      </w:tblGrid>
      <w:tr w:rsidR="00B93FE1" w:rsidRPr="0054775B" w14:paraId="7D4E9215" w14:textId="77777777" w:rsidTr="00B93FE1">
        <w:trPr>
          <w:cantSplit/>
        </w:trPr>
        <w:tc>
          <w:tcPr>
            <w:tcW w:w="5000" w:type="pct"/>
            <w:gridSpan w:val="8"/>
            <w:tcBorders>
              <w:top w:val="single" w:sz="12" w:space="0" w:color="000000"/>
              <w:left w:val="nil"/>
              <w:bottom w:val="single" w:sz="12" w:space="0" w:color="000000"/>
              <w:right w:val="nil"/>
            </w:tcBorders>
          </w:tcPr>
          <w:p w14:paraId="415D030E" w14:textId="1D682D7F" w:rsidR="00B93FE1" w:rsidRPr="0054775B" w:rsidRDefault="00B93FE1">
            <w:pPr>
              <w:pStyle w:val="2024TABLETEXT"/>
              <w:framePr w:hSpace="0" w:wrap="auto" w:vAnchor="margin" w:yAlign="inline"/>
              <w:suppressOverlap w:val="0"/>
              <w:rPr>
                <w:rStyle w:val="Strong"/>
              </w:rPr>
            </w:pPr>
            <w:r w:rsidRPr="0054775B">
              <w:rPr>
                <w:rStyle w:val="Strong"/>
                <w:b w:val="0"/>
                <w:bCs w:val="0"/>
              </w:rPr>
              <w:t>Patient or population:</w:t>
            </w:r>
            <w:r w:rsidRPr="0054775B">
              <w:rPr>
                <w:rStyle w:val="Strong"/>
              </w:rPr>
              <w:t xml:space="preserve"> Anxiety</w:t>
            </w:r>
          </w:p>
          <w:p w14:paraId="284B141E" w14:textId="5034F28B" w:rsidR="00B93FE1" w:rsidRPr="0054775B" w:rsidRDefault="00B93FE1">
            <w:pPr>
              <w:pStyle w:val="2024TABLETEXT"/>
              <w:framePr w:hSpace="0" w:wrap="auto" w:vAnchor="margin" w:yAlign="inline"/>
              <w:suppressOverlap w:val="0"/>
              <w:rPr>
                <w:rStyle w:val="Strong"/>
              </w:rPr>
            </w:pPr>
            <w:r w:rsidRPr="0054775B">
              <w:rPr>
                <w:rStyle w:val="Strong"/>
                <w:b w:val="0"/>
                <w:bCs w:val="0"/>
              </w:rPr>
              <w:t>Intervention</w:t>
            </w:r>
            <w:r w:rsidRPr="0054775B">
              <w:rPr>
                <w:rStyle w:val="Strong"/>
              </w:rPr>
              <w:t xml:space="preserve">: Magnesium </w:t>
            </w:r>
            <w:r w:rsidRPr="0054775B">
              <w:rPr>
                <w:b/>
                <w:bCs/>
              </w:rPr>
              <w:t>+ naturopathy co-intervention</w:t>
            </w:r>
          </w:p>
          <w:p w14:paraId="634F892E" w14:textId="77777777" w:rsidR="00B93FE1" w:rsidRPr="0054775B" w:rsidRDefault="00B93FE1">
            <w:pPr>
              <w:pStyle w:val="2024TABLETEXT"/>
              <w:framePr w:hSpace="0" w:wrap="auto" w:vAnchor="margin" w:yAlign="inline"/>
              <w:suppressOverlap w:val="0"/>
            </w:pPr>
            <w:r w:rsidRPr="0054775B">
              <w:rPr>
                <w:rStyle w:val="Strong"/>
                <w:b w:val="0"/>
                <w:bCs w:val="0"/>
              </w:rPr>
              <w:t>Comparison</w:t>
            </w:r>
            <w:r w:rsidRPr="0054775B">
              <w:rPr>
                <w:rStyle w:val="Strong"/>
              </w:rPr>
              <w:t xml:space="preserve">: </w:t>
            </w:r>
            <w:r w:rsidRPr="0054775B">
              <w:rPr>
                <w:b/>
                <w:bCs/>
              </w:rPr>
              <w:t xml:space="preserve"> Placebo/inactive control</w:t>
            </w:r>
          </w:p>
        </w:tc>
      </w:tr>
      <w:tr w:rsidR="00336D2E" w:rsidRPr="0054775B" w14:paraId="40D59CE1" w14:textId="77777777" w:rsidTr="00B93FE1">
        <w:trPr>
          <w:cantSplit/>
          <w:trHeight w:val="567"/>
        </w:trPr>
        <w:tc>
          <w:tcPr>
            <w:tcW w:w="298" w:type="pct"/>
            <w:tcBorders>
              <w:right w:val="single" w:sz="6" w:space="0" w:color="EFEFEF"/>
            </w:tcBorders>
            <w:shd w:val="clear" w:color="auto" w:fill="FFE599" w:themeFill="accent4" w:themeFillTint="66"/>
            <w:vAlign w:val="bottom"/>
          </w:tcPr>
          <w:p w14:paraId="4A4730CE" w14:textId="77777777" w:rsidR="00DD3E97" w:rsidRPr="0054775B" w:rsidRDefault="00DD3E97">
            <w:pPr>
              <w:pStyle w:val="2024TABLEHEADER"/>
            </w:pPr>
            <w:r w:rsidRPr="0054775B">
              <w:t>NTWC Rating*</w:t>
            </w:r>
          </w:p>
        </w:tc>
        <w:tc>
          <w:tcPr>
            <w:tcW w:w="1284" w:type="pct"/>
            <w:tcBorders>
              <w:right w:val="single" w:sz="6" w:space="0" w:color="EFEFEF"/>
            </w:tcBorders>
            <w:shd w:val="clear" w:color="auto" w:fill="FFE599" w:themeFill="accent4" w:themeFillTint="66"/>
            <w:vAlign w:val="bottom"/>
            <w:hideMark/>
          </w:tcPr>
          <w:p w14:paraId="28282E5F" w14:textId="77777777" w:rsidR="00DD3E97" w:rsidRPr="0054775B" w:rsidRDefault="00DD3E97">
            <w:pPr>
              <w:pStyle w:val="2024TABLEHEADER"/>
            </w:pPr>
            <w:r w:rsidRPr="0054775B">
              <w:t>Outcomes</w:t>
            </w:r>
          </w:p>
        </w:tc>
        <w:tc>
          <w:tcPr>
            <w:tcW w:w="445" w:type="pct"/>
            <w:shd w:val="clear" w:color="auto" w:fill="FFF2CC" w:themeFill="accent4" w:themeFillTint="33"/>
            <w:vAlign w:val="bottom"/>
          </w:tcPr>
          <w:p w14:paraId="2887BCB1" w14:textId="14F85F8B" w:rsidR="00DD3E97" w:rsidRPr="0054775B" w:rsidRDefault="00DD3E97">
            <w:pPr>
              <w:pStyle w:val="2024TABLEHEADER"/>
            </w:pPr>
            <w:r w:rsidRPr="0054775B">
              <w:t>Contributing review</w:t>
            </w:r>
          </w:p>
        </w:tc>
        <w:tc>
          <w:tcPr>
            <w:tcW w:w="402" w:type="pct"/>
            <w:shd w:val="clear" w:color="auto" w:fill="E0E0E0"/>
            <w:vAlign w:val="bottom"/>
          </w:tcPr>
          <w:p w14:paraId="6C0C0593" w14:textId="6205C56D" w:rsidR="00DD3E97" w:rsidRPr="0054775B" w:rsidRDefault="00DD3E97" w:rsidP="00DD3E97">
            <w:pPr>
              <w:pStyle w:val="2024TABLEHEADER"/>
            </w:pPr>
            <w:r>
              <w:t>Absolute risk difference</w:t>
            </w:r>
          </w:p>
        </w:tc>
        <w:tc>
          <w:tcPr>
            <w:tcW w:w="402" w:type="pct"/>
            <w:tcBorders>
              <w:top w:val="single" w:sz="6" w:space="0" w:color="EFEFEF"/>
              <w:right w:val="single" w:sz="6" w:space="0" w:color="EFEFEF"/>
            </w:tcBorders>
            <w:shd w:val="clear" w:color="auto" w:fill="E0E0E0"/>
            <w:vAlign w:val="bottom"/>
          </w:tcPr>
          <w:p w14:paraId="7A5EA565" w14:textId="11E3E914" w:rsidR="00DD3E97" w:rsidRPr="0054775B" w:rsidRDefault="00DD3E97" w:rsidP="00DD3E97">
            <w:pPr>
              <w:pStyle w:val="2024TABLEHEADER"/>
            </w:pPr>
            <w:r w:rsidRPr="0054775B">
              <w:t>Relative effect</w:t>
            </w:r>
            <w:r w:rsidRPr="0054775B">
              <w:br/>
              <w:t>(95% CI)</w:t>
            </w:r>
          </w:p>
        </w:tc>
        <w:tc>
          <w:tcPr>
            <w:tcW w:w="435" w:type="pct"/>
            <w:tcBorders>
              <w:right w:val="single" w:sz="6" w:space="0" w:color="EFEFEF"/>
            </w:tcBorders>
            <w:shd w:val="clear" w:color="auto" w:fill="FFE599" w:themeFill="accent4" w:themeFillTint="66"/>
            <w:vAlign w:val="bottom"/>
            <w:hideMark/>
          </w:tcPr>
          <w:p w14:paraId="1BFBFE64" w14:textId="77777777" w:rsidR="00DD3E97" w:rsidRPr="0054775B" w:rsidRDefault="00DD3E97">
            <w:pPr>
              <w:pStyle w:val="2024TABLEHEADER"/>
            </w:pPr>
            <w:r w:rsidRPr="0054775B">
              <w:t>№ of participants</w:t>
            </w:r>
            <w:r w:rsidRPr="0054775B">
              <w:br/>
              <w:t>(studies)</w:t>
            </w:r>
          </w:p>
        </w:tc>
        <w:tc>
          <w:tcPr>
            <w:tcW w:w="442" w:type="pct"/>
            <w:tcBorders>
              <w:right w:val="single" w:sz="6" w:space="0" w:color="EFEFEF"/>
            </w:tcBorders>
            <w:shd w:val="clear" w:color="auto" w:fill="FFE599" w:themeFill="accent4" w:themeFillTint="66"/>
            <w:vAlign w:val="bottom"/>
            <w:hideMark/>
          </w:tcPr>
          <w:p w14:paraId="2D5B0EFB" w14:textId="77777777" w:rsidR="00DD3E97" w:rsidRPr="0054775B" w:rsidRDefault="00DD3E97">
            <w:pPr>
              <w:pStyle w:val="2024TABLEHEADER"/>
            </w:pPr>
            <w:r w:rsidRPr="0054775B">
              <w:t>Certainty of the evidence</w:t>
            </w:r>
            <w:r w:rsidRPr="0054775B">
              <w:br/>
              <w:t>(GRADE)</w:t>
            </w:r>
          </w:p>
        </w:tc>
        <w:tc>
          <w:tcPr>
            <w:tcW w:w="1292" w:type="pct"/>
            <w:tcBorders>
              <w:right w:val="single" w:sz="6" w:space="0" w:color="EFEFEF"/>
            </w:tcBorders>
            <w:shd w:val="clear" w:color="auto" w:fill="FFE599" w:themeFill="accent4" w:themeFillTint="66"/>
            <w:vAlign w:val="bottom"/>
            <w:hideMark/>
          </w:tcPr>
          <w:p w14:paraId="195A860F" w14:textId="77777777" w:rsidR="00DD3E97" w:rsidRPr="0054775B" w:rsidRDefault="00DD3E97">
            <w:pPr>
              <w:pStyle w:val="2024TABLEHEADER"/>
            </w:pPr>
            <w:r w:rsidRPr="0054775B">
              <w:t>Evidence statement</w:t>
            </w:r>
          </w:p>
        </w:tc>
      </w:tr>
      <w:tr w:rsidR="00AD69EC" w:rsidRPr="0054775B" w14:paraId="645A033A" w14:textId="77777777" w:rsidTr="00B93FE1">
        <w:trPr>
          <w:cantSplit/>
          <w:trHeight w:val="671"/>
        </w:trPr>
        <w:tc>
          <w:tcPr>
            <w:tcW w:w="298" w:type="pct"/>
            <w:tcBorders>
              <w:top w:val="single" w:sz="6" w:space="0" w:color="000000"/>
              <w:left w:val="nil"/>
              <w:bottom w:val="single" w:sz="6" w:space="0" w:color="000000"/>
              <w:right w:val="nil"/>
            </w:tcBorders>
            <w:vAlign w:val="center"/>
          </w:tcPr>
          <w:p w14:paraId="5DF03CC0" w14:textId="77777777" w:rsidR="00DD3E97" w:rsidRPr="0054775B" w:rsidRDefault="00DD3E97">
            <w:pPr>
              <w:pStyle w:val="2024TABLETEXT"/>
              <w:framePr w:hSpace="0" w:wrap="auto" w:vAnchor="margin" w:yAlign="inline"/>
              <w:suppressOverlap w:val="0"/>
            </w:pPr>
            <w:r w:rsidRPr="0054775B">
              <w:t>9</w:t>
            </w:r>
          </w:p>
        </w:tc>
        <w:tc>
          <w:tcPr>
            <w:tcW w:w="1284" w:type="pct"/>
            <w:tcBorders>
              <w:top w:val="single" w:sz="6" w:space="0" w:color="000000"/>
              <w:left w:val="nil"/>
              <w:bottom w:val="single" w:sz="6" w:space="0" w:color="000000"/>
              <w:right w:val="nil"/>
            </w:tcBorders>
            <w:vAlign w:val="center"/>
            <w:hideMark/>
          </w:tcPr>
          <w:p w14:paraId="645789DC" w14:textId="77777777" w:rsidR="00DD3E97" w:rsidRPr="0054775B" w:rsidRDefault="00DD3E97">
            <w:pPr>
              <w:pStyle w:val="2024TABLETEXT"/>
              <w:framePr w:hSpace="0" w:wrap="auto" w:vAnchor="margin" w:yAlign="inline"/>
              <w:spacing w:after="120"/>
              <w:ind w:left="87"/>
              <w:suppressOverlap w:val="0"/>
              <w:rPr>
                <w:b/>
                <w:bCs/>
              </w:rPr>
            </w:pPr>
            <w:r w:rsidRPr="0054775B">
              <w:rPr>
                <w:b/>
                <w:bCs/>
              </w:rPr>
              <w:t>Anxiety-related emotional functioning/mental health burden</w:t>
            </w:r>
          </w:p>
          <w:p w14:paraId="0D509D48" w14:textId="77777777" w:rsidR="00DD3E97" w:rsidRPr="0054775B" w:rsidRDefault="00DD3E97">
            <w:pPr>
              <w:pStyle w:val="2024TABLETEXT"/>
              <w:framePr w:hSpace="0" w:wrap="auto" w:vAnchor="margin" w:yAlign="inline"/>
              <w:ind w:left="370"/>
              <w:suppressOverlap w:val="0"/>
            </w:pPr>
            <w:r w:rsidRPr="0054775B">
              <w:rPr>
                <w:b/>
                <w:bCs/>
              </w:rPr>
              <w:t>Condition:</w:t>
            </w:r>
            <w:r w:rsidRPr="0054775B">
              <w:t xml:space="preserve"> GAD</w:t>
            </w:r>
          </w:p>
          <w:p w14:paraId="68AE9D42" w14:textId="77777777" w:rsidR="00DD3E97" w:rsidRPr="0054775B" w:rsidRDefault="00DD3E97">
            <w:pPr>
              <w:pStyle w:val="2024TABLETEXT"/>
              <w:framePr w:hSpace="0" w:wrap="auto" w:vAnchor="margin" w:yAlign="inline"/>
              <w:ind w:left="370"/>
              <w:suppressOverlap w:val="0"/>
            </w:pPr>
            <w:r w:rsidRPr="0054775B">
              <w:rPr>
                <w:b/>
                <w:bCs/>
              </w:rPr>
              <w:t>Dose:</w:t>
            </w:r>
            <w:r w:rsidRPr="0054775B">
              <w:t xml:space="preserve"> 2x Magnesium 75mg + Cratageus oxyacantha 75mg + Eschscholtzia californica 20mg, twice per day</w:t>
            </w:r>
          </w:p>
          <w:p w14:paraId="0DD3DF78" w14:textId="53C44E3C" w:rsidR="00DD3E97" w:rsidRPr="0054775B" w:rsidRDefault="00DD3E97">
            <w:pPr>
              <w:pStyle w:val="2024TABLETEXT"/>
              <w:framePr w:hSpace="0" w:wrap="auto" w:vAnchor="margin" w:yAlign="inline"/>
              <w:ind w:left="370"/>
              <w:suppressOverlap w:val="0"/>
            </w:pPr>
            <w:r w:rsidRPr="0054775B">
              <w:rPr>
                <w:b/>
                <w:bCs/>
              </w:rPr>
              <w:t>Assessed with:</w:t>
            </w:r>
            <w:r w:rsidRPr="0054775B">
              <w:t xml:space="preserve"> HAM-A</w:t>
            </w:r>
          </w:p>
          <w:p w14:paraId="1430C70D" w14:textId="77777777" w:rsidR="00DD3E97" w:rsidRPr="0054775B" w:rsidRDefault="00DD3E97">
            <w:pPr>
              <w:pStyle w:val="2024TABLETEXT"/>
              <w:framePr w:hSpace="0" w:wrap="auto" w:vAnchor="margin" w:yAlign="inline"/>
              <w:ind w:left="370"/>
              <w:suppressOverlap w:val="0"/>
            </w:pPr>
            <w:r w:rsidRPr="0054775B">
              <w:rPr>
                <w:b/>
                <w:bCs/>
              </w:rPr>
              <w:t>Follow up:</w:t>
            </w:r>
            <w:r w:rsidRPr="0054775B">
              <w:t xml:space="preserve"> 12 weeks</w:t>
            </w:r>
          </w:p>
        </w:tc>
        <w:tc>
          <w:tcPr>
            <w:tcW w:w="445" w:type="pct"/>
            <w:tcBorders>
              <w:top w:val="single" w:sz="6" w:space="0" w:color="000000"/>
              <w:left w:val="nil"/>
              <w:bottom w:val="single" w:sz="6" w:space="0" w:color="000000"/>
              <w:right w:val="nil"/>
            </w:tcBorders>
            <w:vAlign w:val="center"/>
          </w:tcPr>
          <w:p w14:paraId="2E510A00" w14:textId="77777777" w:rsidR="00DD3E97" w:rsidRPr="0054775B" w:rsidRDefault="00DD3E97">
            <w:pPr>
              <w:pStyle w:val="2024TABLETEXT"/>
              <w:framePr w:hSpace="0" w:wrap="auto" w:vAnchor="margin" w:yAlign="inline"/>
              <w:suppressOverlap w:val="0"/>
            </w:pPr>
            <w:r w:rsidRPr="0054775B">
              <w:t>Barić 2018</w:t>
            </w:r>
          </w:p>
        </w:tc>
        <w:tc>
          <w:tcPr>
            <w:tcW w:w="402" w:type="pct"/>
            <w:tcBorders>
              <w:top w:val="single" w:sz="6" w:space="0" w:color="000000"/>
              <w:left w:val="nil"/>
              <w:bottom w:val="single" w:sz="6" w:space="0" w:color="000000"/>
              <w:right w:val="nil"/>
            </w:tcBorders>
            <w:vAlign w:val="center"/>
          </w:tcPr>
          <w:p w14:paraId="656BD196" w14:textId="14BC100C" w:rsidR="00DD3E97" w:rsidRDefault="00DD3E97" w:rsidP="00F06D23">
            <w:pPr>
              <w:pStyle w:val="2024TABLETEXT"/>
              <w:framePr w:hSpace="0" w:wrap="auto" w:vAnchor="margin" w:yAlign="inline"/>
              <w:suppressOverlap w:val="0"/>
            </w:pPr>
            <w:r>
              <w:t>Difference in reduction in HAM-A score: –</w:t>
            </w:r>
            <w:r w:rsidRPr="00381C56">
              <w:t xml:space="preserve">1.7 </w:t>
            </w:r>
            <w:r>
              <w:t>(–</w:t>
            </w:r>
            <w:r w:rsidRPr="00381C56">
              <w:t>1.8</w:t>
            </w:r>
            <w:r>
              <w:t xml:space="preserve"> to</w:t>
            </w:r>
            <w:r w:rsidRPr="00381C56">
              <w:t xml:space="preserve"> </w:t>
            </w:r>
            <w:r>
              <w:t>–</w:t>
            </w:r>
            <w:r w:rsidRPr="00381C56">
              <w:t>1.6)</w:t>
            </w:r>
          </w:p>
        </w:tc>
        <w:tc>
          <w:tcPr>
            <w:tcW w:w="402" w:type="pct"/>
            <w:tcBorders>
              <w:top w:val="single" w:sz="6" w:space="0" w:color="000000"/>
              <w:left w:val="nil"/>
              <w:bottom w:val="single" w:sz="6" w:space="0" w:color="000000"/>
              <w:right w:val="nil"/>
            </w:tcBorders>
            <w:shd w:val="clear" w:color="auto" w:fill="auto"/>
            <w:vAlign w:val="center"/>
            <w:hideMark/>
          </w:tcPr>
          <w:p w14:paraId="5DB9605C" w14:textId="77777777" w:rsidR="00DD3E97" w:rsidRDefault="00DD3E97" w:rsidP="00DD3E97">
            <w:pPr>
              <w:pStyle w:val="2024TABLETEXT"/>
              <w:framePr w:hSpace="0" w:wrap="auto" w:vAnchor="margin" w:yAlign="inline"/>
              <w:suppressOverlap w:val="0"/>
            </w:pPr>
          </w:p>
          <w:p w14:paraId="6EE67CB6" w14:textId="19366818" w:rsidR="00DD3E97" w:rsidRPr="0054775B" w:rsidRDefault="00DD3E97" w:rsidP="00DD3E97">
            <w:pPr>
              <w:pStyle w:val="2024TABLETEXT"/>
              <w:framePr w:hSpace="0" w:wrap="auto" w:vAnchor="margin" w:yAlign="inline"/>
              <w:suppressOverlap w:val="0"/>
            </w:pPr>
            <w:r w:rsidRPr="0054775B">
              <w:t>RR = 1.41 (1.04</w:t>
            </w:r>
            <w:r>
              <w:t xml:space="preserve"> to</w:t>
            </w:r>
            <w:r w:rsidRPr="0054775B">
              <w:t xml:space="preserve"> 1.93)</w:t>
            </w:r>
            <w:r>
              <w:t>^</w:t>
            </w:r>
          </w:p>
        </w:tc>
        <w:tc>
          <w:tcPr>
            <w:tcW w:w="435" w:type="pct"/>
            <w:tcBorders>
              <w:top w:val="single" w:sz="6" w:space="0" w:color="000000"/>
              <w:left w:val="nil"/>
              <w:bottom w:val="single" w:sz="6" w:space="0" w:color="000000"/>
              <w:right w:val="nil"/>
            </w:tcBorders>
            <w:vAlign w:val="center"/>
            <w:hideMark/>
          </w:tcPr>
          <w:p w14:paraId="1B4B358D" w14:textId="4F4C6F67" w:rsidR="00DD3E97" w:rsidRPr="0054775B" w:rsidRDefault="00DD3E97">
            <w:pPr>
              <w:pStyle w:val="2024TABLETEXT"/>
              <w:framePr w:hSpace="0" w:wrap="auto" w:vAnchor="margin" w:yAlign="inline"/>
              <w:suppressOverlap w:val="0"/>
            </w:pPr>
            <w:r w:rsidRPr="0054775B">
              <w:t>264</w:t>
            </w:r>
            <w:r>
              <w:t xml:space="preserve"> </w:t>
            </w:r>
            <w:r w:rsidRPr="0054775B">
              <w:t>(1)</w:t>
            </w:r>
          </w:p>
        </w:tc>
        <w:tc>
          <w:tcPr>
            <w:tcW w:w="442" w:type="pct"/>
            <w:tcBorders>
              <w:top w:val="single" w:sz="6" w:space="0" w:color="000000"/>
              <w:left w:val="nil"/>
              <w:bottom w:val="single" w:sz="6" w:space="0" w:color="000000"/>
              <w:right w:val="nil"/>
            </w:tcBorders>
            <w:vAlign w:val="center"/>
            <w:hideMark/>
          </w:tcPr>
          <w:p w14:paraId="2F521733" w14:textId="060B45D7" w:rsidR="00DD3E97" w:rsidRPr="0054775B" w:rsidRDefault="00DD3E97">
            <w:pPr>
              <w:pStyle w:val="2024TABLETEXT"/>
              <w:framePr w:hSpace="0" w:wrap="auto" w:vAnchor="margin" w:yAlign="inline"/>
              <w:suppressOverlap w:val="0"/>
              <w:rPr>
                <w:rStyle w:val="FootnoteReference"/>
                <w:vertAlign w:val="baseline"/>
              </w:rPr>
            </w:pPr>
            <w:r w:rsidRPr="0054775B">
              <w:rPr>
                <w:rFonts w:ascii="Cambria Math" w:hAnsi="Cambria Math" w:cs="Cambria Math"/>
                <w:sz w:val="24"/>
                <w:szCs w:val="24"/>
              </w:rPr>
              <w:t>⨁⨁</w:t>
            </w:r>
            <w:r w:rsidRPr="0054775B">
              <w:rPr>
                <w:rFonts w:ascii="Segoe UI Symbol" w:hAnsi="Segoe UI Symbol" w:cs="Segoe UI Symbol"/>
              </w:rPr>
              <w:t>◯◯</w:t>
            </w:r>
            <w:r w:rsidRPr="0054775B">
              <w:br/>
              <w:t>LOW</w:t>
            </w:r>
            <w:r w:rsidRPr="0054775B">
              <w:rPr>
                <w:rStyle w:val="FootnoteReference"/>
              </w:rPr>
              <w:t xml:space="preserve"> </w:t>
            </w:r>
            <w:r w:rsidRPr="0054775B">
              <w:rPr>
                <w:vertAlign w:val="superscript"/>
              </w:rPr>
              <w:t>a</w:t>
            </w:r>
          </w:p>
        </w:tc>
        <w:tc>
          <w:tcPr>
            <w:tcW w:w="1292" w:type="pct"/>
            <w:tcBorders>
              <w:top w:val="single" w:sz="6" w:space="0" w:color="000000"/>
              <w:left w:val="nil"/>
              <w:bottom w:val="single" w:sz="6" w:space="0" w:color="000000"/>
              <w:right w:val="nil"/>
            </w:tcBorders>
            <w:vAlign w:val="center"/>
            <w:hideMark/>
          </w:tcPr>
          <w:p w14:paraId="7B50C31C" w14:textId="4C935987" w:rsidR="00DD3E97" w:rsidRPr="0054775B" w:rsidRDefault="00DD3E97">
            <w:pPr>
              <w:pStyle w:val="2024TABLETEXT"/>
              <w:framePr w:hSpace="0" w:wrap="auto" w:vAnchor="margin" w:yAlign="inline"/>
              <w:suppressOverlap w:val="0"/>
            </w:pPr>
            <w:r w:rsidRPr="0054775B">
              <w:t xml:space="preserve">Magnesium + naturopathy co-intervention may </w:t>
            </w:r>
            <w:r w:rsidR="00D85A76">
              <w:t>improve</w:t>
            </w:r>
            <w:r w:rsidRPr="0054775B">
              <w:t xml:space="preserve"> anxiety-related emotional functioning/mental health burden for anxiety.</w:t>
            </w:r>
          </w:p>
        </w:tc>
      </w:tr>
      <w:tr w:rsidR="00AD69EC" w:rsidRPr="0054775B" w14:paraId="6241BB4C" w14:textId="77777777" w:rsidTr="00B93FE1">
        <w:trPr>
          <w:cantSplit/>
        </w:trPr>
        <w:tc>
          <w:tcPr>
            <w:tcW w:w="298" w:type="pct"/>
            <w:tcBorders>
              <w:top w:val="single" w:sz="6" w:space="0" w:color="000000"/>
              <w:left w:val="nil"/>
              <w:bottom w:val="single" w:sz="6" w:space="0" w:color="000000"/>
              <w:right w:val="nil"/>
            </w:tcBorders>
            <w:vAlign w:val="center"/>
          </w:tcPr>
          <w:p w14:paraId="6C3AC439" w14:textId="77777777" w:rsidR="00DD3E97" w:rsidRPr="0054775B" w:rsidRDefault="00DD3E97">
            <w:pPr>
              <w:pStyle w:val="2024TABLETEXT"/>
              <w:framePr w:hSpace="0" w:wrap="auto" w:vAnchor="margin" w:yAlign="inline"/>
              <w:suppressOverlap w:val="0"/>
            </w:pPr>
            <w:r w:rsidRPr="0054775B">
              <w:t>9</w:t>
            </w:r>
          </w:p>
        </w:tc>
        <w:tc>
          <w:tcPr>
            <w:tcW w:w="1284" w:type="pct"/>
            <w:tcBorders>
              <w:top w:val="single" w:sz="6" w:space="0" w:color="000000"/>
              <w:left w:val="nil"/>
              <w:bottom w:val="single" w:sz="6" w:space="0" w:color="000000"/>
              <w:right w:val="nil"/>
            </w:tcBorders>
            <w:vAlign w:val="center"/>
          </w:tcPr>
          <w:p w14:paraId="2586BE16" w14:textId="77777777" w:rsidR="00DD3E97" w:rsidRPr="0054775B" w:rsidRDefault="00DD3E97">
            <w:pPr>
              <w:pStyle w:val="2024TABLETEXT"/>
              <w:framePr w:hSpace="0" w:wrap="auto" w:vAnchor="margin" w:yAlign="inline"/>
              <w:suppressOverlap w:val="0"/>
              <w:rPr>
                <w:b/>
                <w:bCs/>
              </w:rPr>
            </w:pPr>
            <w:r w:rsidRPr="0054775B">
              <w:rPr>
                <w:b/>
                <w:bCs/>
              </w:rPr>
              <w:t>Physical function burden from anxiety</w:t>
            </w:r>
          </w:p>
        </w:tc>
        <w:tc>
          <w:tcPr>
            <w:tcW w:w="445" w:type="pct"/>
            <w:tcBorders>
              <w:top w:val="single" w:sz="6" w:space="0" w:color="000000"/>
              <w:left w:val="nil"/>
              <w:bottom w:val="single" w:sz="6" w:space="0" w:color="000000"/>
              <w:right w:val="nil"/>
            </w:tcBorders>
            <w:vAlign w:val="center"/>
          </w:tcPr>
          <w:p w14:paraId="3D3723BD" w14:textId="77777777" w:rsidR="00DD3E97" w:rsidRPr="0054775B" w:rsidRDefault="00DD3E97">
            <w:pPr>
              <w:pStyle w:val="2024TABLETEXT"/>
              <w:framePr w:hSpace="0" w:wrap="auto" w:vAnchor="margin" w:yAlign="inline"/>
              <w:suppressOverlap w:val="0"/>
            </w:pPr>
            <w:r w:rsidRPr="0054775B">
              <w:t>-</w:t>
            </w:r>
          </w:p>
        </w:tc>
        <w:tc>
          <w:tcPr>
            <w:tcW w:w="402" w:type="pct"/>
            <w:tcBorders>
              <w:top w:val="single" w:sz="6" w:space="0" w:color="000000"/>
              <w:left w:val="nil"/>
              <w:bottom w:val="single" w:sz="6" w:space="0" w:color="000000"/>
              <w:right w:val="nil"/>
            </w:tcBorders>
          </w:tcPr>
          <w:p w14:paraId="07C5B5EA" w14:textId="77777777" w:rsidR="00DD3E97" w:rsidRPr="0054775B" w:rsidRDefault="00DD3E97">
            <w:pPr>
              <w:pStyle w:val="2024TABLETEXT"/>
              <w:framePr w:hSpace="0" w:wrap="auto" w:vAnchor="margin" w:yAlign="inline"/>
              <w:suppressOverlap w:val="0"/>
            </w:pPr>
          </w:p>
        </w:tc>
        <w:tc>
          <w:tcPr>
            <w:tcW w:w="402" w:type="pct"/>
            <w:tcBorders>
              <w:top w:val="single" w:sz="6" w:space="0" w:color="000000"/>
              <w:left w:val="nil"/>
              <w:bottom w:val="single" w:sz="6" w:space="0" w:color="000000"/>
              <w:right w:val="nil"/>
            </w:tcBorders>
            <w:shd w:val="clear" w:color="auto" w:fill="auto"/>
            <w:vAlign w:val="center"/>
          </w:tcPr>
          <w:p w14:paraId="0762EA06" w14:textId="4B5144B5" w:rsidR="00DD3E97" w:rsidRPr="0054775B" w:rsidRDefault="00DD3E97">
            <w:pPr>
              <w:pStyle w:val="2024TABLETEXT"/>
              <w:framePr w:hSpace="0" w:wrap="auto" w:vAnchor="margin" w:yAlign="inline"/>
              <w:suppressOverlap w:val="0"/>
            </w:pPr>
            <w:r w:rsidRPr="0054775B">
              <w:t>-</w:t>
            </w:r>
          </w:p>
        </w:tc>
        <w:tc>
          <w:tcPr>
            <w:tcW w:w="435" w:type="pct"/>
            <w:tcBorders>
              <w:top w:val="single" w:sz="6" w:space="0" w:color="000000"/>
              <w:left w:val="nil"/>
              <w:bottom w:val="single" w:sz="6" w:space="0" w:color="000000"/>
              <w:right w:val="nil"/>
            </w:tcBorders>
            <w:vAlign w:val="center"/>
          </w:tcPr>
          <w:p w14:paraId="78B88BEB" w14:textId="77777777" w:rsidR="00DD3E97" w:rsidRPr="0054775B" w:rsidRDefault="00DD3E97">
            <w:pPr>
              <w:pStyle w:val="2024TABLETEXT"/>
              <w:framePr w:hSpace="0" w:wrap="auto" w:vAnchor="margin" w:yAlign="inline"/>
              <w:suppressOverlap w:val="0"/>
            </w:pPr>
            <w:r w:rsidRPr="0054775B">
              <w:t>-</w:t>
            </w:r>
          </w:p>
        </w:tc>
        <w:tc>
          <w:tcPr>
            <w:tcW w:w="442" w:type="pct"/>
            <w:tcBorders>
              <w:top w:val="single" w:sz="6" w:space="0" w:color="000000"/>
              <w:left w:val="nil"/>
              <w:bottom w:val="single" w:sz="6" w:space="0" w:color="000000"/>
              <w:right w:val="nil"/>
            </w:tcBorders>
            <w:vAlign w:val="center"/>
          </w:tcPr>
          <w:p w14:paraId="5ADCA8DC" w14:textId="77777777" w:rsidR="00DD3E97" w:rsidRPr="0054775B" w:rsidRDefault="00DD3E97">
            <w:pPr>
              <w:pStyle w:val="2024TABLETEXT"/>
              <w:framePr w:hSpace="0" w:wrap="auto" w:vAnchor="margin" w:yAlign="inline"/>
              <w:suppressOverlap w:val="0"/>
            </w:pPr>
            <w:r w:rsidRPr="0054775B">
              <w:t>-</w:t>
            </w:r>
          </w:p>
        </w:tc>
        <w:tc>
          <w:tcPr>
            <w:tcW w:w="1292" w:type="pct"/>
            <w:tcBorders>
              <w:top w:val="single" w:sz="6" w:space="0" w:color="000000"/>
              <w:left w:val="nil"/>
              <w:bottom w:val="single" w:sz="6" w:space="0" w:color="000000"/>
              <w:right w:val="nil"/>
            </w:tcBorders>
            <w:vAlign w:val="center"/>
          </w:tcPr>
          <w:p w14:paraId="5E46EEBD" w14:textId="41C11246" w:rsidR="00DD3E97" w:rsidRPr="0054775B" w:rsidRDefault="00DD3E97">
            <w:pPr>
              <w:pStyle w:val="2024TABLETEXT"/>
              <w:framePr w:hSpace="0" w:wrap="auto" w:vAnchor="margin" w:yAlign="inline"/>
              <w:suppressOverlap w:val="0"/>
            </w:pPr>
            <w:r w:rsidRPr="0054775B">
              <w:t xml:space="preserve">No </w:t>
            </w:r>
            <w:r>
              <w:t>reviews</w:t>
            </w:r>
            <w:r w:rsidRPr="0054775B">
              <w:t xml:space="preserve"> found. The effect of magnesium on improvement in physical function burden from anxiety for anxiety is unknown.</w:t>
            </w:r>
          </w:p>
        </w:tc>
      </w:tr>
      <w:tr w:rsidR="00AD69EC" w:rsidRPr="0054775B" w14:paraId="190B1602" w14:textId="77777777" w:rsidTr="00B93FE1">
        <w:trPr>
          <w:cantSplit/>
          <w:trHeight w:val="559"/>
        </w:trPr>
        <w:tc>
          <w:tcPr>
            <w:tcW w:w="298" w:type="pct"/>
            <w:tcBorders>
              <w:top w:val="single" w:sz="6" w:space="0" w:color="000000"/>
              <w:left w:val="nil"/>
              <w:bottom w:val="single" w:sz="6" w:space="0" w:color="000000"/>
              <w:right w:val="nil"/>
            </w:tcBorders>
            <w:vAlign w:val="center"/>
          </w:tcPr>
          <w:p w14:paraId="0EBB4F5E" w14:textId="77777777" w:rsidR="00DD3E97" w:rsidRPr="0054775B" w:rsidRDefault="00DD3E97">
            <w:pPr>
              <w:pStyle w:val="2024TABLETEXT"/>
              <w:framePr w:hSpace="0" w:wrap="auto" w:vAnchor="margin" w:yAlign="inline"/>
              <w:suppressOverlap w:val="0"/>
            </w:pPr>
            <w:r w:rsidRPr="0054775B">
              <w:t>9</w:t>
            </w:r>
          </w:p>
        </w:tc>
        <w:tc>
          <w:tcPr>
            <w:tcW w:w="1284" w:type="pct"/>
            <w:tcBorders>
              <w:top w:val="single" w:sz="6" w:space="0" w:color="000000"/>
              <w:left w:val="nil"/>
              <w:bottom w:val="single" w:sz="6" w:space="0" w:color="000000"/>
              <w:right w:val="nil"/>
            </w:tcBorders>
            <w:vAlign w:val="center"/>
          </w:tcPr>
          <w:p w14:paraId="42E08D2F" w14:textId="77777777" w:rsidR="00DD3E97" w:rsidRPr="0054775B" w:rsidRDefault="00DD3E97">
            <w:pPr>
              <w:pStyle w:val="2024TABLETEXT"/>
              <w:framePr w:hSpace="0" w:wrap="auto" w:vAnchor="margin" w:yAlign="inline"/>
              <w:suppressOverlap w:val="0"/>
              <w:rPr>
                <w:b/>
                <w:bCs/>
              </w:rPr>
            </w:pPr>
            <w:r w:rsidRPr="0054775B">
              <w:rPr>
                <w:b/>
                <w:bCs/>
              </w:rPr>
              <w:t>Improvement in clinical levels of anxiety</w:t>
            </w:r>
          </w:p>
        </w:tc>
        <w:tc>
          <w:tcPr>
            <w:tcW w:w="445" w:type="pct"/>
            <w:tcBorders>
              <w:top w:val="single" w:sz="6" w:space="0" w:color="000000"/>
              <w:left w:val="nil"/>
              <w:bottom w:val="single" w:sz="6" w:space="0" w:color="000000"/>
              <w:right w:val="nil"/>
            </w:tcBorders>
            <w:vAlign w:val="center"/>
          </w:tcPr>
          <w:p w14:paraId="3B951B37" w14:textId="77777777" w:rsidR="00DD3E97" w:rsidRPr="0054775B" w:rsidRDefault="00DD3E97">
            <w:pPr>
              <w:pStyle w:val="2024TABLETEXT"/>
              <w:framePr w:hSpace="0" w:wrap="auto" w:vAnchor="margin" w:yAlign="inline"/>
              <w:suppressOverlap w:val="0"/>
            </w:pPr>
            <w:r w:rsidRPr="0054775B">
              <w:t>-</w:t>
            </w:r>
          </w:p>
        </w:tc>
        <w:tc>
          <w:tcPr>
            <w:tcW w:w="402" w:type="pct"/>
            <w:tcBorders>
              <w:top w:val="single" w:sz="6" w:space="0" w:color="000000"/>
              <w:left w:val="nil"/>
              <w:bottom w:val="single" w:sz="6" w:space="0" w:color="000000"/>
              <w:right w:val="nil"/>
            </w:tcBorders>
          </w:tcPr>
          <w:p w14:paraId="204C91C1" w14:textId="77777777" w:rsidR="00DD3E97" w:rsidRPr="0054775B" w:rsidRDefault="00DD3E97">
            <w:pPr>
              <w:pStyle w:val="2024TABLETEXT"/>
              <w:framePr w:hSpace="0" w:wrap="auto" w:vAnchor="margin" w:yAlign="inline"/>
              <w:suppressOverlap w:val="0"/>
            </w:pPr>
          </w:p>
        </w:tc>
        <w:tc>
          <w:tcPr>
            <w:tcW w:w="402" w:type="pct"/>
            <w:tcBorders>
              <w:top w:val="single" w:sz="6" w:space="0" w:color="000000"/>
              <w:left w:val="nil"/>
              <w:bottom w:val="single" w:sz="6" w:space="0" w:color="000000"/>
              <w:right w:val="nil"/>
            </w:tcBorders>
            <w:shd w:val="clear" w:color="auto" w:fill="auto"/>
            <w:vAlign w:val="center"/>
          </w:tcPr>
          <w:p w14:paraId="6241F055" w14:textId="0F072614" w:rsidR="00DD3E97" w:rsidRPr="0054775B" w:rsidRDefault="00DD3E97">
            <w:pPr>
              <w:pStyle w:val="2024TABLETEXT"/>
              <w:framePr w:hSpace="0" w:wrap="auto" w:vAnchor="margin" w:yAlign="inline"/>
              <w:suppressOverlap w:val="0"/>
            </w:pPr>
            <w:r w:rsidRPr="0054775B">
              <w:t>-</w:t>
            </w:r>
          </w:p>
        </w:tc>
        <w:tc>
          <w:tcPr>
            <w:tcW w:w="435" w:type="pct"/>
            <w:tcBorders>
              <w:top w:val="single" w:sz="6" w:space="0" w:color="000000"/>
              <w:left w:val="nil"/>
              <w:bottom w:val="single" w:sz="6" w:space="0" w:color="000000"/>
              <w:right w:val="nil"/>
            </w:tcBorders>
            <w:vAlign w:val="center"/>
          </w:tcPr>
          <w:p w14:paraId="16ADE78A" w14:textId="77777777" w:rsidR="00DD3E97" w:rsidRPr="0054775B" w:rsidRDefault="00DD3E97">
            <w:pPr>
              <w:pStyle w:val="2024TABLETEXT"/>
              <w:framePr w:hSpace="0" w:wrap="auto" w:vAnchor="margin" w:yAlign="inline"/>
              <w:suppressOverlap w:val="0"/>
            </w:pPr>
            <w:r w:rsidRPr="0054775B">
              <w:t>-</w:t>
            </w:r>
          </w:p>
        </w:tc>
        <w:tc>
          <w:tcPr>
            <w:tcW w:w="442" w:type="pct"/>
            <w:tcBorders>
              <w:top w:val="single" w:sz="6" w:space="0" w:color="000000"/>
              <w:left w:val="nil"/>
              <w:bottom w:val="single" w:sz="6" w:space="0" w:color="000000"/>
              <w:right w:val="nil"/>
            </w:tcBorders>
            <w:vAlign w:val="center"/>
          </w:tcPr>
          <w:p w14:paraId="289859DF" w14:textId="77777777" w:rsidR="00DD3E97" w:rsidRPr="0054775B" w:rsidRDefault="00DD3E97">
            <w:pPr>
              <w:pStyle w:val="2024TABLETEXT"/>
              <w:framePr w:hSpace="0" w:wrap="auto" w:vAnchor="margin" w:yAlign="inline"/>
              <w:suppressOverlap w:val="0"/>
            </w:pPr>
            <w:r w:rsidRPr="0054775B">
              <w:t>-</w:t>
            </w:r>
          </w:p>
        </w:tc>
        <w:tc>
          <w:tcPr>
            <w:tcW w:w="1292" w:type="pct"/>
            <w:tcBorders>
              <w:top w:val="single" w:sz="6" w:space="0" w:color="000000"/>
              <w:left w:val="nil"/>
              <w:bottom w:val="single" w:sz="6" w:space="0" w:color="000000"/>
              <w:right w:val="nil"/>
            </w:tcBorders>
            <w:vAlign w:val="center"/>
          </w:tcPr>
          <w:p w14:paraId="77BC9773" w14:textId="29A5C65E" w:rsidR="00DD3E97" w:rsidRPr="0054775B" w:rsidRDefault="00DD3E97">
            <w:pPr>
              <w:pStyle w:val="2024TABLETEXT"/>
              <w:framePr w:hSpace="0" w:wrap="auto" w:vAnchor="margin" w:yAlign="inline"/>
              <w:suppressOverlap w:val="0"/>
            </w:pPr>
            <w:r w:rsidRPr="0054775B">
              <w:t>No</w:t>
            </w:r>
            <w:r w:rsidRPr="0054775B" w:rsidDel="007B6DF8">
              <w:t xml:space="preserve"> </w:t>
            </w:r>
            <w:r>
              <w:t>reviews</w:t>
            </w:r>
            <w:r w:rsidRPr="0054775B">
              <w:t xml:space="preserve"> found. The effect of magnesium on improvement in clinical levels of anxiety for anxiety is unknown.</w:t>
            </w:r>
          </w:p>
        </w:tc>
      </w:tr>
      <w:tr w:rsidR="00AD69EC" w:rsidRPr="0054775B" w14:paraId="2EF354E9" w14:textId="77777777" w:rsidTr="00B93FE1">
        <w:trPr>
          <w:cantSplit/>
        </w:trPr>
        <w:tc>
          <w:tcPr>
            <w:tcW w:w="298" w:type="pct"/>
            <w:tcBorders>
              <w:top w:val="single" w:sz="6" w:space="0" w:color="000000"/>
              <w:left w:val="nil"/>
              <w:bottom w:val="single" w:sz="6" w:space="0" w:color="000000"/>
              <w:right w:val="nil"/>
            </w:tcBorders>
            <w:vAlign w:val="center"/>
          </w:tcPr>
          <w:p w14:paraId="59580E89" w14:textId="77777777" w:rsidR="00DD3E97" w:rsidRPr="0054775B" w:rsidRDefault="00DD3E97">
            <w:pPr>
              <w:pStyle w:val="2024TABLETEXT"/>
              <w:framePr w:hSpace="0" w:wrap="auto" w:vAnchor="margin" w:yAlign="inline"/>
              <w:suppressOverlap w:val="0"/>
            </w:pPr>
            <w:r w:rsidRPr="0054775B">
              <w:t>8</w:t>
            </w:r>
          </w:p>
        </w:tc>
        <w:tc>
          <w:tcPr>
            <w:tcW w:w="1284" w:type="pct"/>
            <w:tcBorders>
              <w:top w:val="single" w:sz="6" w:space="0" w:color="000000"/>
              <w:left w:val="nil"/>
              <w:bottom w:val="single" w:sz="6" w:space="0" w:color="000000"/>
              <w:right w:val="nil"/>
            </w:tcBorders>
            <w:vAlign w:val="center"/>
          </w:tcPr>
          <w:p w14:paraId="2232865F" w14:textId="77777777" w:rsidR="00DD3E97" w:rsidRPr="0054775B" w:rsidRDefault="00DD3E97">
            <w:pPr>
              <w:pStyle w:val="2024TABLETEXT"/>
              <w:framePr w:hSpace="0" w:wrap="auto" w:vAnchor="margin" w:yAlign="inline"/>
              <w:suppressOverlap w:val="0"/>
              <w:rPr>
                <w:b/>
                <w:bCs/>
              </w:rPr>
            </w:pPr>
            <w:r w:rsidRPr="0054775B">
              <w:rPr>
                <w:b/>
                <w:bCs/>
              </w:rPr>
              <w:t>Depression-related emotional functioning/mental health burden</w:t>
            </w:r>
          </w:p>
        </w:tc>
        <w:tc>
          <w:tcPr>
            <w:tcW w:w="445" w:type="pct"/>
            <w:tcBorders>
              <w:top w:val="single" w:sz="6" w:space="0" w:color="000000"/>
              <w:left w:val="nil"/>
              <w:bottom w:val="single" w:sz="6" w:space="0" w:color="000000"/>
              <w:right w:val="nil"/>
            </w:tcBorders>
            <w:vAlign w:val="center"/>
          </w:tcPr>
          <w:p w14:paraId="0759B3DF" w14:textId="77777777" w:rsidR="00DD3E97" w:rsidRPr="0054775B" w:rsidRDefault="00DD3E97">
            <w:pPr>
              <w:pStyle w:val="2024TABLETEXT"/>
              <w:framePr w:hSpace="0" w:wrap="auto" w:vAnchor="margin" w:yAlign="inline"/>
              <w:suppressOverlap w:val="0"/>
            </w:pPr>
            <w:r w:rsidRPr="0054775B">
              <w:t>-</w:t>
            </w:r>
          </w:p>
        </w:tc>
        <w:tc>
          <w:tcPr>
            <w:tcW w:w="402" w:type="pct"/>
            <w:tcBorders>
              <w:top w:val="single" w:sz="6" w:space="0" w:color="000000"/>
              <w:left w:val="nil"/>
              <w:bottom w:val="single" w:sz="6" w:space="0" w:color="000000"/>
              <w:right w:val="nil"/>
            </w:tcBorders>
          </w:tcPr>
          <w:p w14:paraId="6DF4D493" w14:textId="77777777" w:rsidR="00DD3E97" w:rsidRPr="0054775B" w:rsidRDefault="00DD3E97">
            <w:pPr>
              <w:pStyle w:val="2024TABLETEXT"/>
              <w:framePr w:hSpace="0" w:wrap="auto" w:vAnchor="margin" w:yAlign="inline"/>
              <w:suppressOverlap w:val="0"/>
            </w:pPr>
          </w:p>
        </w:tc>
        <w:tc>
          <w:tcPr>
            <w:tcW w:w="402" w:type="pct"/>
            <w:tcBorders>
              <w:top w:val="single" w:sz="6" w:space="0" w:color="000000"/>
              <w:left w:val="nil"/>
              <w:bottom w:val="single" w:sz="6" w:space="0" w:color="000000"/>
              <w:right w:val="nil"/>
            </w:tcBorders>
            <w:shd w:val="clear" w:color="auto" w:fill="auto"/>
            <w:vAlign w:val="center"/>
          </w:tcPr>
          <w:p w14:paraId="17561ED2" w14:textId="2D854D57" w:rsidR="00DD3E97" w:rsidRPr="0054775B" w:rsidRDefault="00DD3E97">
            <w:pPr>
              <w:pStyle w:val="2024TABLETEXT"/>
              <w:framePr w:hSpace="0" w:wrap="auto" w:vAnchor="margin" w:yAlign="inline"/>
              <w:suppressOverlap w:val="0"/>
            </w:pPr>
            <w:r w:rsidRPr="0054775B">
              <w:t>-</w:t>
            </w:r>
          </w:p>
        </w:tc>
        <w:tc>
          <w:tcPr>
            <w:tcW w:w="435" w:type="pct"/>
            <w:tcBorders>
              <w:top w:val="single" w:sz="6" w:space="0" w:color="000000"/>
              <w:left w:val="nil"/>
              <w:bottom w:val="single" w:sz="6" w:space="0" w:color="000000"/>
              <w:right w:val="nil"/>
            </w:tcBorders>
            <w:vAlign w:val="center"/>
          </w:tcPr>
          <w:p w14:paraId="5DE92997" w14:textId="77777777" w:rsidR="00DD3E97" w:rsidRPr="0054775B" w:rsidRDefault="00DD3E97">
            <w:pPr>
              <w:pStyle w:val="2024TABLETEXT"/>
              <w:framePr w:hSpace="0" w:wrap="auto" w:vAnchor="margin" w:yAlign="inline"/>
              <w:suppressOverlap w:val="0"/>
            </w:pPr>
            <w:r w:rsidRPr="0054775B">
              <w:t>-</w:t>
            </w:r>
          </w:p>
        </w:tc>
        <w:tc>
          <w:tcPr>
            <w:tcW w:w="442" w:type="pct"/>
            <w:tcBorders>
              <w:top w:val="single" w:sz="6" w:space="0" w:color="000000"/>
              <w:left w:val="nil"/>
              <w:bottom w:val="single" w:sz="6" w:space="0" w:color="000000"/>
              <w:right w:val="nil"/>
            </w:tcBorders>
            <w:vAlign w:val="center"/>
          </w:tcPr>
          <w:p w14:paraId="54ED74C0" w14:textId="77777777" w:rsidR="00DD3E97" w:rsidRPr="0054775B" w:rsidRDefault="00DD3E97">
            <w:pPr>
              <w:pStyle w:val="2024TABLETEXT"/>
              <w:framePr w:hSpace="0" w:wrap="auto" w:vAnchor="margin" w:yAlign="inline"/>
              <w:suppressOverlap w:val="0"/>
            </w:pPr>
            <w:r w:rsidRPr="0054775B">
              <w:t>-</w:t>
            </w:r>
          </w:p>
        </w:tc>
        <w:tc>
          <w:tcPr>
            <w:tcW w:w="1292" w:type="pct"/>
            <w:tcBorders>
              <w:top w:val="single" w:sz="6" w:space="0" w:color="000000"/>
              <w:left w:val="nil"/>
              <w:bottom w:val="single" w:sz="6" w:space="0" w:color="000000"/>
              <w:right w:val="nil"/>
            </w:tcBorders>
            <w:vAlign w:val="center"/>
          </w:tcPr>
          <w:p w14:paraId="34A4BCFF" w14:textId="02F2B436" w:rsidR="00DD3E97" w:rsidRPr="0054775B" w:rsidRDefault="00DD3E97">
            <w:pPr>
              <w:pStyle w:val="2024TABLETEXT"/>
              <w:framePr w:hSpace="0" w:wrap="auto" w:vAnchor="margin" w:yAlign="inline"/>
              <w:suppressOverlap w:val="0"/>
            </w:pPr>
            <w:r w:rsidRPr="0054775B">
              <w:t>No</w:t>
            </w:r>
            <w:r w:rsidRPr="0054775B" w:rsidDel="007B6DF8">
              <w:t xml:space="preserve"> </w:t>
            </w:r>
            <w:r>
              <w:t>reviews</w:t>
            </w:r>
            <w:r w:rsidRPr="0054775B">
              <w:t xml:space="preserve"> found. The effect of magnesium on improvement in depression-related emotional functioning/mental health burden for anxiety is unknown.</w:t>
            </w:r>
          </w:p>
        </w:tc>
      </w:tr>
      <w:tr w:rsidR="00AD69EC" w:rsidRPr="0054775B" w14:paraId="09289D77" w14:textId="77777777" w:rsidTr="00B93FE1">
        <w:trPr>
          <w:cantSplit/>
        </w:trPr>
        <w:tc>
          <w:tcPr>
            <w:tcW w:w="298" w:type="pct"/>
            <w:tcBorders>
              <w:top w:val="single" w:sz="6" w:space="0" w:color="000000"/>
              <w:left w:val="nil"/>
              <w:bottom w:val="single" w:sz="6" w:space="0" w:color="000000"/>
              <w:right w:val="nil"/>
            </w:tcBorders>
            <w:vAlign w:val="center"/>
          </w:tcPr>
          <w:p w14:paraId="480D330E" w14:textId="77777777" w:rsidR="00DD3E97" w:rsidRPr="0054775B" w:rsidRDefault="00DD3E97">
            <w:pPr>
              <w:pStyle w:val="2024TABLETEXT"/>
              <w:framePr w:hSpace="0" w:wrap="auto" w:vAnchor="margin" w:yAlign="inline"/>
              <w:suppressOverlap w:val="0"/>
            </w:pPr>
            <w:r w:rsidRPr="0054775B">
              <w:t>8</w:t>
            </w:r>
          </w:p>
        </w:tc>
        <w:tc>
          <w:tcPr>
            <w:tcW w:w="1284" w:type="pct"/>
            <w:tcBorders>
              <w:top w:val="single" w:sz="6" w:space="0" w:color="000000"/>
              <w:left w:val="nil"/>
              <w:bottom w:val="single" w:sz="6" w:space="0" w:color="000000"/>
              <w:right w:val="nil"/>
            </w:tcBorders>
            <w:vAlign w:val="center"/>
          </w:tcPr>
          <w:p w14:paraId="3D6C73B5" w14:textId="77777777" w:rsidR="00DD3E97" w:rsidRPr="0054775B" w:rsidRDefault="00DD3E97">
            <w:pPr>
              <w:pStyle w:val="2024TABLETEXT"/>
              <w:framePr w:hSpace="0" w:wrap="auto" w:vAnchor="margin" w:yAlign="inline"/>
              <w:suppressOverlap w:val="0"/>
              <w:rPr>
                <w:b/>
                <w:bCs/>
              </w:rPr>
            </w:pPr>
            <w:r w:rsidRPr="0054775B">
              <w:rPr>
                <w:b/>
                <w:bCs/>
              </w:rPr>
              <w:t>Stress-related emotional functioning/mental health burden</w:t>
            </w:r>
          </w:p>
        </w:tc>
        <w:tc>
          <w:tcPr>
            <w:tcW w:w="445" w:type="pct"/>
            <w:tcBorders>
              <w:top w:val="single" w:sz="6" w:space="0" w:color="000000"/>
              <w:left w:val="nil"/>
              <w:bottom w:val="single" w:sz="6" w:space="0" w:color="000000"/>
              <w:right w:val="nil"/>
            </w:tcBorders>
            <w:vAlign w:val="center"/>
          </w:tcPr>
          <w:p w14:paraId="049FB582" w14:textId="77777777" w:rsidR="00DD3E97" w:rsidRPr="0054775B" w:rsidRDefault="00DD3E97">
            <w:pPr>
              <w:pStyle w:val="2024TABLETEXT"/>
              <w:framePr w:hSpace="0" w:wrap="auto" w:vAnchor="margin" w:yAlign="inline"/>
              <w:suppressOverlap w:val="0"/>
            </w:pPr>
            <w:r w:rsidRPr="0054775B">
              <w:t>-</w:t>
            </w:r>
          </w:p>
        </w:tc>
        <w:tc>
          <w:tcPr>
            <w:tcW w:w="402" w:type="pct"/>
            <w:tcBorders>
              <w:top w:val="single" w:sz="6" w:space="0" w:color="000000"/>
              <w:left w:val="nil"/>
              <w:bottom w:val="single" w:sz="6" w:space="0" w:color="000000"/>
              <w:right w:val="nil"/>
            </w:tcBorders>
          </w:tcPr>
          <w:p w14:paraId="177C39EB" w14:textId="77777777" w:rsidR="00DD3E97" w:rsidRPr="0054775B" w:rsidRDefault="00DD3E97">
            <w:pPr>
              <w:pStyle w:val="2024TABLETEXT"/>
              <w:framePr w:hSpace="0" w:wrap="auto" w:vAnchor="margin" w:yAlign="inline"/>
              <w:suppressOverlap w:val="0"/>
            </w:pPr>
          </w:p>
        </w:tc>
        <w:tc>
          <w:tcPr>
            <w:tcW w:w="402" w:type="pct"/>
            <w:tcBorders>
              <w:top w:val="single" w:sz="6" w:space="0" w:color="000000"/>
              <w:left w:val="nil"/>
              <w:bottom w:val="single" w:sz="6" w:space="0" w:color="000000"/>
              <w:right w:val="nil"/>
            </w:tcBorders>
            <w:shd w:val="clear" w:color="auto" w:fill="auto"/>
            <w:vAlign w:val="center"/>
          </w:tcPr>
          <w:p w14:paraId="7E02EC07" w14:textId="77DA9467" w:rsidR="00DD3E97" w:rsidRPr="0054775B" w:rsidRDefault="00DD3E97">
            <w:pPr>
              <w:pStyle w:val="2024TABLETEXT"/>
              <w:framePr w:hSpace="0" w:wrap="auto" w:vAnchor="margin" w:yAlign="inline"/>
              <w:suppressOverlap w:val="0"/>
            </w:pPr>
            <w:r w:rsidRPr="0054775B">
              <w:t>-</w:t>
            </w:r>
          </w:p>
        </w:tc>
        <w:tc>
          <w:tcPr>
            <w:tcW w:w="435" w:type="pct"/>
            <w:tcBorders>
              <w:top w:val="single" w:sz="6" w:space="0" w:color="000000"/>
              <w:left w:val="nil"/>
              <w:bottom w:val="single" w:sz="6" w:space="0" w:color="000000"/>
              <w:right w:val="nil"/>
            </w:tcBorders>
            <w:vAlign w:val="center"/>
          </w:tcPr>
          <w:p w14:paraId="5125C466" w14:textId="77777777" w:rsidR="00DD3E97" w:rsidRPr="0054775B" w:rsidRDefault="00DD3E97">
            <w:pPr>
              <w:pStyle w:val="2024TABLETEXT"/>
              <w:framePr w:hSpace="0" w:wrap="auto" w:vAnchor="margin" w:yAlign="inline"/>
              <w:suppressOverlap w:val="0"/>
            </w:pPr>
            <w:r w:rsidRPr="0054775B">
              <w:t>-</w:t>
            </w:r>
          </w:p>
        </w:tc>
        <w:tc>
          <w:tcPr>
            <w:tcW w:w="442" w:type="pct"/>
            <w:tcBorders>
              <w:top w:val="single" w:sz="6" w:space="0" w:color="000000"/>
              <w:left w:val="nil"/>
              <w:bottom w:val="single" w:sz="6" w:space="0" w:color="000000"/>
              <w:right w:val="nil"/>
            </w:tcBorders>
            <w:vAlign w:val="center"/>
          </w:tcPr>
          <w:p w14:paraId="30EC60A3" w14:textId="77777777" w:rsidR="00DD3E97" w:rsidRPr="0054775B" w:rsidRDefault="00DD3E97">
            <w:pPr>
              <w:pStyle w:val="2024TABLETEXT"/>
              <w:framePr w:hSpace="0" w:wrap="auto" w:vAnchor="margin" w:yAlign="inline"/>
              <w:suppressOverlap w:val="0"/>
            </w:pPr>
            <w:r w:rsidRPr="0054775B">
              <w:t>-</w:t>
            </w:r>
          </w:p>
        </w:tc>
        <w:tc>
          <w:tcPr>
            <w:tcW w:w="1292" w:type="pct"/>
            <w:tcBorders>
              <w:top w:val="single" w:sz="6" w:space="0" w:color="000000"/>
              <w:left w:val="nil"/>
              <w:bottom w:val="single" w:sz="6" w:space="0" w:color="000000"/>
              <w:right w:val="nil"/>
            </w:tcBorders>
            <w:vAlign w:val="center"/>
          </w:tcPr>
          <w:p w14:paraId="7744100C" w14:textId="60DA89F1" w:rsidR="00DD3E97" w:rsidRPr="0054775B" w:rsidRDefault="00DD3E97">
            <w:pPr>
              <w:pStyle w:val="2024TABLETEXT"/>
              <w:framePr w:hSpace="0" w:wrap="auto" w:vAnchor="margin" w:yAlign="inline"/>
              <w:suppressOverlap w:val="0"/>
            </w:pPr>
            <w:r w:rsidRPr="0054775B">
              <w:t>No</w:t>
            </w:r>
            <w:r w:rsidRPr="0054775B" w:rsidDel="007B6DF8">
              <w:t xml:space="preserve"> </w:t>
            </w:r>
            <w:r>
              <w:t>reviews</w:t>
            </w:r>
            <w:r w:rsidRPr="0054775B">
              <w:t xml:space="preserve"> found. The effect of magnesium on improvement in stress-related emotional functioning/mental health burden for anxiety is unknown.</w:t>
            </w:r>
          </w:p>
        </w:tc>
      </w:tr>
      <w:tr w:rsidR="00AD69EC" w:rsidRPr="0054775B" w14:paraId="42292D7C" w14:textId="77777777" w:rsidTr="00B93FE1">
        <w:trPr>
          <w:cantSplit/>
        </w:trPr>
        <w:tc>
          <w:tcPr>
            <w:tcW w:w="298" w:type="pct"/>
            <w:tcBorders>
              <w:top w:val="single" w:sz="6" w:space="0" w:color="000000"/>
              <w:left w:val="nil"/>
              <w:bottom w:val="single" w:sz="6" w:space="0" w:color="000000"/>
              <w:right w:val="nil"/>
            </w:tcBorders>
            <w:vAlign w:val="center"/>
          </w:tcPr>
          <w:p w14:paraId="762D9081" w14:textId="77777777" w:rsidR="00DD3E97" w:rsidRPr="0054775B" w:rsidRDefault="00DD3E97">
            <w:pPr>
              <w:pStyle w:val="2024TABLETEXT"/>
              <w:framePr w:hSpace="0" w:wrap="auto" w:vAnchor="margin" w:yAlign="inline"/>
              <w:suppressOverlap w:val="0"/>
            </w:pPr>
            <w:r w:rsidRPr="0054775B">
              <w:t>8</w:t>
            </w:r>
          </w:p>
        </w:tc>
        <w:tc>
          <w:tcPr>
            <w:tcW w:w="1284" w:type="pct"/>
            <w:tcBorders>
              <w:top w:val="single" w:sz="6" w:space="0" w:color="000000"/>
              <w:left w:val="nil"/>
              <w:bottom w:val="single" w:sz="6" w:space="0" w:color="000000"/>
              <w:right w:val="nil"/>
            </w:tcBorders>
            <w:vAlign w:val="center"/>
          </w:tcPr>
          <w:p w14:paraId="4D0DA07F" w14:textId="77777777" w:rsidR="00DD3E97" w:rsidRPr="0054775B" w:rsidRDefault="00DD3E97">
            <w:pPr>
              <w:pStyle w:val="2024TABLETEXT"/>
              <w:framePr w:hSpace="0" w:wrap="auto" w:vAnchor="margin" w:yAlign="inline"/>
              <w:suppressOverlap w:val="0"/>
              <w:rPr>
                <w:b/>
                <w:bCs/>
              </w:rPr>
            </w:pPr>
            <w:r w:rsidRPr="0054775B">
              <w:rPr>
                <w:b/>
                <w:bCs/>
              </w:rPr>
              <w:t>Physiological symptoms of anxiety (heart rate, BP, adrenaline, skin conductance, weight gain, weight loss, cortisol levels)</w:t>
            </w:r>
          </w:p>
        </w:tc>
        <w:tc>
          <w:tcPr>
            <w:tcW w:w="445" w:type="pct"/>
            <w:tcBorders>
              <w:top w:val="single" w:sz="6" w:space="0" w:color="000000"/>
              <w:left w:val="nil"/>
              <w:bottom w:val="single" w:sz="6" w:space="0" w:color="000000"/>
              <w:right w:val="nil"/>
            </w:tcBorders>
            <w:vAlign w:val="center"/>
          </w:tcPr>
          <w:p w14:paraId="1ED2F6BD" w14:textId="77777777" w:rsidR="00DD3E97" w:rsidRPr="0054775B" w:rsidRDefault="00DD3E97">
            <w:pPr>
              <w:pStyle w:val="2024TABLETEXT"/>
              <w:framePr w:hSpace="0" w:wrap="auto" w:vAnchor="margin" w:yAlign="inline"/>
              <w:suppressOverlap w:val="0"/>
            </w:pPr>
            <w:r w:rsidRPr="0054775B">
              <w:t>-</w:t>
            </w:r>
          </w:p>
        </w:tc>
        <w:tc>
          <w:tcPr>
            <w:tcW w:w="402" w:type="pct"/>
            <w:tcBorders>
              <w:top w:val="single" w:sz="6" w:space="0" w:color="000000"/>
              <w:left w:val="nil"/>
              <w:bottom w:val="single" w:sz="6" w:space="0" w:color="000000"/>
              <w:right w:val="nil"/>
            </w:tcBorders>
          </w:tcPr>
          <w:p w14:paraId="20F267B5" w14:textId="77777777" w:rsidR="00DD3E97" w:rsidRPr="0054775B" w:rsidRDefault="00DD3E97">
            <w:pPr>
              <w:pStyle w:val="2024TABLETEXT"/>
              <w:framePr w:hSpace="0" w:wrap="auto" w:vAnchor="margin" w:yAlign="inline"/>
              <w:suppressOverlap w:val="0"/>
            </w:pPr>
          </w:p>
        </w:tc>
        <w:tc>
          <w:tcPr>
            <w:tcW w:w="402" w:type="pct"/>
            <w:tcBorders>
              <w:top w:val="single" w:sz="6" w:space="0" w:color="000000"/>
              <w:left w:val="nil"/>
              <w:bottom w:val="single" w:sz="6" w:space="0" w:color="000000"/>
              <w:right w:val="nil"/>
            </w:tcBorders>
            <w:shd w:val="clear" w:color="auto" w:fill="auto"/>
            <w:vAlign w:val="center"/>
          </w:tcPr>
          <w:p w14:paraId="1E5078E5" w14:textId="574C30A1" w:rsidR="00DD3E97" w:rsidRPr="0054775B" w:rsidRDefault="00DD3E97">
            <w:pPr>
              <w:pStyle w:val="2024TABLETEXT"/>
              <w:framePr w:hSpace="0" w:wrap="auto" w:vAnchor="margin" w:yAlign="inline"/>
              <w:suppressOverlap w:val="0"/>
            </w:pPr>
            <w:r w:rsidRPr="0054775B">
              <w:t>-</w:t>
            </w:r>
          </w:p>
        </w:tc>
        <w:tc>
          <w:tcPr>
            <w:tcW w:w="435" w:type="pct"/>
            <w:tcBorders>
              <w:top w:val="single" w:sz="6" w:space="0" w:color="000000"/>
              <w:left w:val="nil"/>
              <w:bottom w:val="single" w:sz="6" w:space="0" w:color="000000"/>
              <w:right w:val="nil"/>
            </w:tcBorders>
            <w:vAlign w:val="center"/>
          </w:tcPr>
          <w:p w14:paraId="103AA091" w14:textId="77777777" w:rsidR="00DD3E97" w:rsidRPr="0054775B" w:rsidRDefault="00DD3E97">
            <w:pPr>
              <w:pStyle w:val="2024TABLETEXT"/>
              <w:framePr w:hSpace="0" w:wrap="auto" w:vAnchor="margin" w:yAlign="inline"/>
              <w:suppressOverlap w:val="0"/>
            </w:pPr>
            <w:r w:rsidRPr="0054775B">
              <w:t>-</w:t>
            </w:r>
          </w:p>
        </w:tc>
        <w:tc>
          <w:tcPr>
            <w:tcW w:w="442" w:type="pct"/>
            <w:tcBorders>
              <w:top w:val="single" w:sz="6" w:space="0" w:color="000000"/>
              <w:left w:val="nil"/>
              <w:bottom w:val="single" w:sz="6" w:space="0" w:color="000000"/>
              <w:right w:val="nil"/>
            </w:tcBorders>
            <w:vAlign w:val="center"/>
          </w:tcPr>
          <w:p w14:paraId="342E9712" w14:textId="77777777" w:rsidR="00DD3E97" w:rsidRPr="0054775B" w:rsidRDefault="00DD3E97">
            <w:pPr>
              <w:pStyle w:val="2024TABLETEXT"/>
              <w:framePr w:hSpace="0" w:wrap="auto" w:vAnchor="margin" w:yAlign="inline"/>
              <w:suppressOverlap w:val="0"/>
            </w:pPr>
            <w:r w:rsidRPr="0054775B">
              <w:t>-</w:t>
            </w:r>
          </w:p>
        </w:tc>
        <w:tc>
          <w:tcPr>
            <w:tcW w:w="1292" w:type="pct"/>
            <w:tcBorders>
              <w:top w:val="single" w:sz="6" w:space="0" w:color="000000"/>
              <w:left w:val="nil"/>
              <w:bottom w:val="single" w:sz="6" w:space="0" w:color="000000"/>
              <w:right w:val="nil"/>
            </w:tcBorders>
            <w:vAlign w:val="center"/>
          </w:tcPr>
          <w:p w14:paraId="7A665072" w14:textId="3F70D829" w:rsidR="00DD3E97" w:rsidRPr="0054775B" w:rsidRDefault="00DD3E97">
            <w:pPr>
              <w:pStyle w:val="2024TABLETEXT"/>
              <w:framePr w:hSpace="0" w:wrap="auto" w:vAnchor="margin" w:yAlign="inline"/>
              <w:suppressOverlap w:val="0"/>
            </w:pPr>
            <w:r w:rsidRPr="0054775B">
              <w:t>No</w:t>
            </w:r>
            <w:r w:rsidRPr="0054775B" w:rsidDel="007B6DF8">
              <w:t xml:space="preserve"> </w:t>
            </w:r>
            <w:r>
              <w:t>reviews</w:t>
            </w:r>
            <w:r w:rsidRPr="0054775B">
              <w:t xml:space="preserve"> found. The effect of magnesium on improvement in physiological symptoms of anxiety for anxiety is unknown.</w:t>
            </w:r>
          </w:p>
        </w:tc>
      </w:tr>
      <w:tr w:rsidR="00AD69EC" w:rsidRPr="0054775B" w14:paraId="75B0FDA3" w14:textId="77777777" w:rsidTr="00B93FE1">
        <w:trPr>
          <w:cantSplit/>
        </w:trPr>
        <w:tc>
          <w:tcPr>
            <w:tcW w:w="298" w:type="pct"/>
            <w:tcBorders>
              <w:top w:val="single" w:sz="6" w:space="0" w:color="000000"/>
              <w:left w:val="nil"/>
              <w:bottom w:val="single" w:sz="6" w:space="0" w:color="000000"/>
              <w:right w:val="nil"/>
            </w:tcBorders>
            <w:vAlign w:val="center"/>
          </w:tcPr>
          <w:p w14:paraId="40C2C27E" w14:textId="77777777" w:rsidR="00DD3E97" w:rsidRPr="0054775B" w:rsidRDefault="00DD3E97">
            <w:pPr>
              <w:pStyle w:val="2024TABLETEXT"/>
              <w:framePr w:hSpace="0" w:wrap="auto" w:vAnchor="margin" w:yAlign="inline"/>
              <w:suppressOverlap w:val="0"/>
            </w:pPr>
            <w:r w:rsidRPr="0054775B">
              <w:t>8</w:t>
            </w:r>
          </w:p>
        </w:tc>
        <w:tc>
          <w:tcPr>
            <w:tcW w:w="1284" w:type="pct"/>
            <w:tcBorders>
              <w:top w:val="single" w:sz="6" w:space="0" w:color="000000"/>
              <w:left w:val="nil"/>
              <w:bottom w:val="single" w:sz="6" w:space="0" w:color="000000"/>
              <w:right w:val="nil"/>
            </w:tcBorders>
            <w:vAlign w:val="center"/>
          </w:tcPr>
          <w:p w14:paraId="0AAC2A74" w14:textId="77777777" w:rsidR="00DD3E97" w:rsidRPr="0054775B" w:rsidRDefault="00DD3E97">
            <w:pPr>
              <w:pStyle w:val="2024TABLETEXT"/>
              <w:framePr w:hSpace="0" w:wrap="auto" w:vAnchor="margin" w:yAlign="inline"/>
              <w:suppressOverlap w:val="0"/>
              <w:rPr>
                <w:b/>
                <w:bCs/>
              </w:rPr>
            </w:pPr>
            <w:r w:rsidRPr="0054775B">
              <w:rPr>
                <w:b/>
                <w:bCs/>
              </w:rPr>
              <w:t>Health-related quality of life</w:t>
            </w:r>
          </w:p>
        </w:tc>
        <w:tc>
          <w:tcPr>
            <w:tcW w:w="445" w:type="pct"/>
            <w:tcBorders>
              <w:top w:val="single" w:sz="6" w:space="0" w:color="000000"/>
              <w:left w:val="nil"/>
              <w:bottom w:val="single" w:sz="6" w:space="0" w:color="000000"/>
              <w:right w:val="nil"/>
            </w:tcBorders>
            <w:vAlign w:val="center"/>
          </w:tcPr>
          <w:p w14:paraId="09E54CFB" w14:textId="77777777" w:rsidR="00DD3E97" w:rsidRPr="0054775B" w:rsidRDefault="00DD3E97">
            <w:pPr>
              <w:pStyle w:val="2024TABLETEXT"/>
              <w:framePr w:hSpace="0" w:wrap="auto" w:vAnchor="margin" w:yAlign="inline"/>
              <w:suppressOverlap w:val="0"/>
            </w:pPr>
            <w:r w:rsidRPr="0054775B">
              <w:t>-</w:t>
            </w:r>
          </w:p>
        </w:tc>
        <w:tc>
          <w:tcPr>
            <w:tcW w:w="402" w:type="pct"/>
            <w:tcBorders>
              <w:top w:val="single" w:sz="6" w:space="0" w:color="000000"/>
              <w:left w:val="nil"/>
              <w:bottom w:val="single" w:sz="6" w:space="0" w:color="000000"/>
              <w:right w:val="nil"/>
            </w:tcBorders>
          </w:tcPr>
          <w:p w14:paraId="7B87775C" w14:textId="77777777" w:rsidR="00DD3E97" w:rsidRPr="0054775B" w:rsidRDefault="00DD3E97">
            <w:pPr>
              <w:pStyle w:val="2024TABLETEXT"/>
              <w:framePr w:hSpace="0" w:wrap="auto" w:vAnchor="margin" w:yAlign="inline"/>
              <w:suppressOverlap w:val="0"/>
            </w:pPr>
          </w:p>
        </w:tc>
        <w:tc>
          <w:tcPr>
            <w:tcW w:w="402" w:type="pct"/>
            <w:tcBorders>
              <w:top w:val="single" w:sz="6" w:space="0" w:color="000000"/>
              <w:left w:val="nil"/>
              <w:bottom w:val="single" w:sz="6" w:space="0" w:color="000000"/>
              <w:right w:val="nil"/>
            </w:tcBorders>
            <w:shd w:val="clear" w:color="auto" w:fill="auto"/>
            <w:vAlign w:val="center"/>
          </w:tcPr>
          <w:p w14:paraId="3CC6EC6F" w14:textId="7DC7F824" w:rsidR="00DD3E97" w:rsidRPr="0054775B" w:rsidRDefault="00DD3E97">
            <w:pPr>
              <w:pStyle w:val="2024TABLETEXT"/>
              <w:framePr w:hSpace="0" w:wrap="auto" w:vAnchor="margin" w:yAlign="inline"/>
              <w:suppressOverlap w:val="0"/>
            </w:pPr>
            <w:r w:rsidRPr="0054775B">
              <w:t>-</w:t>
            </w:r>
          </w:p>
        </w:tc>
        <w:tc>
          <w:tcPr>
            <w:tcW w:w="435" w:type="pct"/>
            <w:tcBorders>
              <w:top w:val="single" w:sz="6" w:space="0" w:color="000000"/>
              <w:left w:val="nil"/>
              <w:bottom w:val="single" w:sz="6" w:space="0" w:color="000000"/>
              <w:right w:val="nil"/>
            </w:tcBorders>
            <w:vAlign w:val="center"/>
          </w:tcPr>
          <w:p w14:paraId="36694175" w14:textId="77777777" w:rsidR="00DD3E97" w:rsidRPr="0054775B" w:rsidRDefault="00DD3E97">
            <w:pPr>
              <w:pStyle w:val="2024TABLETEXT"/>
              <w:framePr w:hSpace="0" w:wrap="auto" w:vAnchor="margin" w:yAlign="inline"/>
              <w:suppressOverlap w:val="0"/>
            </w:pPr>
            <w:r w:rsidRPr="0054775B">
              <w:t>-</w:t>
            </w:r>
          </w:p>
        </w:tc>
        <w:tc>
          <w:tcPr>
            <w:tcW w:w="442" w:type="pct"/>
            <w:tcBorders>
              <w:top w:val="single" w:sz="6" w:space="0" w:color="000000"/>
              <w:left w:val="nil"/>
              <w:bottom w:val="single" w:sz="6" w:space="0" w:color="000000"/>
              <w:right w:val="nil"/>
            </w:tcBorders>
            <w:vAlign w:val="center"/>
          </w:tcPr>
          <w:p w14:paraId="7F00E4E4" w14:textId="77777777" w:rsidR="00DD3E97" w:rsidRPr="0054775B" w:rsidRDefault="00DD3E97">
            <w:pPr>
              <w:pStyle w:val="2024TABLETEXT"/>
              <w:framePr w:hSpace="0" w:wrap="auto" w:vAnchor="margin" w:yAlign="inline"/>
              <w:suppressOverlap w:val="0"/>
            </w:pPr>
            <w:r w:rsidRPr="0054775B">
              <w:t>-</w:t>
            </w:r>
          </w:p>
        </w:tc>
        <w:tc>
          <w:tcPr>
            <w:tcW w:w="1292" w:type="pct"/>
            <w:tcBorders>
              <w:top w:val="single" w:sz="6" w:space="0" w:color="000000"/>
              <w:left w:val="nil"/>
              <w:bottom w:val="single" w:sz="6" w:space="0" w:color="000000"/>
              <w:right w:val="nil"/>
            </w:tcBorders>
            <w:vAlign w:val="center"/>
          </w:tcPr>
          <w:p w14:paraId="6059F24A" w14:textId="4933185E" w:rsidR="00DD3E97" w:rsidRPr="0054775B" w:rsidRDefault="00DD3E97">
            <w:pPr>
              <w:pStyle w:val="2024TABLETEXT"/>
              <w:framePr w:hSpace="0" w:wrap="auto" w:vAnchor="margin" w:yAlign="inline"/>
              <w:suppressOverlap w:val="0"/>
            </w:pPr>
            <w:r w:rsidRPr="0054775B">
              <w:t>No</w:t>
            </w:r>
            <w:r w:rsidRPr="0054775B" w:rsidDel="007B6DF8">
              <w:t xml:space="preserve"> </w:t>
            </w:r>
            <w:r>
              <w:t>reviews</w:t>
            </w:r>
            <w:r w:rsidRPr="0054775B">
              <w:t xml:space="preserve"> found. The effect of magnesium on improvement in health-related quality of life for anxiety is unknown.</w:t>
            </w:r>
          </w:p>
        </w:tc>
      </w:tr>
      <w:tr w:rsidR="00DD3E97" w:rsidRPr="0054775B" w14:paraId="40E707B4" w14:textId="77777777" w:rsidTr="00A77DBB">
        <w:trPr>
          <w:cantSplit/>
          <w:trHeight w:val="50"/>
        </w:trPr>
        <w:tc>
          <w:tcPr>
            <w:tcW w:w="5000" w:type="pct"/>
            <w:gridSpan w:val="8"/>
            <w:tcBorders>
              <w:top w:val="single" w:sz="6" w:space="0" w:color="000000"/>
              <w:left w:val="nil"/>
              <w:bottom w:val="single" w:sz="6" w:space="0" w:color="000000"/>
              <w:right w:val="nil"/>
            </w:tcBorders>
          </w:tcPr>
          <w:p w14:paraId="5110E232" w14:textId="77777777" w:rsidR="00BD21CA" w:rsidRPr="0054775B" w:rsidRDefault="00BD21CA" w:rsidP="00BD21CA">
            <w:pPr>
              <w:pStyle w:val="2024TABLEFOOTER"/>
            </w:pPr>
            <w:r w:rsidRPr="0054775B">
              <w:t>*Ratings 1-3 = of limited importance to decision making; 4-6 = important, but not critical, to decision making; 7-9 = critical for decision-making</w:t>
            </w:r>
            <w:r>
              <w:t>.</w:t>
            </w:r>
          </w:p>
          <w:p w14:paraId="50684F82" w14:textId="7F613CF6" w:rsidR="00DD3E97" w:rsidRPr="0054775B" w:rsidRDefault="00DD3E97" w:rsidP="00674D92">
            <w:pPr>
              <w:pStyle w:val="2024TABLEFOOTER"/>
            </w:pPr>
            <w:r w:rsidRPr="0054775B">
              <w:t>^</w:t>
            </w:r>
            <w:r>
              <w:t xml:space="preserve">There are no published MCID estimations for HAM-A. A 20% relative risk difference (i.e., risk ratio ≤ 0.8 or ≥ 1.2) was therefore considered as a minimal clinically important difference (MCID) </w:t>
            </w:r>
            <w:r w:rsidR="00A61385">
              <w:rPr>
                <w:noProof/>
              </w:rPr>
              <w:t>(23)</w:t>
            </w:r>
            <w:r>
              <w:t>.</w:t>
            </w:r>
            <w:r w:rsidR="005C1742">
              <w:t xml:space="preserve"> </w:t>
            </w:r>
          </w:p>
          <w:p w14:paraId="11AF641D" w14:textId="77777777" w:rsidR="00DD3E97" w:rsidRDefault="00DD3E97">
            <w:pPr>
              <w:pStyle w:val="2024TABLEFOOTER"/>
            </w:pPr>
          </w:p>
          <w:p w14:paraId="585E9E2D" w14:textId="7D0A5D6F" w:rsidR="00DD3E97" w:rsidRPr="0054775B" w:rsidRDefault="00DD3E97">
            <w:pPr>
              <w:pStyle w:val="2024TABLEFOOTER"/>
            </w:pPr>
            <w:r w:rsidRPr="0054775B">
              <w:t>Abbreviations: CI=Confidence Interval, GAD=generalised anxiety disorder, HAM-A=Hamilton Anxiety Scale, BP=blood pressure, EPDS=Edinburgh Postnatal Depression Scale, RR=risk ratio</w:t>
            </w:r>
          </w:p>
        </w:tc>
      </w:tr>
      <w:tr w:rsidR="00DD3E97" w:rsidRPr="0054775B" w14:paraId="1F9A18AE" w14:textId="77777777" w:rsidTr="00A77DBB">
        <w:trPr>
          <w:cantSplit/>
          <w:trHeight w:val="236"/>
        </w:trPr>
        <w:tc>
          <w:tcPr>
            <w:tcW w:w="5000" w:type="pct"/>
            <w:gridSpan w:val="8"/>
            <w:tcBorders>
              <w:top w:val="single" w:sz="6" w:space="0" w:color="000000"/>
              <w:left w:val="nil"/>
              <w:bottom w:val="single" w:sz="6" w:space="0" w:color="000000"/>
              <w:right w:val="nil"/>
            </w:tcBorders>
          </w:tcPr>
          <w:p w14:paraId="7A1F58AF" w14:textId="1646924C" w:rsidR="00DD3E97" w:rsidRPr="0054775B" w:rsidRDefault="00DD3E97">
            <w:pPr>
              <w:pStyle w:val="2024TABLEFOOTER"/>
            </w:pPr>
            <w:r w:rsidRPr="0054775B">
              <w:lastRenderedPageBreak/>
              <w:t>GRADE Working Group grades of evidence</w:t>
            </w:r>
            <w:r w:rsidRPr="0054775B">
              <w:br/>
            </w:r>
            <w:r w:rsidRPr="0054775B">
              <w:rPr>
                <w:b/>
              </w:rPr>
              <w:t>High certainty:</w:t>
            </w:r>
            <w:r w:rsidRPr="0054775B">
              <w:t xml:space="preserve"> we are very confident that the true effect lies close to that of the estimate of the effect.</w:t>
            </w:r>
            <w:r w:rsidRPr="0054775B">
              <w:br/>
            </w:r>
            <w:r w:rsidRPr="0054775B">
              <w:rPr>
                <w:b/>
              </w:rPr>
              <w:t>Moderate certainty:</w:t>
            </w:r>
            <w:r w:rsidRPr="0054775B">
              <w:t xml:space="preserve"> we are moderately confident in the effect estimate: the true effect is likely to be close to the estimate of the effect, but there is a possibility that it is substantially different.</w:t>
            </w:r>
            <w:r w:rsidRPr="0054775B">
              <w:br/>
            </w:r>
            <w:r w:rsidRPr="0054775B">
              <w:rPr>
                <w:b/>
              </w:rPr>
              <w:t>Low certainty:</w:t>
            </w:r>
            <w:r w:rsidRPr="0054775B">
              <w:t xml:space="preserve"> our confidence in the effect estimate is limited: the true effect may be substantially different from the estimate of the effect.</w:t>
            </w:r>
            <w:r w:rsidRPr="0054775B">
              <w:br/>
            </w:r>
            <w:r w:rsidRPr="0054775B">
              <w:rPr>
                <w:b/>
              </w:rPr>
              <w:t>Very low certainty:</w:t>
            </w:r>
            <w:r w:rsidRPr="0054775B">
              <w:t xml:space="preserve"> we have very little confidence in the effect estimate: the true effect is likely to be substantially different from the estimate of effect.</w:t>
            </w:r>
          </w:p>
        </w:tc>
      </w:tr>
      <w:tr w:rsidR="00DD3E97" w:rsidRPr="0054775B" w14:paraId="753BB88F" w14:textId="77777777" w:rsidTr="00A77DBB">
        <w:trPr>
          <w:cantSplit/>
          <w:trHeight w:val="236"/>
        </w:trPr>
        <w:tc>
          <w:tcPr>
            <w:tcW w:w="5000" w:type="pct"/>
            <w:gridSpan w:val="8"/>
            <w:tcBorders>
              <w:top w:val="single" w:sz="6" w:space="0" w:color="000000"/>
              <w:left w:val="nil"/>
              <w:bottom w:val="single" w:sz="6" w:space="0" w:color="000000"/>
              <w:right w:val="nil"/>
            </w:tcBorders>
          </w:tcPr>
          <w:p w14:paraId="75B17C49" w14:textId="3813BB2B" w:rsidR="00DD3E97" w:rsidRPr="0054775B" w:rsidRDefault="00DD3E97">
            <w:pPr>
              <w:pStyle w:val="2024TABLEFOOTER"/>
              <w:rPr>
                <w:b/>
              </w:rPr>
            </w:pPr>
            <w:r w:rsidRPr="0054775B">
              <w:rPr>
                <w:b/>
              </w:rPr>
              <w:t>Explanations</w:t>
            </w:r>
          </w:p>
          <w:p w14:paraId="34F9FBC0" w14:textId="669A1CAE" w:rsidR="00DD3E97" w:rsidRPr="0054775B" w:rsidRDefault="00DD3E97">
            <w:pPr>
              <w:pStyle w:val="2024TABLEFOOTER"/>
            </w:pPr>
            <w:r w:rsidRPr="0054775B">
              <w:t xml:space="preserve">a. </w:t>
            </w:r>
            <w:r w:rsidR="004847C8">
              <w:t xml:space="preserve"> Low risk of bias was rated by review authors (no change for risk of bias).</w:t>
            </w:r>
            <w:r w:rsidR="004847C8" w:rsidRPr="0054775B">
              <w:t xml:space="preserve"> </w:t>
            </w:r>
            <w:r w:rsidRPr="0054775B">
              <w:t xml:space="preserve">Population </w:t>
            </w:r>
            <w:r w:rsidR="002D7AC8">
              <w:t xml:space="preserve">in </w:t>
            </w:r>
            <w:r w:rsidRPr="0054775B">
              <w:t>the included review was restricted to GAD only</w:t>
            </w:r>
            <w:r>
              <w:t>, however given this is one of the most common anxiety disorders</w:t>
            </w:r>
            <w:r w:rsidR="002D7AC8">
              <w:t xml:space="preserve">, </w:t>
            </w:r>
            <w:r>
              <w:t>this is considered to directly address the population of interest</w:t>
            </w:r>
            <w:r w:rsidRPr="0054775B">
              <w:t xml:space="preserve"> (</w:t>
            </w:r>
            <w:r>
              <w:t>no change</w:t>
            </w:r>
            <w:r w:rsidRPr="0054775B">
              <w:t xml:space="preserve"> for indirectness). </w:t>
            </w:r>
            <w:r w:rsidR="0015316A">
              <w:t>CI</w:t>
            </w:r>
            <w:r w:rsidR="000E5585" w:rsidRPr="000E5585">
              <w:t xml:space="preserve"> boundaries suggest very different inferences</w:t>
            </w:r>
            <w:r w:rsidR="000E5585">
              <w:t xml:space="preserve"> </w:t>
            </w:r>
            <w:r w:rsidR="0015316A">
              <w:t xml:space="preserve">based on MCID (RR = 1.2) </w:t>
            </w:r>
            <w:r w:rsidRPr="0054775B">
              <w:t xml:space="preserve">(downgraded </w:t>
            </w:r>
            <w:r>
              <w:t>two</w:t>
            </w:r>
            <w:r w:rsidRPr="0054775B">
              <w:t xml:space="preserve"> for </w:t>
            </w:r>
            <w:r w:rsidR="00431BAE">
              <w:t xml:space="preserve">serious </w:t>
            </w:r>
            <w:r w:rsidRPr="0054775B">
              <w:t>imprecision).</w:t>
            </w:r>
            <w:r>
              <w:t xml:space="preserve"> No inconsistency due to singular study (no change for inconsistency).</w:t>
            </w:r>
            <w:r w:rsidR="00E2342A">
              <w:t xml:space="preserve"> </w:t>
            </w:r>
            <w:r w:rsidR="00E2342A" w:rsidRPr="00E2342A">
              <w:rPr>
                <w:lang w:val="en-GB"/>
              </w:rPr>
              <w:t>Publication bias not assessed due to insufficient number of studies (no change for publication bias).</w:t>
            </w:r>
          </w:p>
        </w:tc>
      </w:tr>
    </w:tbl>
    <w:p w14:paraId="7D540CFF" w14:textId="77777777" w:rsidR="002157D3" w:rsidRPr="0054775B" w:rsidRDefault="002157D3" w:rsidP="002157D3">
      <w:pPr>
        <w:rPr>
          <w:color w:val="000000" w:themeColor="text1"/>
          <w:sz w:val="20"/>
          <w:szCs w:val="20"/>
        </w:rPr>
      </w:pPr>
    </w:p>
    <w:p w14:paraId="26615DEB" w14:textId="77777777" w:rsidR="002D0C43" w:rsidRPr="0054775B" w:rsidRDefault="002D0C43" w:rsidP="002D0C43">
      <w:pPr>
        <w:rPr>
          <w:color w:val="000000" w:themeColor="text1"/>
          <w:sz w:val="20"/>
          <w:szCs w:val="20"/>
        </w:rPr>
      </w:pPr>
    </w:p>
    <w:p w14:paraId="3262EC51" w14:textId="77777777" w:rsidR="002D0C43" w:rsidRPr="0054775B" w:rsidRDefault="002D0C43" w:rsidP="002D0C43">
      <w:pPr>
        <w:rPr>
          <w:color w:val="000000" w:themeColor="text1"/>
          <w:sz w:val="20"/>
          <w:szCs w:val="20"/>
        </w:rPr>
      </w:pPr>
    </w:p>
    <w:bookmarkEnd w:id="55"/>
    <w:p w14:paraId="4FD56F82" w14:textId="1E0D0E02" w:rsidR="002D0C43" w:rsidRPr="0054775B" w:rsidRDefault="002D0C43" w:rsidP="002D0C43">
      <w:pPr>
        <w:tabs>
          <w:tab w:val="left" w:pos="5653"/>
        </w:tabs>
        <w:rPr>
          <w:sz w:val="20"/>
          <w:szCs w:val="20"/>
        </w:rPr>
        <w:sectPr w:rsidR="002D0C43" w:rsidRPr="0054775B" w:rsidSect="006A72DC">
          <w:pgSz w:w="16840" w:h="11910" w:orient="landscape"/>
          <w:pgMar w:top="1340" w:right="280" w:bottom="1340" w:left="1356" w:header="720" w:footer="720" w:gutter="0"/>
          <w:cols w:space="720"/>
          <w:docGrid w:linePitch="299"/>
        </w:sectPr>
      </w:pPr>
    </w:p>
    <w:p w14:paraId="0ADD5C24" w14:textId="6D26F396" w:rsidR="00A24D67" w:rsidRPr="0054775B" w:rsidRDefault="00B95263" w:rsidP="00F9201F">
      <w:pPr>
        <w:pStyle w:val="2024HEADER2"/>
      </w:pPr>
      <w:bookmarkStart w:id="62" w:name="_Toc179379617"/>
      <w:r w:rsidRPr="0054775B">
        <w:lastRenderedPageBreak/>
        <w:t xml:space="preserve">Stress (perceived, occupational), </w:t>
      </w:r>
      <w:r w:rsidR="001273D3" w:rsidRPr="0054775B">
        <w:t>m</w:t>
      </w:r>
      <w:r w:rsidRPr="0054775B">
        <w:t>agnesium</w:t>
      </w:r>
      <w:bookmarkEnd w:id="62"/>
    </w:p>
    <w:p w14:paraId="71AE414F" w14:textId="3C6B0FE1" w:rsidR="00621F1B" w:rsidRPr="0054775B" w:rsidRDefault="00621F1B" w:rsidP="009E6F7F">
      <w:pPr>
        <w:pStyle w:val="2024HEADER3"/>
        <w:rPr>
          <w:rFonts w:ascii="Aptos" w:hAnsi="Aptos"/>
        </w:rPr>
      </w:pPr>
      <w:r w:rsidRPr="0054775B">
        <w:rPr>
          <w:rFonts w:ascii="Aptos" w:hAnsi="Aptos"/>
        </w:rPr>
        <w:t>Description of condition</w:t>
      </w:r>
    </w:p>
    <w:p w14:paraId="42BFE89B" w14:textId="59903BF6" w:rsidR="002511D8" w:rsidRPr="0054775B" w:rsidRDefault="002511D8" w:rsidP="009E6F7F">
      <w:r w:rsidRPr="0054775B">
        <w:t>Stress is the body's natural reaction to perceived challenges or threats. It involves a complex interplay of physiological and psychological responses designed to aid survival and adaptation. However, when stress becomes chronic or overwhelming, it can have adverse effects on mental and physical well-being</w:t>
      </w:r>
      <w:r w:rsidR="00F82A29" w:rsidRPr="0054775B">
        <w:t xml:space="preserve"> </w:t>
      </w:r>
      <w:r w:rsidR="00A61385">
        <w:rPr>
          <w:noProof/>
        </w:rPr>
        <w:t>(24)</w:t>
      </w:r>
      <w:r w:rsidRPr="0054775B">
        <w:t>. Stress is distinguished from formal psychiatric diagnoses like anxiety and mood disorders, but it is a significant risk factor for their development</w:t>
      </w:r>
      <w:r w:rsidR="007246AA" w:rsidRPr="0054775B">
        <w:t xml:space="preserve"> </w:t>
      </w:r>
      <w:r w:rsidR="00A61385">
        <w:rPr>
          <w:noProof/>
        </w:rPr>
        <w:t>(25)</w:t>
      </w:r>
      <w:r w:rsidRPr="0054775B">
        <w:t>.</w:t>
      </w:r>
    </w:p>
    <w:p w14:paraId="7E9FAC0E" w14:textId="08295B26" w:rsidR="002511D8" w:rsidRPr="0054775B" w:rsidRDefault="002511D8" w:rsidP="009E6F7F">
      <w:r w:rsidRPr="0054775B">
        <w:t xml:space="preserve">Stress manifests in various ways. Common physiological symptoms include increased heart rate, rapid breathing, muscle tension, headaches, and digestive upset </w:t>
      </w:r>
      <w:r w:rsidR="00A61385">
        <w:rPr>
          <w:noProof/>
        </w:rPr>
        <w:t>(26)</w:t>
      </w:r>
      <w:r w:rsidR="00FE006D" w:rsidRPr="0054775B">
        <w:t>. People who experience stress</w:t>
      </w:r>
      <w:r w:rsidRPr="0054775B">
        <w:t xml:space="preserve"> may </w:t>
      </w:r>
      <w:r w:rsidR="00FE006D" w:rsidRPr="0054775B">
        <w:t>also experience symptoms such as</w:t>
      </w:r>
      <w:r w:rsidRPr="0054775B">
        <w:t xml:space="preserve"> irritability, difficulty concentrating, restlessness, worry, and sleep disturbances</w:t>
      </w:r>
      <w:r w:rsidR="00FE1500" w:rsidRPr="0054775B">
        <w:t xml:space="preserve"> </w:t>
      </w:r>
      <w:r w:rsidR="00A61385">
        <w:rPr>
          <w:noProof/>
        </w:rPr>
        <w:t>(26)</w:t>
      </w:r>
      <w:r w:rsidRPr="0054775B">
        <w:t>. Prolonged</w:t>
      </w:r>
      <w:r w:rsidR="00F80853" w:rsidRPr="0054775B">
        <w:t xml:space="preserve"> or chronic levels of</w:t>
      </w:r>
      <w:r w:rsidRPr="0054775B">
        <w:t xml:space="preserve"> stress can contribute to a range of health problems, including </w:t>
      </w:r>
      <w:r w:rsidR="00FE1500" w:rsidRPr="0054775B">
        <w:t xml:space="preserve">psychological conditions, </w:t>
      </w:r>
      <w:r w:rsidRPr="0054775B">
        <w:t xml:space="preserve">cardiovascular disease, weakened immune function, and gastrointestinal disorders </w:t>
      </w:r>
      <w:r w:rsidR="00A61385">
        <w:rPr>
          <w:noProof/>
        </w:rPr>
        <w:t>(25, 27)</w:t>
      </w:r>
      <w:r w:rsidR="00F80853" w:rsidRPr="0054775B">
        <w:t>.</w:t>
      </w:r>
    </w:p>
    <w:p w14:paraId="4D5869DC" w14:textId="036C8517" w:rsidR="002511D8" w:rsidRPr="0054775B" w:rsidRDefault="002511D8" w:rsidP="009E6F7F">
      <w:r w:rsidRPr="0054775B">
        <w:t>Stress is a highly prevalent experience in Australia</w:t>
      </w:r>
      <w:r w:rsidR="004F2565" w:rsidRPr="0054775B">
        <w:t xml:space="preserve">. </w:t>
      </w:r>
      <w:r w:rsidR="00C56B59" w:rsidRPr="0054775B">
        <w:t xml:space="preserve">Recent data </w:t>
      </w:r>
      <w:r w:rsidR="004F2565" w:rsidRPr="0054775B">
        <w:t>reported</w:t>
      </w:r>
      <w:r w:rsidRPr="0054775B">
        <w:t xml:space="preserve"> that a significant portion of the population reports experiencing stress on a regular</w:t>
      </w:r>
      <w:r w:rsidR="002427F9" w:rsidRPr="0054775B">
        <w:t xml:space="preserve"> basis</w:t>
      </w:r>
      <w:r w:rsidR="0047120D" w:rsidRPr="0054775B">
        <w:t xml:space="preserve">, with </w:t>
      </w:r>
      <w:r w:rsidR="004F2565" w:rsidRPr="0054775B">
        <w:t>37</w:t>
      </w:r>
      <w:r w:rsidR="0047120D" w:rsidRPr="0054775B">
        <w:t xml:space="preserve">% reporting </w:t>
      </w:r>
      <w:r w:rsidR="002427F9" w:rsidRPr="0054775B">
        <w:t xml:space="preserve">stress as having moderate to very strong impact on their mental health </w:t>
      </w:r>
      <w:r w:rsidR="00A61385">
        <w:rPr>
          <w:noProof/>
        </w:rPr>
        <w:t>(28)</w:t>
      </w:r>
      <w:r w:rsidR="00A07E7B" w:rsidRPr="0054775B">
        <w:t xml:space="preserve">. </w:t>
      </w:r>
      <w:r w:rsidR="00BB5F31" w:rsidRPr="0054775B">
        <w:t>Key drivers of stress</w:t>
      </w:r>
      <w:r w:rsidR="002427F9" w:rsidRPr="0054775B">
        <w:t xml:space="preserve"> can</w:t>
      </w:r>
      <w:r w:rsidR="00BB5F31" w:rsidRPr="0054775B">
        <w:t xml:space="preserve"> include financial, health, and family issues, </w:t>
      </w:r>
      <w:r w:rsidR="00C34C89" w:rsidRPr="0054775B">
        <w:t>and evidence suggests that</w:t>
      </w:r>
      <w:r w:rsidR="00BB5F31" w:rsidRPr="0054775B">
        <w:t xml:space="preserve"> people who are stressed</w:t>
      </w:r>
      <w:r w:rsidR="00C34C89" w:rsidRPr="0054775B">
        <w:t xml:space="preserve"> are</w:t>
      </w:r>
      <w:r w:rsidR="00BB5F31" w:rsidRPr="0054775B">
        <w:t xml:space="preserve"> more likely to participate in </w:t>
      </w:r>
      <w:r w:rsidR="002427F9" w:rsidRPr="0054775B">
        <w:t xml:space="preserve">risky health </w:t>
      </w:r>
      <w:r w:rsidR="00181FC4" w:rsidRPr="0054775B">
        <w:t>behaviours</w:t>
      </w:r>
      <w:r w:rsidR="00BB5F31" w:rsidRPr="0054775B">
        <w:t xml:space="preserve"> </w:t>
      </w:r>
      <w:r w:rsidR="00963983" w:rsidRPr="0054775B">
        <w:t xml:space="preserve">like </w:t>
      </w:r>
      <w:r w:rsidR="0097788A" w:rsidRPr="0054775B">
        <w:t>gambl</w:t>
      </w:r>
      <w:r w:rsidR="00963983" w:rsidRPr="0054775B">
        <w:t>ing</w:t>
      </w:r>
      <w:r w:rsidR="0097788A" w:rsidRPr="0054775B">
        <w:t xml:space="preserve">, </w:t>
      </w:r>
      <w:r w:rsidR="00963983" w:rsidRPr="0054775B">
        <w:t>consuming alcohol</w:t>
      </w:r>
      <w:r w:rsidR="0097788A" w:rsidRPr="0054775B">
        <w:t>, smok</w:t>
      </w:r>
      <w:r w:rsidR="00963983" w:rsidRPr="0054775B">
        <w:t>ing</w:t>
      </w:r>
      <w:r w:rsidR="0097788A" w:rsidRPr="0054775B">
        <w:t xml:space="preserve"> cigarettes, and </w:t>
      </w:r>
      <w:r w:rsidR="00963983" w:rsidRPr="0054775B">
        <w:t>taking</w:t>
      </w:r>
      <w:r w:rsidR="0097788A" w:rsidRPr="0054775B">
        <w:t xml:space="preserve"> recreational drugs </w:t>
      </w:r>
      <w:r w:rsidR="00A61385">
        <w:rPr>
          <w:noProof/>
        </w:rPr>
        <w:t>(28)</w:t>
      </w:r>
      <w:r w:rsidR="0097788A" w:rsidRPr="0054775B">
        <w:t xml:space="preserve">. </w:t>
      </w:r>
      <w:r w:rsidRPr="0054775B">
        <w:t>While there</w:t>
      </w:r>
      <w:r w:rsidR="00AE5AD1" w:rsidRPr="0054775B">
        <w:t xml:space="preserve"> i</w:t>
      </w:r>
      <w:r w:rsidRPr="0054775B">
        <w:t xml:space="preserve">s no formal diagnostic process for "stress" itself, healthcare professionals may assess stress levels using self-report measures </w:t>
      </w:r>
      <w:r w:rsidR="00EC1368" w:rsidRPr="0054775B">
        <w:t xml:space="preserve">(such as the Perceived Stress Scale </w:t>
      </w:r>
      <w:r w:rsidR="00A61385">
        <w:rPr>
          <w:noProof/>
        </w:rPr>
        <w:t>(29)</w:t>
      </w:r>
      <w:r w:rsidR="00EC1368" w:rsidRPr="0054775B">
        <w:t xml:space="preserve">) </w:t>
      </w:r>
      <w:r w:rsidRPr="0054775B">
        <w:t>or evaluate physiological markers.</w:t>
      </w:r>
    </w:p>
    <w:p w14:paraId="219F406F" w14:textId="5BBB83FA" w:rsidR="00B95263" w:rsidRPr="0054775B" w:rsidRDefault="00B95263" w:rsidP="009E6F7F">
      <w:pPr>
        <w:pStyle w:val="2024HEADER3"/>
        <w:rPr>
          <w:rFonts w:ascii="Aptos" w:hAnsi="Aptos"/>
        </w:rPr>
      </w:pPr>
      <w:r w:rsidRPr="0054775B">
        <w:rPr>
          <w:rFonts w:ascii="Aptos" w:hAnsi="Aptos"/>
        </w:rPr>
        <w:t>Description of the intervention</w:t>
      </w:r>
    </w:p>
    <w:p w14:paraId="074856C5" w14:textId="4426E720" w:rsidR="005D6EBD" w:rsidRPr="0054775B" w:rsidRDefault="005D6EBD" w:rsidP="009E6F7F">
      <w:r w:rsidRPr="0054775B">
        <w:t xml:space="preserve">Magnesium (often abbreviated as its chemical symbol: Mg) is a naturally occurring mineral in the human body. It is an essential mineral playing numerous crucial roles in the human body, including enzymatic reactions, energy production, muscle function, and bone health </w:t>
      </w:r>
      <w:r w:rsidR="00A61385">
        <w:rPr>
          <w:noProof/>
        </w:rPr>
        <w:t>(16, 17)</w:t>
      </w:r>
      <w:r w:rsidRPr="0054775B">
        <w:t xml:space="preserve">. Recent evidence suggests that magnesium levels in the body may be associated with some health conditions, including Diabetes Mellitus (Type II), cardiovascular disease, osteoporosis, and migraines </w:t>
      </w:r>
      <w:r w:rsidR="00A61385">
        <w:rPr>
          <w:noProof/>
        </w:rPr>
        <w:t>(17)</w:t>
      </w:r>
      <w:r w:rsidRPr="0054775B">
        <w:t>.</w:t>
      </w:r>
    </w:p>
    <w:p w14:paraId="1C82949A" w14:textId="19D24B91" w:rsidR="00B02133" w:rsidRPr="0054775B" w:rsidRDefault="005D6EBD" w:rsidP="009E6F7F">
      <w:r w:rsidRPr="0054775B">
        <w:t xml:space="preserve">The recommended dietary </w:t>
      </w:r>
      <w:r w:rsidR="00493037" w:rsidRPr="0054775B">
        <w:t xml:space="preserve">intake </w:t>
      </w:r>
      <w:r w:rsidRPr="0054775B">
        <w:t>for magnesium varies depending on age and sex, typically ranging from 310-420 mg daily for adults</w:t>
      </w:r>
      <w:r w:rsidR="00493037" w:rsidRPr="0054775B">
        <w:t xml:space="preserve"> </w:t>
      </w:r>
      <w:r w:rsidR="00A61385">
        <w:rPr>
          <w:noProof/>
        </w:rPr>
        <w:t>(19)</w:t>
      </w:r>
      <w:r w:rsidR="00493037" w:rsidRPr="0054775B">
        <w:t>.</w:t>
      </w:r>
      <w:r w:rsidRPr="0054775B">
        <w:t xml:space="preserve"> While it is a </w:t>
      </w:r>
      <w:r w:rsidRPr="0054775B">
        <w:rPr>
          <w:sz w:val="21"/>
          <w:szCs w:val="21"/>
        </w:rPr>
        <w:t>typical</w:t>
      </w:r>
      <w:r w:rsidRPr="0054775B">
        <w:t xml:space="preserve"> component of most diets, and is abundant in foods such as leafy vegetables, nuts, legumes, and grains, supplementation is available. Magnesium supplements come in several forms with varying bioavailability (absorption rates), including magnesium oxide, citrate, glycinate, or lactate </w:t>
      </w:r>
      <w:r w:rsidR="00A61385">
        <w:rPr>
          <w:noProof/>
        </w:rPr>
        <w:t>(17)</w:t>
      </w:r>
      <w:r w:rsidRPr="0054775B">
        <w:t xml:space="preserve">. </w:t>
      </w:r>
      <w:r w:rsidR="00B02133" w:rsidRPr="0054775B">
        <w:t xml:space="preserve">As </w:t>
      </w:r>
      <w:r w:rsidR="00605F0A" w:rsidRPr="0054775B">
        <w:t xml:space="preserve">described </w:t>
      </w:r>
      <w:r w:rsidR="00B02133" w:rsidRPr="0054775B">
        <w:t>above</w:t>
      </w:r>
      <w:r w:rsidR="00360696" w:rsidRPr="0054775B">
        <w:t>,</w:t>
      </w:r>
      <w:r w:rsidR="00B02133" w:rsidRPr="0054775B">
        <w:t xml:space="preserve"> it is thought that Magnesium may </w:t>
      </w:r>
      <w:r w:rsidR="001909D9">
        <w:rPr>
          <w:lang w:val="en-GB"/>
        </w:rPr>
        <w:t>p</w:t>
      </w:r>
      <w:r w:rsidR="001909D9" w:rsidRPr="001909D9">
        <w:rPr>
          <w:lang w:val="en-GB"/>
        </w:rPr>
        <w:t>lay a role in lowering abnorma</w:t>
      </w:r>
      <w:r w:rsidR="00D37989">
        <w:rPr>
          <w:lang w:val="en-GB"/>
        </w:rPr>
        <w:t>l</w:t>
      </w:r>
      <w:r w:rsidR="001909D9" w:rsidRPr="001909D9">
        <w:rPr>
          <w:lang w:val="en-GB"/>
        </w:rPr>
        <w:t xml:space="preserve"> levels of cortisol</w:t>
      </w:r>
      <w:r w:rsidR="001909D9">
        <w:rPr>
          <w:lang w:val="en-GB"/>
        </w:rPr>
        <w:t xml:space="preserve"> </w:t>
      </w:r>
      <w:r w:rsidR="00B02133" w:rsidRPr="0054775B">
        <w:t xml:space="preserve">cortisol </w:t>
      </w:r>
      <w:r w:rsidR="00B3085F" w:rsidRPr="0054775B">
        <w:t xml:space="preserve">(stress hormone that) </w:t>
      </w:r>
      <w:r w:rsidR="00360696" w:rsidRPr="0054775B">
        <w:t>and reduce stress levels.</w:t>
      </w:r>
    </w:p>
    <w:p w14:paraId="0558C75D" w14:textId="10C846E6" w:rsidR="005D6EBD" w:rsidRPr="0054775B" w:rsidRDefault="005D6EBD" w:rsidP="009E6F7F">
      <w:r w:rsidRPr="0054775B">
        <w:t xml:space="preserve">Oral magnesium supplements are readily available without prescription and are sometimes sold in tandem with one or multiple other nutritional supplements. Magnesium supplements are </w:t>
      </w:r>
      <w:r w:rsidRPr="0054775B">
        <w:lastRenderedPageBreak/>
        <w:t>generally safe for most people when taken at appropriate doses</w:t>
      </w:r>
      <w:r w:rsidR="00577A9E">
        <w:rPr>
          <w:rStyle w:val="FootnoteReference"/>
        </w:rPr>
        <w:footnoteReference w:id="3"/>
      </w:r>
      <w:r w:rsidRPr="0054775B">
        <w:t xml:space="preserve">; though some medications may interact with magnesium (including antibiotics, diuretics and bisphosphonates) </w:t>
      </w:r>
      <w:r w:rsidR="00A61385">
        <w:rPr>
          <w:noProof/>
        </w:rPr>
        <w:t>(17)</w:t>
      </w:r>
      <w:r w:rsidRPr="0054775B">
        <w:t>. Excess magnesium is usually</w:t>
      </w:r>
      <w:r w:rsidRPr="0054775B" w:rsidDel="001909D9">
        <w:t xml:space="preserve"> </w:t>
      </w:r>
      <w:r w:rsidR="001909D9">
        <w:t>excreted</w:t>
      </w:r>
      <w:r w:rsidR="001909D9" w:rsidRPr="0054775B">
        <w:t xml:space="preserve"> </w:t>
      </w:r>
      <w:r w:rsidRPr="0054775B">
        <w:t xml:space="preserve">by the kidneys as urine, though very high amounts of magnesium from dietary supplements can result in diarrhea, nausea and abdominal cramping </w:t>
      </w:r>
      <w:r w:rsidR="00A61385">
        <w:rPr>
          <w:noProof/>
        </w:rPr>
        <w:t>(17)</w:t>
      </w:r>
      <w:r w:rsidRPr="0054775B">
        <w:t>.</w:t>
      </w:r>
    </w:p>
    <w:p w14:paraId="509D2776" w14:textId="319E3EAA" w:rsidR="00B95263" w:rsidRPr="0054775B" w:rsidRDefault="00B95263" w:rsidP="009E6F7F">
      <w:pPr>
        <w:pStyle w:val="2024HEADER3"/>
        <w:rPr>
          <w:rFonts w:ascii="Aptos" w:hAnsi="Aptos"/>
        </w:rPr>
      </w:pPr>
      <w:r w:rsidRPr="0054775B">
        <w:rPr>
          <w:rFonts w:ascii="Aptos" w:hAnsi="Aptos"/>
        </w:rPr>
        <w:t>Prioritised outcomes</w:t>
      </w:r>
    </w:p>
    <w:p w14:paraId="7285097C" w14:textId="3F60B10B" w:rsidR="00D34BC4" w:rsidRPr="0054775B" w:rsidRDefault="00AC16DC" w:rsidP="009E6F7F">
      <w:r w:rsidRPr="0054775B">
        <w:t xml:space="preserve">Seven priority outcomes were identified </w:t>
      </w:r>
      <w:r w:rsidR="00356E4D" w:rsidRPr="0054775B">
        <w:t xml:space="preserve">by NTWC </w:t>
      </w:r>
      <w:r w:rsidRPr="0054775B">
        <w:t>as part of the Outcome Prioritisation Exercise</w:t>
      </w:r>
      <w:r w:rsidR="00356E4D" w:rsidRPr="0054775B">
        <w:t xml:space="preserve">. These are </w:t>
      </w:r>
      <w:r w:rsidRPr="0054775B">
        <w:t>listed below by order of priority. Outcomes were rated by their importance to decision-making, with those rated 7-9 being critical for decision-making.</w:t>
      </w:r>
    </w:p>
    <w:p w14:paraId="37FFC05F" w14:textId="0267C334" w:rsidR="00B95263" w:rsidRPr="0054775B" w:rsidRDefault="005D6EBD" w:rsidP="00DC24F3">
      <w:pPr>
        <w:pStyle w:val="2024TABLECAPTION"/>
        <w:rPr>
          <w:rFonts w:ascii="Aptos" w:hAnsi="Aptos"/>
        </w:rPr>
      </w:pPr>
      <w:bookmarkStart w:id="63" w:name="_Toc185261585"/>
      <w:r w:rsidRPr="0054775B">
        <w:rPr>
          <w:rFonts w:ascii="Aptos" w:hAnsi="Aptos"/>
        </w:rPr>
        <w:t xml:space="preserve">Table </w:t>
      </w:r>
      <w:r w:rsidR="002F1F6C" w:rsidRPr="0054775B">
        <w:rPr>
          <w:rFonts w:ascii="Aptos" w:hAnsi="Aptos"/>
        </w:rPr>
        <w:fldChar w:fldCharType="begin"/>
      </w:r>
      <w:r w:rsidR="002F1F6C" w:rsidRPr="0054775B">
        <w:rPr>
          <w:rFonts w:ascii="Aptos" w:hAnsi="Aptos"/>
        </w:rPr>
        <w:instrText xml:space="preserve"> SEQ Table \* ARABIC </w:instrText>
      </w:r>
      <w:r w:rsidR="002F1F6C" w:rsidRPr="0054775B">
        <w:rPr>
          <w:rFonts w:ascii="Aptos" w:hAnsi="Aptos"/>
        </w:rPr>
        <w:fldChar w:fldCharType="separate"/>
      </w:r>
      <w:r w:rsidR="00651E04">
        <w:rPr>
          <w:rFonts w:ascii="Aptos" w:hAnsi="Aptos"/>
          <w:noProof/>
        </w:rPr>
        <w:t>7</w:t>
      </w:r>
      <w:r w:rsidR="002F1F6C" w:rsidRPr="0054775B">
        <w:rPr>
          <w:rFonts w:ascii="Aptos" w:hAnsi="Aptos"/>
          <w:noProof/>
        </w:rPr>
        <w:fldChar w:fldCharType="end"/>
      </w:r>
      <w:r w:rsidRPr="0054775B">
        <w:rPr>
          <w:rFonts w:ascii="Aptos" w:hAnsi="Aptos"/>
        </w:rPr>
        <w:t xml:space="preserve">. </w:t>
      </w:r>
      <w:r w:rsidR="00B95263" w:rsidRPr="0054775B">
        <w:rPr>
          <w:rFonts w:ascii="Aptos" w:hAnsi="Aptos"/>
        </w:rPr>
        <w:t xml:space="preserve">List of prioritised outcomes – </w:t>
      </w:r>
      <w:r w:rsidR="001273D3" w:rsidRPr="0054775B">
        <w:rPr>
          <w:rFonts w:ascii="Aptos" w:hAnsi="Aptos"/>
        </w:rPr>
        <w:t>s</w:t>
      </w:r>
      <w:r w:rsidR="0012437F" w:rsidRPr="0054775B">
        <w:rPr>
          <w:rFonts w:ascii="Aptos" w:hAnsi="Aptos"/>
        </w:rPr>
        <w:t xml:space="preserve">tress (perceived, occupational), </w:t>
      </w:r>
      <w:r w:rsidR="001273D3" w:rsidRPr="0054775B">
        <w:rPr>
          <w:rFonts w:ascii="Aptos" w:hAnsi="Aptos"/>
        </w:rPr>
        <w:t>m</w:t>
      </w:r>
      <w:r w:rsidR="00B95263" w:rsidRPr="0054775B">
        <w:rPr>
          <w:rFonts w:ascii="Aptos" w:hAnsi="Aptos"/>
        </w:rPr>
        <w:t>agnesium (as assessed as part of the Outcome Prioritisation Exercise by NTWC).</w:t>
      </w:r>
      <w:bookmarkEnd w:id="63"/>
      <w:r w:rsidR="00B95263" w:rsidRPr="0054775B">
        <w:rPr>
          <w:rFonts w:ascii="Aptos" w:hAnsi="Aptos"/>
        </w:rPr>
        <w:t> </w:t>
      </w:r>
    </w:p>
    <w:tbl>
      <w:tblPr>
        <w:tblW w:w="8784" w:type="dxa"/>
        <w:tblCellMar>
          <w:top w:w="28" w:type="dxa"/>
          <w:left w:w="57" w:type="dxa"/>
          <w:bottom w:w="28" w:type="dxa"/>
          <w:right w:w="28" w:type="dxa"/>
        </w:tblCellMar>
        <w:tblLook w:val="04A0" w:firstRow="1" w:lastRow="0" w:firstColumn="1" w:lastColumn="0" w:noHBand="0" w:noVBand="1"/>
      </w:tblPr>
      <w:tblGrid>
        <w:gridCol w:w="339"/>
        <w:gridCol w:w="1279"/>
        <w:gridCol w:w="1229"/>
        <w:gridCol w:w="758"/>
        <w:gridCol w:w="5179"/>
      </w:tblGrid>
      <w:tr w:rsidR="007E3399" w:rsidRPr="0054775B" w14:paraId="62994AB4" w14:textId="77777777" w:rsidTr="00497D06">
        <w:trPr>
          <w:trHeight w:val="95"/>
        </w:trPr>
        <w:tc>
          <w:tcPr>
            <w:tcW w:w="0" w:type="auto"/>
            <w:vMerge w:val="restart"/>
            <w:tcBorders>
              <w:top w:val="single" w:sz="4" w:space="0" w:color="auto"/>
              <w:left w:val="single" w:sz="4" w:space="0" w:color="auto"/>
              <w:right w:val="single" w:sz="4" w:space="0" w:color="auto"/>
            </w:tcBorders>
            <w:shd w:val="clear" w:color="auto" w:fill="D9D9D9" w:themeFill="background1" w:themeFillShade="D9"/>
            <w:vAlign w:val="center"/>
            <w:hideMark/>
          </w:tcPr>
          <w:p w14:paraId="6983C291" w14:textId="77777777" w:rsidR="00497D06" w:rsidRPr="0054775B" w:rsidRDefault="00497D06" w:rsidP="00515FE7">
            <w:pPr>
              <w:pStyle w:val="2024TABLEHEADER"/>
            </w:pPr>
            <w:r w:rsidRPr="0054775B">
              <w:t> #</w:t>
            </w:r>
          </w:p>
        </w:tc>
        <w:tc>
          <w:tcPr>
            <w:tcW w:w="1279" w:type="dxa"/>
            <w:vMerge w:val="restart"/>
            <w:tcBorders>
              <w:top w:val="single" w:sz="4" w:space="0" w:color="auto"/>
              <w:left w:val="nil"/>
              <w:right w:val="single" w:sz="4" w:space="0" w:color="auto"/>
            </w:tcBorders>
            <w:shd w:val="clear" w:color="auto" w:fill="D9D9D9" w:themeFill="background1" w:themeFillShade="D9"/>
            <w:vAlign w:val="center"/>
            <w:hideMark/>
          </w:tcPr>
          <w:p w14:paraId="7ECC2E81" w14:textId="77777777" w:rsidR="00497D06" w:rsidRPr="0054775B" w:rsidRDefault="00497D06" w:rsidP="00515FE7">
            <w:pPr>
              <w:pStyle w:val="2024TABLEHEADER"/>
              <w:rPr>
                <w:color w:val="000000"/>
              </w:rPr>
            </w:pPr>
            <w:r w:rsidRPr="0054775B">
              <w:t>Priority population</w:t>
            </w:r>
          </w:p>
        </w:tc>
        <w:tc>
          <w:tcPr>
            <w:tcW w:w="1229" w:type="dxa"/>
            <w:tcBorders>
              <w:top w:val="single" w:sz="4" w:space="0" w:color="auto"/>
              <w:left w:val="nil"/>
              <w:right w:val="single" w:sz="4" w:space="0" w:color="auto"/>
            </w:tcBorders>
            <w:shd w:val="clear" w:color="auto" w:fill="D9D9D9" w:themeFill="background1" w:themeFillShade="D9"/>
            <w:vAlign w:val="center"/>
            <w:hideMark/>
          </w:tcPr>
          <w:p w14:paraId="7A211866" w14:textId="77777777" w:rsidR="00497D06" w:rsidRPr="0054775B" w:rsidRDefault="00497D06" w:rsidP="00515FE7">
            <w:pPr>
              <w:pStyle w:val="2024TABLEHEADER"/>
              <w:rPr>
                <w:color w:val="000000"/>
              </w:rPr>
            </w:pPr>
            <w:r w:rsidRPr="0054775B">
              <w:t xml:space="preserve">Priority intervention </w:t>
            </w:r>
          </w:p>
        </w:tc>
        <w:tc>
          <w:tcPr>
            <w:tcW w:w="5937" w:type="dxa"/>
            <w:gridSpan w:val="2"/>
            <w:tcBorders>
              <w:top w:val="single" w:sz="4" w:space="0" w:color="auto"/>
              <w:left w:val="nil"/>
              <w:bottom w:val="single" w:sz="4" w:space="0" w:color="auto"/>
              <w:right w:val="single" w:sz="4" w:space="0" w:color="auto"/>
            </w:tcBorders>
            <w:shd w:val="clear" w:color="auto" w:fill="D9D9D9" w:themeFill="background1" w:themeFillShade="D9"/>
            <w:vAlign w:val="center"/>
          </w:tcPr>
          <w:p w14:paraId="17C7C287" w14:textId="13E61753" w:rsidR="00497D06" w:rsidRPr="0054775B" w:rsidRDefault="00497D06" w:rsidP="00515FE7">
            <w:pPr>
              <w:pStyle w:val="2024TABLEHEADER"/>
            </w:pPr>
            <w:r w:rsidRPr="0054775B">
              <w:t>Priority outcomes</w:t>
            </w:r>
          </w:p>
        </w:tc>
      </w:tr>
      <w:tr w:rsidR="007E3399" w:rsidRPr="0054775B" w14:paraId="508E9352" w14:textId="77777777" w:rsidTr="00497D06">
        <w:trPr>
          <w:trHeight w:val="95"/>
        </w:trPr>
        <w:tc>
          <w:tcPr>
            <w:tcW w:w="0" w:type="auto"/>
            <w:vMerge/>
            <w:tcBorders>
              <w:left w:val="single" w:sz="4" w:space="0" w:color="auto"/>
              <w:bottom w:val="single" w:sz="4" w:space="0" w:color="auto"/>
              <w:right w:val="single" w:sz="4" w:space="0" w:color="auto"/>
            </w:tcBorders>
            <w:shd w:val="clear" w:color="auto" w:fill="D9D9D9" w:themeFill="background1" w:themeFillShade="D9"/>
            <w:vAlign w:val="center"/>
          </w:tcPr>
          <w:p w14:paraId="2DD3C8CA" w14:textId="77777777" w:rsidR="00497D06" w:rsidRPr="0054775B" w:rsidRDefault="00497D06" w:rsidP="00515FE7">
            <w:pPr>
              <w:pStyle w:val="2024TABLEHEADER"/>
            </w:pPr>
          </w:p>
        </w:tc>
        <w:tc>
          <w:tcPr>
            <w:tcW w:w="1279" w:type="dxa"/>
            <w:vMerge/>
            <w:tcBorders>
              <w:left w:val="nil"/>
              <w:bottom w:val="single" w:sz="4" w:space="0" w:color="auto"/>
              <w:right w:val="single" w:sz="4" w:space="0" w:color="auto"/>
            </w:tcBorders>
            <w:shd w:val="clear" w:color="auto" w:fill="D9D9D9" w:themeFill="background1" w:themeFillShade="D9"/>
            <w:vAlign w:val="center"/>
          </w:tcPr>
          <w:p w14:paraId="30CAA85A" w14:textId="77777777" w:rsidR="00497D06" w:rsidRPr="0054775B" w:rsidRDefault="00497D06" w:rsidP="00515FE7">
            <w:pPr>
              <w:pStyle w:val="2024TABLEHEADER"/>
            </w:pPr>
          </w:p>
        </w:tc>
        <w:tc>
          <w:tcPr>
            <w:tcW w:w="1229" w:type="dxa"/>
            <w:tcBorders>
              <w:left w:val="nil"/>
              <w:bottom w:val="single" w:sz="4" w:space="0" w:color="auto"/>
              <w:right w:val="single" w:sz="4" w:space="0" w:color="auto"/>
            </w:tcBorders>
            <w:shd w:val="clear" w:color="auto" w:fill="D9D9D9" w:themeFill="background1" w:themeFillShade="D9"/>
            <w:vAlign w:val="center"/>
          </w:tcPr>
          <w:p w14:paraId="69A95CA9" w14:textId="77777777" w:rsidR="00497D06" w:rsidRPr="0054775B" w:rsidRDefault="00497D06" w:rsidP="00515FE7">
            <w:pPr>
              <w:pStyle w:val="2024TABLEHEADER"/>
            </w:pPr>
          </w:p>
        </w:tc>
        <w:tc>
          <w:tcPr>
            <w:tcW w:w="758" w:type="dxa"/>
            <w:tcBorders>
              <w:top w:val="nil"/>
              <w:left w:val="nil"/>
              <w:bottom w:val="single" w:sz="4" w:space="0" w:color="auto"/>
              <w:right w:val="single" w:sz="4" w:space="0" w:color="auto"/>
            </w:tcBorders>
            <w:shd w:val="clear" w:color="auto" w:fill="D9D9D9" w:themeFill="background1" w:themeFillShade="D9"/>
            <w:vAlign w:val="center"/>
          </w:tcPr>
          <w:p w14:paraId="2154A2AD" w14:textId="77777777" w:rsidR="00497D06" w:rsidRPr="0054775B" w:rsidRDefault="00497D06" w:rsidP="00515FE7">
            <w:pPr>
              <w:pStyle w:val="2024TABLEHEADER"/>
            </w:pPr>
            <w:r w:rsidRPr="0054775B">
              <w:t>NTWC Rating</w:t>
            </w:r>
          </w:p>
        </w:tc>
        <w:tc>
          <w:tcPr>
            <w:tcW w:w="5179" w:type="dxa"/>
            <w:tcBorders>
              <w:top w:val="nil"/>
              <w:left w:val="nil"/>
              <w:bottom w:val="single" w:sz="4" w:space="0" w:color="auto"/>
              <w:right w:val="single" w:sz="4" w:space="0" w:color="auto"/>
            </w:tcBorders>
            <w:shd w:val="clear" w:color="auto" w:fill="D9D9D9" w:themeFill="background1" w:themeFillShade="D9"/>
            <w:vAlign w:val="center"/>
          </w:tcPr>
          <w:p w14:paraId="46F1942C" w14:textId="51BB80BF" w:rsidR="00497D06" w:rsidRPr="0054775B" w:rsidRDefault="00497D06" w:rsidP="00515FE7">
            <w:pPr>
              <w:pStyle w:val="2024TABLEHEADER"/>
            </w:pPr>
            <w:r w:rsidRPr="0054775B">
              <w:t>Outcome</w:t>
            </w:r>
            <w:r>
              <w:t xml:space="preserve"> domain</w:t>
            </w:r>
          </w:p>
        </w:tc>
      </w:tr>
      <w:tr w:rsidR="00497D06" w:rsidRPr="0054775B" w14:paraId="00AFE739" w14:textId="77777777" w:rsidTr="00513D94">
        <w:trPr>
          <w:trHeight w:val="95"/>
        </w:trPr>
        <w:tc>
          <w:tcPr>
            <w:tcW w:w="0" w:type="auto"/>
            <w:vMerge w:val="restart"/>
            <w:tcBorders>
              <w:top w:val="nil"/>
              <w:left w:val="single" w:sz="4" w:space="0" w:color="auto"/>
              <w:right w:val="single" w:sz="4" w:space="0" w:color="auto"/>
            </w:tcBorders>
            <w:shd w:val="clear" w:color="auto" w:fill="auto"/>
            <w:vAlign w:val="center"/>
            <w:hideMark/>
          </w:tcPr>
          <w:p w14:paraId="08B68D2E" w14:textId="54F644E6" w:rsidR="00497D06" w:rsidRPr="0054775B" w:rsidRDefault="00497D06" w:rsidP="00420FDC">
            <w:pPr>
              <w:pStyle w:val="2024TABLETEXT"/>
              <w:framePr w:hSpace="0" w:wrap="auto" w:vAnchor="margin" w:yAlign="inline"/>
              <w:suppressOverlap w:val="0"/>
            </w:pPr>
            <w:r w:rsidRPr="0054775B">
              <w:t>2</w:t>
            </w:r>
          </w:p>
        </w:tc>
        <w:tc>
          <w:tcPr>
            <w:tcW w:w="1279" w:type="dxa"/>
            <w:vMerge w:val="restart"/>
            <w:tcBorders>
              <w:top w:val="nil"/>
              <w:left w:val="nil"/>
              <w:right w:val="single" w:sz="4" w:space="0" w:color="auto"/>
            </w:tcBorders>
            <w:shd w:val="clear" w:color="auto" w:fill="auto"/>
            <w:vAlign w:val="center"/>
            <w:hideMark/>
          </w:tcPr>
          <w:p w14:paraId="5E52CFC3" w14:textId="2F005A7C" w:rsidR="00497D06" w:rsidRPr="0054775B" w:rsidRDefault="00497D06" w:rsidP="00420FDC">
            <w:pPr>
              <w:pStyle w:val="2024TABLETEXT"/>
              <w:framePr w:hSpace="0" w:wrap="auto" w:vAnchor="margin" w:yAlign="inline"/>
              <w:suppressOverlap w:val="0"/>
            </w:pPr>
            <w:r w:rsidRPr="0054775B">
              <w:t>Stress (perceived, occupational)</w:t>
            </w:r>
          </w:p>
        </w:tc>
        <w:tc>
          <w:tcPr>
            <w:tcW w:w="1229" w:type="dxa"/>
            <w:vMerge w:val="restart"/>
            <w:tcBorders>
              <w:top w:val="nil"/>
              <w:left w:val="nil"/>
              <w:right w:val="single" w:sz="4" w:space="0" w:color="auto"/>
            </w:tcBorders>
            <w:shd w:val="clear" w:color="auto" w:fill="auto"/>
            <w:vAlign w:val="center"/>
            <w:hideMark/>
          </w:tcPr>
          <w:p w14:paraId="29F95291" w14:textId="6C2B5E3A" w:rsidR="00497D06" w:rsidRPr="0054775B" w:rsidRDefault="00497D06" w:rsidP="00420FDC">
            <w:pPr>
              <w:pStyle w:val="2024TABLETEXT"/>
              <w:framePr w:hSpace="0" w:wrap="auto" w:vAnchor="margin" w:yAlign="inline"/>
              <w:suppressOverlap w:val="0"/>
            </w:pPr>
            <w:r w:rsidRPr="0054775B">
              <w:t>Magnesium</w:t>
            </w:r>
          </w:p>
        </w:tc>
        <w:tc>
          <w:tcPr>
            <w:tcW w:w="758" w:type="dxa"/>
            <w:tcBorders>
              <w:top w:val="nil"/>
              <w:left w:val="nil"/>
              <w:bottom w:val="single" w:sz="4" w:space="0" w:color="auto"/>
              <w:right w:val="single" w:sz="4" w:space="0" w:color="auto"/>
            </w:tcBorders>
            <w:shd w:val="clear" w:color="auto" w:fill="auto"/>
            <w:vAlign w:val="center"/>
          </w:tcPr>
          <w:p w14:paraId="5CE15FA3" w14:textId="427D221D" w:rsidR="00497D06" w:rsidRPr="0054775B" w:rsidRDefault="00497D06" w:rsidP="00420FDC">
            <w:pPr>
              <w:pStyle w:val="2024TABLETEXT"/>
              <w:framePr w:hSpace="0" w:wrap="auto" w:vAnchor="margin" w:yAlign="inline"/>
              <w:suppressOverlap w:val="0"/>
            </w:pPr>
            <w:r w:rsidRPr="0054775B">
              <w:t>9</w:t>
            </w:r>
          </w:p>
        </w:tc>
        <w:tc>
          <w:tcPr>
            <w:tcW w:w="5179" w:type="dxa"/>
            <w:tcBorders>
              <w:top w:val="nil"/>
              <w:left w:val="nil"/>
              <w:bottom w:val="single" w:sz="4" w:space="0" w:color="auto"/>
              <w:right w:val="single" w:sz="4" w:space="0" w:color="auto"/>
            </w:tcBorders>
            <w:shd w:val="clear" w:color="auto" w:fill="auto"/>
            <w:vAlign w:val="center"/>
          </w:tcPr>
          <w:p w14:paraId="4D1EDDAF" w14:textId="56564003" w:rsidR="00497D06" w:rsidRPr="0054775B" w:rsidRDefault="00497D06" w:rsidP="00420FDC">
            <w:pPr>
              <w:pStyle w:val="2024TABLETEXT"/>
              <w:framePr w:hSpace="0" w:wrap="auto" w:vAnchor="margin" w:yAlign="inline"/>
              <w:suppressOverlap w:val="0"/>
            </w:pPr>
            <w:r w:rsidRPr="0054775B">
              <w:t>Improvement in clinical levels of stress</w:t>
            </w:r>
          </w:p>
        </w:tc>
      </w:tr>
      <w:tr w:rsidR="00497D06" w:rsidRPr="0054775B" w14:paraId="1E4D4987" w14:textId="77777777" w:rsidTr="00513D94">
        <w:trPr>
          <w:trHeight w:val="95"/>
        </w:trPr>
        <w:tc>
          <w:tcPr>
            <w:tcW w:w="0" w:type="auto"/>
            <w:vMerge/>
            <w:tcBorders>
              <w:left w:val="single" w:sz="4" w:space="0" w:color="auto"/>
              <w:right w:val="single" w:sz="4" w:space="0" w:color="auto"/>
            </w:tcBorders>
            <w:shd w:val="clear" w:color="auto" w:fill="auto"/>
            <w:vAlign w:val="center"/>
          </w:tcPr>
          <w:p w14:paraId="774632FF" w14:textId="77777777" w:rsidR="00497D06" w:rsidRPr="0054775B" w:rsidRDefault="00497D06" w:rsidP="00420FDC">
            <w:pPr>
              <w:pStyle w:val="2024TABLETEXT"/>
              <w:framePr w:hSpace="0" w:wrap="auto" w:vAnchor="margin" w:yAlign="inline"/>
              <w:suppressOverlap w:val="0"/>
            </w:pPr>
          </w:p>
        </w:tc>
        <w:tc>
          <w:tcPr>
            <w:tcW w:w="1279" w:type="dxa"/>
            <w:vMerge/>
            <w:tcBorders>
              <w:left w:val="nil"/>
              <w:right w:val="single" w:sz="4" w:space="0" w:color="auto"/>
            </w:tcBorders>
            <w:shd w:val="clear" w:color="auto" w:fill="auto"/>
            <w:vAlign w:val="center"/>
          </w:tcPr>
          <w:p w14:paraId="5B1F50CE" w14:textId="77777777" w:rsidR="00497D06" w:rsidRPr="0054775B" w:rsidRDefault="00497D06" w:rsidP="00420FDC">
            <w:pPr>
              <w:pStyle w:val="2024TABLETEXT"/>
              <w:framePr w:hSpace="0" w:wrap="auto" w:vAnchor="margin" w:yAlign="inline"/>
              <w:suppressOverlap w:val="0"/>
            </w:pPr>
          </w:p>
        </w:tc>
        <w:tc>
          <w:tcPr>
            <w:tcW w:w="1229" w:type="dxa"/>
            <w:vMerge/>
            <w:tcBorders>
              <w:left w:val="nil"/>
              <w:right w:val="single" w:sz="4" w:space="0" w:color="auto"/>
            </w:tcBorders>
            <w:shd w:val="clear" w:color="auto" w:fill="auto"/>
            <w:vAlign w:val="center"/>
          </w:tcPr>
          <w:p w14:paraId="5B6BD0EA" w14:textId="77777777" w:rsidR="00497D06" w:rsidRPr="0054775B" w:rsidRDefault="00497D06" w:rsidP="00420FDC">
            <w:pPr>
              <w:pStyle w:val="2024TABLETEXT"/>
              <w:framePr w:hSpace="0" w:wrap="auto" w:vAnchor="margin" w:yAlign="inline"/>
              <w:suppressOverlap w:val="0"/>
            </w:pPr>
          </w:p>
        </w:tc>
        <w:tc>
          <w:tcPr>
            <w:tcW w:w="758" w:type="dxa"/>
            <w:tcBorders>
              <w:top w:val="nil"/>
              <w:left w:val="nil"/>
              <w:bottom w:val="single" w:sz="4" w:space="0" w:color="auto"/>
              <w:right w:val="single" w:sz="4" w:space="0" w:color="auto"/>
            </w:tcBorders>
            <w:shd w:val="clear" w:color="auto" w:fill="auto"/>
            <w:vAlign w:val="center"/>
          </w:tcPr>
          <w:p w14:paraId="523A984B" w14:textId="4E02EBAB" w:rsidR="00497D06" w:rsidRPr="0054775B" w:rsidRDefault="00497D06" w:rsidP="00420FDC">
            <w:pPr>
              <w:pStyle w:val="2024TABLETEXT"/>
              <w:framePr w:hSpace="0" w:wrap="auto" w:vAnchor="margin" w:yAlign="inline"/>
              <w:suppressOverlap w:val="0"/>
            </w:pPr>
            <w:r w:rsidRPr="0054775B">
              <w:t>9</w:t>
            </w:r>
          </w:p>
        </w:tc>
        <w:tc>
          <w:tcPr>
            <w:tcW w:w="5179" w:type="dxa"/>
            <w:tcBorders>
              <w:top w:val="nil"/>
              <w:left w:val="nil"/>
              <w:bottom w:val="single" w:sz="4" w:space="0" w:color="auto"/>
              <w:right w:val="single" w:sz="4" w:space="0" w:color="auto"/>
            </w:tcBorders>
            <w:shd w:val="clear" w:color="auto" w:fill="auto"/>
            <w:vAlign w:val="center"/>
          </w:tcPr>
          <w:p w14:paraId="2CF155AE" w14:textId="406F82E1" w:rsidR="00497D06" w:rsidRPr="0054775B" w:rsidRDefault="00497D06" w:rsidP="00420FDC">
            <w:pPr>
              <w:pStyle w:val="2024TABLETEXT"/>
              <w:framePr w:hSpace="0" w:wrap="auto" w:vAnchor="margin" w:yAlign="inline"/>
              <w:suppressOverlap w:val="0"/>
            </w:pPr>
            <w:r w:rsidRPr="0054775B">
              <w:t>Improvement in clinical levels of occupational stress/burnout</w:t>
            </w:r>
          </w:p>
        </w:tc>
      </w:tr>
      <w:tr w:rsidR="00497D06" w:rsidRPr="0054775B" w14:paraId="3CA2F84A" w14:textId="77777777" w:rsidTr="00513D94">
        <w:trPr>
          <w:trHeight w:val="95"/>
        </w:trPr>
        <w:tc>
          <w:tcPr>
            <w:tcW w:w="0" w:type="auto"/>
            <w:vMerge/>
            <w:tcBorders>
              <w:left w:val="single" w:sz="4" w:space="0" w:color="auto"/>
              <w:right w:val="single" w:sz="4" w:space="0" w:color="auto"/>
            </w:tcBorders>
            <w:shd w:val="clear" w:color="auto" w:fill="auto"/>
            <w:vAlign w:val="center"/>
          </w:tcPr>
          <w:p w14:paraId="0E948762" w14:textId="77777777" w:rsidR="00497D06" w:rsidRPr="0054775B" w:rsidRDefault="00497D06" w:rsidP="00420FDC">
            <w:pPr>
              <w:pStyle w:val="2024TABLETEXT"/>
              <w:framePr w:hSpace="0" w:wrap="auto" w:vAnchor="margin" w:yAlign="inline"/>
              <w:suppressOverlap w:val="0"/>
            </w:pPr>
          </w:p>
        </w:tc>
        <w:tc>
          <w:tcPr>
            <w:tcW w:w="1279" w:type="dxa"/>
            <w:vMerge/>
            <w:tcBorders>
              <w:left w:val="nil"/>
              <w:right w:val="single" w:sz="4" w:space="0" w:color="auto"/>
            </w:tcBorders>
            <w:shd w:val="clear" w:color="auto" w:fill="auto"/>
            <w:vAlign w:val="center"/>
          </w:tcPr>
          <w:p w14:paraId="731A6336" w14:textId="77777777" w:rsidR="00497D06" w:rsidRPr="0054775B" w:rsidRDefault="00497D06" w:rsidP="00420FDC">
            <w:pPr>
              <w:pStyle w:val="2024TABLETEXT"/>
              <w:framePr w:hSpace="0" w:wrap="auto" w:vAnchor="margin" w:yAlign="inline"/>
              <w:suppressOverlap w:val="0"/>
            </w:pPr>
          </w:p>
        </w:tc>
        <w:tc>
          <w:tcPr>
            <w:tcW w:w="1229" w:type="dxa"/>
            <w:vMerge/>
            <w:tcBorders>
              <w:left w:val="nil"/>
              <w:right w:val="single" w:sz="4" w:space="0" w:color="auto"/>
            </w:tcBorders>
            <w:shd w:val="clear" w:color="auto" w:fill="auto"/>
            <w:vAlign w:val="center"/>
          </w:tcPr>
          <w:p w14:paraId="565CF9B0" w14:textId="77777777" w:rsidR="00497D06" w:rsidRPr="0054775B" w:rsidRDefault="00497D06" w:rsidP="00420FDC">
            <w:pPr>
              <w:pStyle w:val="2024TABLETEXT"/>
              <w:framePr w:hSpace="0" w:wrap="auto" w:vAnchor="margin" w:yAlign="inline"/>
              <w:suppressOverlap w:val="0"/>
            </w:pPr>
          </w:p>
        </w:tc>
        <w:tc>
          <w:tcPr>
            <w:tcW w:w="758" w:type="dxa"/>
            <w:tcBorders>
              <w:top w:val="nil"/>
              <w:left w:val="nil"/>
              <w:bottom w:val="single" w:sz="4" w:space="0" w:color="auto"/>
              <w:right w:val="single" w:sz="4" w:space="0" w:color="auto"/>
            </w:tcBorders>
            <w:shd w:val="clear" w:color="auto" w:fill="auto"/>
            <w:vAlign w:val="center"/>
          </w:tcPr>
          <w:p w14:paraId="47E3C481" w14:textId="7D68B360" w:rsidR="00497D06" w:rsidRPr="0054775B" w:rsidRDefault="00497D06" w:rsidP="00420FDC">
            <w:pPr>
              <w:pStyle w:val="2024TABLETEXT"/>
              <w:framePr w:hSpace="0" w:wrap="auto" w:vAnchor="margin" w:yAlign="inline"/>
              <w:suppressOverlap w:val="0"/>
            </w:pPr>
            <w:r w:rsidRPr="0054775B">
              <w:t>8</w:t>
            </w:r>
          </w:p>
        </w:tc>
        <w:tc>
          <w:tcPr>
            <w:tcW w:w="5179" w:type="dxa"/>
            <w:tcBorders>
              <w:top w:val="nil"/>
              <w:left w:val="nil"/>
              <w:bottom w:val="single" w:sz="4" w:space="0" w:color="auto"/>
              <w:right w:val="single" w:sz="4" w:space="0" w:color="auto"/>
            </w:tcBorders>
            <w:shd w:val="clear" w:color="auto" w:fill="auto"/>
            <w:vAlign w:val="center"/>
          </w:tcPr>
          <w:p w14:paraId="07F67477" w14:textId="7ADDE686" w:rsidR="00497D06" w:rsidRPr="0054775B" w:rsidRDefault="00497D06" w:rsidP="00420FDC">
            <w:pPr>
              <w:pStyle w:val="2024TABLETEXT"/>
              <w:framePr w:hSpace="0" w:wrap="auto" w:vAnchor="margin" w:yAlign="inline"/>
              <w:suppressOverlap w:val="0"/>
            </w:pPr>
            <w:r w:rsidRPr="0054775B">
              <w:t>Anxiety burden from stress</w:t>
            </w:r>
          </w:p>
        </w:tc>
      </w:tr>
      <w:tr w:rsidR="00497D06" w:rsidRPr="0054775B" w14:paraId="56E74C41" w14:textId="77777777" w:rsidTr="00513D94">
        <w:trPr>
          <w:trHeight w:val="95"/>
        </w:trPr>
        <w:tc>
          <w:tcPr>
            <w:tcW w:w="0" w:type="auto"/>
            <w:vMerge/>
            <w:tcBorders>
              <w:left w:val="single" w:sz="4" w:space="0" w:color="auto"/>
              <w:right w:val="single" w:sz="4" w:space="0" w:color="auto"/>
            </w:tcBorders>
            <w:shd w:val="clear" w:color="auto" w:fill="auto"/>
            <w:vAlign w:val="center"/>
          </w:tcPr>
          <w:p w14:paraId="160A88E0" w14:textId="77777777" w:rsidR="00497D06" w:rsidRPr="0054775B" w:rsidRDefault="00497D06" w:rsidP="00420FDC">
            <w:pPr>
              <w:pStyle w:val="2024TABLETEXT"/>
              <w:framePr w:hSpace="0" w:wrap="auto" w:vAnchor="margin" w:yAlign="inline"/>
              <w:suppressOverlap w:val="0"/>
            </w:pPr>
          </w:p>
        </w:tc>
        <w:tc>
          <w:tcPr>
            <w:tcW w:w="1279" w:type="dxa"/>
            <w:vMerge/>
            <w:tcBorders>
              <w:left w:val="nil"/>
              <w:right w:val="single" w:sz="4" w:space="0" w:color="auto"/>
            </w:tcBorders>
            <w:shd w:val="clear" w:color="auto" w:fill="auto"/>
            <w:vAlign w:val="center"/>
          </w:tcPr>
          <w:p w14:paraId="2D31C222" w14:textId="77777777" w:rsidR="00497D06" w:rsidRPr="0054775B" w:rsidRDefault="00497D06" w:rsidP="00420FDC">
            <w:pPr>
              <w:pStyle w:val="2024TABLETEXT"/>
              <w:framePr w:hSpace="0" w:wrap="auto" w:vAnchor="margin" w:yAlign="inline"/>
              <w:suppressOverlap w:val="0"/>
            </w:pPr>
          </w:p>
        </w:tc>
        <w:tc>
          <w:tcPr>
            <w:tcW w:w="1229" w:type="dxa"/>
            <w:vMerge/>
            <w:tcBorders>
              <w:left w:val="nil"/>
              <w:right w:val="single" w:sz="4" w:space="0" w:color="auto"/>
            </w:tcBorders>
            <w:shd w:val="clear" w:color="auto" w:fill="auto"/>
            <w:vAlign w:val="center"/>
          </w:tcPr>
          <w:p w14:paraId="68F15423" w14:textId="77777777" w:rsidR="00497D06" w:rsidRPr="0054775B" w:rsidRDefault="00497D06" w:rsidP="00420FDC">
            <w:pPr>
              <w:pStyle w:val="2024TABLETEXT"/>
              <w:framePr w:hSpace="0" w:wrap="auto" w:vAnchor="margin" w:yAlign="inline"/>
              <w:suppressOverlap w:val="0"/>
            </w:pPr>
          </w:p>
        </w:tc>
        <w:tc>
          <w:tcPr>
            <w:tcW w:w="758" w:type="dxa"/>
            <w:tcBorders>
              <w:top w:val="nil"/>
              <w:left w:val="nil"/>
              <w:bottom w:val="single" w:sz="4" w:space="0" w:color="auto"/>
              <w:right w:val="single" w:sz="4" w:space="0" w:color="auto"/>
            </w:tcBorders>
            <w:shd w:val="clear" w:color="auto" w:fill="auto"/>
            <w:vAlign w:val="center"/>
          </w:tcPr>
          <w:p w14:paraId="0D35AEFD" w14:textId="765C4EEE" w:rsidR="00497D06" w:rsidRPr="0054775B" w:rsidRDefault="00497D06" w:rsidP="00420FDC">
            <w:pPr>
              <w:pStyle w:val="2024TABLETEXT"/>
              <w:framePr w:hSpace="0" w:wrap="auto" w:vAnchor="margin" w:yAlign="inline"/>
              <w:suppressOverlap w:val="0"/>
            </w:pPr>
            <w:r w:rsidRPr="0054775B">
              <w:t>8</w:t>
            </w:r>
          </w:p>
        </w:tc>
        <w:tc>
          <w:tcPr>
            <w:tcW w:w="5179" w:type="dxa"/>
            <w:tcBorders>
              <w:top w:val="nil"/>
              <w:left w:val="nil"/>
              <w:bottom w:val="single" w:sz="4" w:space="0" w:color="auto"/>
              <w:right w:val="single" w:sz="4" w:space="0" w:color="auto"/>
            </w:tcBorders>
            <w:shd w:val="clear" w:color="auto" w:fill="auto"/>
            <w:vAlign w:val="center"/>
          </w:tcPr>
          <w:p w14:paraId="5F86E571" w14:textId="2E2BE176" w:rsidR="00497D06" w:rsidRPr="0054775B" w:rsidRDefault="00497D06" w:rsidP="00420FDC">
            <w:pPr>
              <w:pStyle w:val="2024TABLETEXT"/>
              <w:framePr w:hSpace="0" w:wrap="auto" w:vAnchor="margin" w:yAlign="inline"/>
              <w:suppressOverlap w:val="0"/>
            </w:pPr>
            <w:r w:rsidRPr="0054775B">
              <w:t>Physiological symptoms of anxiety (heart rate, BP, adrenaline, skin conductance, weight gain, weight loss, cortisol levels)</w:t>
            </w:r>
          </w:p>
        </w:tc>
      </w:tr>
      <w:tr w:rsidR="00497D06" w:rsidRPr="0054775B" w14:paraId="416700D7" w14:textId="77777777" w:rsidTr="00513D94">
        <w:trPr>
          <w:trHeight w:val="95"/>
        </w:trPr>
        <w:tc>
          <w:tcPr>
            <w:tcW w:w="0" w:type="auto"/>
            <w:vMerge/>
            <w:tcBorders>
              <w:left w:val="single" w:sz="4" w:space="0" w:color="auto"/>
              <w:right w:val="single" w:sz="4" w:space="0" w:color="auto"/>
            </w:tcBorders>
            <w:shd w:val="clear" w:color="auto" w:fill="auto"/>
            <w:vAlign w:val="center"/>
          </w:tcPr>
          <w:p w14:paraId="02653568" w14:textId="77777777" w:rsidR="00497D06" w:rsidRPr="0054775B" w:rsidRDefault="00497D06" w:rsidP="00420FDC">
            <w:pPr>
              <w:pStyle w:val="2024TABLETEXT"/>
              <w:framePr w:hSpace="0" w:wrap="auto" w:vAnchor="margin" w:yAlign="inline"/>
              <w:suppressOverlap w:val="0"/>
            </w:pPr>
          </w:p>
        </w:tc>
        <w:tc>
          <w:tcPr>
            <w:tcW w:w="1279" w:type="dxa"/>
            <w:vMerge/>
            <w:tcBorders>
              <w:left w:val="nil"/>
              <w:right w:val="single" w:sz="4" w:space="0" w:color="auto"/>
            </w:tcBorders>
            <w:shd w:val="clear" w:color="auto" w:fill="auto"/>
            <w:vAlign w:val="center"/>
          </w:tcPr>
          <w:p w14:paraId="7FBE7772" w14:textId="77777777" w:rsidR="00497D06" w:rsidRPr="0054775B" w:rsidRDefault="00497D06" w:rsidP="00420FDC">
            <w:pPr>
              <w:pStyle w:val="2024TABLETEXT"/>
              <w:framePr w:hSpace="0" w:wrap="auto" w:vAnchor="margin" w:yAlign="inline"/>
              <w:suppressOverlap w:val="0"/>
            </w:pPr>
          </w:p>
        </w:tc>
        <w:tc>
          <w:tcPr>
            <w:tcW w:w="1229" w:type="dxa"/>
            <w:vMerge/>
            <w:tcBorders>
              <w:left w:val="nil"/>
              <w:right w:val="single" w:sz="4" w:space="0" w:color="auto"/>
            </w:tcBorders>
            <w:shd w:val="clear" w:color="auto" w:fill="auto"/>
            <w:vAlign w:val="center"/>
          </w:tcPr>
          <w:p w14:paraId="48F9581C" w14:textId="77777777" w:rsidR="00497D06" w:rsidRPr="0054775B" w:rsidRDefault="00497D06" w:rsidP="00420FDC">
            <w:pPr>
              <w:pStyle w:val="2024TABLETEXT"/>
              <w:framePr w:hSpace="0" w:wrap="auto" w:vAnchor="margin" w:yAlign="inline"/>
              <w:suppressOverlap w:val="0"/>
            </w:pPr>
          </w:p>
        </w:tc>
        <w:tc>
          <w:tcPr>
            <w:tcW w:w="758" w:type="dxa"/>
            <w:tcBorders>
              <w:top w:val="nil"/>
              <w:left w:val="nil"/>
              <w:bottom w:val="single" w:sz="4" w:space="0" w:color="auto"/>
              <w:right w:val="single" w:sz="4" w:space="0" w:color="auto"/>
            </w:tcBorders>
            <w:shd w:val="clear" w:color="auto" w:fill="auto"/>
            <w:vAlign w:val="center"/>
          </w:tcPr>
          <w:p w14:paraId="20B61925" w14:textId="32DB7A97" w:rsidR="00497D06" w:rsidRPr="0054775B" w:rsidRDefault="00497D06" w:rsidP="00420FDC">
            <w:pPr>
              <w:pStyle w:val="2024TABLETEXT"/>
              <w:framePr w:hSpace="0" w:wrap="auto" w:vAnchor="margin" w:yAlign="inline"/>
              <w:suppressOverlap w:val="0"/>
            </w:pPr>
            <w:r w:rsidRPr="0054775B">
              <w:t>8</w:t>
            </w:r>
          </w:p>
        </w:tc>
        <w:tc>
          <w:tcPr>
            <w:tcW w:w="5179" w:type="dxa"/>
            <w:tcBorders>
              <w:top w:val="nil"/>
              <w:left w:val="nil"/>
              <w:bottom w:val="single" w:sz="4" w:space="0" w:color="auto"/>
              <w:right w:val="single" w:sz="4" w:space="0" w:color="auto"/>
            </w:tcBorders>
            <w:shd w:val="clear" w:color="auto" w:fill="auto"/>
            <w:vAlign w:val="center"/>
          </w:tcPr>
          <w:p w14:paraId="04EF544C" w14:textId="1E81B4F6" w:rsidR="00497D06" w:rsidRPr="0054775B" w:rsidRDefault="00497D06" w:rsidP="00420FDC">
            <w:pPr>
              <w:pStyle w:val="2024TABLETEXT"/>
              <w:framePr w:hSpace="0" w:wrap="auto" w:vAnchor="margin" w:yAlign="inline"/>
              <w:suppressOverlap w:val="0"/>
            </w:pPr>
            <w:r w:rsidRPr="0054775B">
              <w:t>Quality of life</w:t>
            </w:r>
          </w:p>
        </w:tc>
      </w:tr>
      <w:tr w:rsidR="00497D06" w:rsidRPr="0054775B" w14:paraId="4271D4CD" w14:textId="77777777" w:rsidTr="00513D94">
        <w:trPr>
          <w:trHeight w:val="78"/>
        </w:trPr>
        <w:tc>
          <w:tcPr>
            <w:tcW w:w="0" w:type="auto"/>
            <w:vMerge/>
            <w:tcBorders>
              <w:left w:val="single" w:sz="4" w:space="0" w:color="auto"/>
              <w:right w:val="single" w:sz="4" w:space="0" w:color="auto"/>
            </w:tcBorders>
            <w:shd w:val="clear" w:color="auto" w:fill="auto"/>
            <w:vAlign w:val="center"/>
          </w:tcPr>
          <w:p w14:paraId="27980835" w14:textId="77777777" w:rsidR="00497D06" w:rsidRPr="0054775B" w:rsidRDefault="00497D06" w:rsidP="00420FDC">
            <w:pPr>
              <w:pStyle w:val="2024TABLETEXT"/>
              <w:framePr w:hSpace="0" w:wrap="auto" w:vAnchor="margin" w:yAlign="inline"/>
              <w:suppressOverlap w:val="0"/>
            </w:pPr>
          </w:p>
        </w:tc>
        <w:tc>
          <w:tcPr>
            <w:tcW w:w="1279" w:type="dxa"/>
            <w:vMerge/>
            <w:tcBorders>
              <w:left w:val="nil"/>
              <w:right w:val="single" w:sz="4" w:space="0" w:color="auto"/>
            </w:tcBorders>
            <w:shd w:val="clear" w:color="auto" w:fill="auto"/>
            <w:vAlign w:val="center"/>
          </w:tcPr>
          <w:p w14:paraId="0E7F9367" w14:textId="77777777" w:rsidR="00497D06" w:rsidRPr="0054775B" w:rsidRDefault="00497D06" w:rsidP="00420FDC">
            <w:pPr>
              <w:pStyle w:val="2024TABLETEXT"/>
              <w:framePr w:hSpace="0" w:wrap="auto" w:vAnchor="margin" w:yAlign="inline"/>
              <w:suppressOverlap w:val="0"/>
            </w:pPr>
          </w:p>
        </w:tc>
        <w:tc>
          <w:tcPr>
            <w:tcW w:w="1229" w:type="dxa"/>
            <w:vMerge/>
            <w:tcBorders>
              <w:left w:val="nil"/>
              <w:right w:val="single" w:sz="4" w:space="0" w:color="auto"/>
            </w:tcBorders>
            <w:shd w:val="clear" w:color="auto" w:fill="auto"/>
            <w:vAlign w:val="center"/>
          </w:tcPr>
          <w:p w14:paraId="4F468818" w14:textId="77777777" w:rsidR="00497D06" w:rsidRPr="0054775B" w:rsidRDefault="00497D06" w:rsidP="00420FDC">
            <w:pPr>
              <w:pStyle w:val="2024TABLETEXT"/>
              <w:framePr w:hSpace="0" w:wrap="auto" w:vAnchor="margin" w:yAlign="inline"/>
              <w:suppressOverlap w:val="0"/>
            </w:pPr>
          </w:p>
        </w:tc>
        <w:tc>
          <w:tcPr>
            <w:tcW w:w="758" w:type="dxa"/>
            <w:tcBorders>
              <w:top w:val="single" w:sz="4" w:space="0" w:color="auto"/>
              <w:left w:val="nil"/>
              <w:bottom w:val="single" w:sz="4" w:space="0" w:color="auto"/>
              <w:right w:val="single" w:sz="4" w:space="0" w:color="auto"/>
            </w:tcBorders>
            <w:shd w:val="clear" w:color="auto" w:fill="auto"/>
            <w:vAlign w:val="center"/>
          </w:tcPr>
          <w:p w14:paraId="5FDFEAF7" w14:textId="1EA25684" w:rsidR="00497D06" w:rsidRPr="0054775B" w:rsidRDefault="00497D06" w:rsidP="00420FDC">
            <w:pPr>
              <w:pStyle w:val="2024TABLETEXT"/>
              <w:framePr w:hSpace="0" w:wrap="auto" w:vAnchor="margin" w:yAlign="inline"/>
              <w:suppressOverlap w:val="0"/>
            </w:pPr>
            <w:r w:rsidRPr="0054775B">
              <w:t>7</w:t>
            </w:r>
          </w:p>
        </w:tc>
        <w:tc>
          <w:tcPr>
            <w:tcW w:w="5179" w:type="dxa"/>
            <w:tcBorders>
              <w:top w:val="single" w:sz="4" w:space="0" w:color="auto"/>
              <w:left w:val="nil"/>
              <w:bottom w:val="single" w:sz="4" w:space="0" w:color="auto"/>
              <w:right w:val="single" w:sz="4" w:space="0" w:color="auto"/>
            </w:tcBorders>
            <w:shd w:val="clear" w:color="auto" w:fill="auto"/>
            <w:vAlign w:val="center"/>
          </w:tcPr>
          <w:p w14:paraId="2C45F54D" w14:textId="1D0101DB" w:rsidR="00497D06" w:rsidRPr="0054775B" w:rsidRDefault="00497D06" w:rsidP="00420FDC">
            <w:pPr>
              <w:pStyle w:val="2024TABLETEXT"/>
              <w:framePr w:hSpace="0" w:wrap="auto" w:vAnchor="margin" w:yAlign="inline"/>
              <w:suppressOverlap w:val="0"/>
            </w:pPr>
            <w:r w:rsidRPr="0054775B">
              <w:t>Depression burden from stress</w:t>
            </w:r>
          </w:p>
        </w:tc>
      </w:tr>
      <w:tr w:rsidR="00497D06" w:rsidRPr="0054775B" w14:paraId="25260067" w14:textId="77777777" w:rsidTr="00513D94">
        <w:trPr>
          <w:trHeight w:val="95"/>
        </w:trPr>
        <w:tc>
          <w:tcPr>
            <w:tcW w:w="0" w:type="auto"/>
            <w:vMerge/>
            <w:tcBorders>
              <w:left w:val="single" w:sz="4" w:space="0" w:color="auto"/>
              <w:bottom w:val="single" w:sz="4" w:space="0" w:color="auto"/>
              <w:right w:val="single" w:sz="4" w:space="0" w:color="auto"/>
            </w:tcBorders>
            <w:shd w:val="clear" w:color="auto" w:fill="auto"/>
            <w:vAlign w:val="center"/>
          </w:tcPr>
          <w:p w14:paraId="5D5E6780" w14:textId="77777777" w:rsidR="00497D06" w:rsidRPr="0054775B" w:rsidRDefault="00497D06" w:rsidP="00420FDC">
            <w:pPr>
              <w:pStyle w:val="2024TABLETEXT"/>
              <w:framePr w:hSpace="0" w:wrap="auto" w:vAnchor="margin" w:yAlign="inline"/>
              <w:suppressOverlap w:val="0"/>
            </w:pPr>
          </w:p>
        </w:tc>
        <w:tc>
          <w:tcPr>
            <w:tcW w:w="1279" w:type="dxa"/>
            <w:vMerge/>
            <w:tcBorders>
              <w:left w:val="nil"/>
              <w:bottom w:val="single" w:sz="4" w:space="0" w:color="auto"/>
              <w:right w:val="single" w:sz="4" w:space="0" w:color="auto"/>
            </w:tcBorders>
            <w:shd w:val="clear" w:color="auto" w:fill="auto"/>
            <w:vAlign w:val="center"/>
          </w:tcPr>
          <w:p w14:paraId="09B57777" w14:textId="77777777" w:rsidR="00497D06" w:rsidRPr="0054775B" w:rsidRDefault="00497D06" w:rsidP="00420FDC">
            <w:pPr>
              <w:pStyle w:val="2024TABLETEXT"/>
              <w:framePr w:hSpace="0" w:wrap="auto" w:vAnchor="margin" w:yAlign="inline"/>
              <w:suppressOverlap w:val="0"/>
            </w:pPr>
          </w:p>
        </w:tc>
        <w:tc>
          <w:tcPr>
            <w:tcW w:w="1229" w:type="dxa"/>
            <w:vMerge/>
            <w:tcBorders>
              <w:left w:val="nil"/>
              <w:bottom w:val="single" w:sz="4" w:space="0" w:color="auto"/>
              <w:right w:val="single" w:sz="4" w:space="0" w:color="auto"/>
            </w:tcBorders>
            <w:shd w:val="clear" w:color="auto" w:fill="auto"/>
            <w:vAlign w:val="center"/>
          </w:tcPr>
          <w:p w14:paraId="11B4BB2B" w14:textId="77777777" w:rsidR="00497D06" w:rsidRPr="0054775B" w:rsidRDefault="00497D06" w:rsidP="00420FDC">
            <w:pPr>
              <w:pStyle w:val="2024TABLETEXT"/>
              <w:framePr w:hSpace="0" w:wrap="auto" w:vAnchor="margin" w:yAlign="inline"/>
              <w:suppressOverlap w:val="0"/>
            </w:pPr>
          </w:p>
        </w:tc>
        <w:tc>
          <w:tcPr>
            <w:tcW w:w="758" w:type="dxa"/>
            <w:tcBorders>
              <w:top w:val="single" w:sz="4" w:space="0" w:color="auto"/>
              <w:left w:val="nil"/>
              <w:bottom w:val="single" w:sz="4" w:space="0" w:color="auto"/>
              <w:right w:val="single" w:sz="4" w:space="0" w:color="auto"/>
            </w:tcBorders>
            <w:shd w:val="clear" w:color="auto" w:fill="auto"/>
            <w:vAlign w:val="center"/>
          </w:tcPr>
          <w:p w14:paraId="5D7D172B" w14:textId="709E1A53" w:rsidR="00497D06" w:rsidRPr="0054775B" w:rsidRDefault="00497D06" w:rsidP="00420FDC">
            <w:pPr>
              <w:pStyle w:val="2024TABLETEXT"/>
              <w:framePr w:hSpace="0" w:wrap="auto" w:vAnchor="margin" w:yAlign="inline"/>
              <w:suppressOverlap w:val="0"/>
            </w:pPr>
            <w:r w:rsidRPr="0054775B">
              <w:t>7</w:t>
            </w:r>
          </w:p>
        </w:tc>
        <w:tc>
          <w:tcPr>
            <w:tcW w:w="5179" w:type="dxa"/>
            <w:tcBorders>
              <w:top w:val="single" w:sz="4" w:space="0" w:color="auto"/>
              <w:left w:val="nil"/>
              <w:bottom w:val="single" w:sz="4" w:space="0" w:color="auto"/>
              <w:right w:val="single" w:sz="4" w:space="0" w:color="auto"/>
            </w:tcBorders>
            <w:shd w:val="clear" w:color="auto" w:fill="auto"/>
            <w:vAlign w:val="center"/>
          </w:tcPr>
          <w:p w14:paraId="22EEAF74" w14:textId="34CA41F5" w:rsidR="00497D06" w:rsidRPr="0054775B" w:rsidRDefault="00497D06" w:rsidP="00420FDC">
            <w:pPr>
              <w:pStyle w:val="2024TABLETEXT"/>
              <w:framePr w:hSpace="0" w:wrap="auto" w:vAnchor="margin" w:yAlign="inline"/>
              <w:suppressOverlap w:val="0"/>
            </w:pPr>
            <w:r w:rsidRPr="0054775B">
              <w:t>Absenteeism</w:t>
            </w:r>
          </w:p>
        </w:tc>
      </w:tr>
    </w:tbl>
    <w:p w14:paraId="32078771" w14:textId="77777777" w:rsidR="005D6EBD" w:rsidRPr="0054775B" w:rsidRDefault="005D6EBD" w:rsidP="009760CB">
      <w:pPr>
        <w:pStyle w:val="2024TABLEFOOTER"/>
      </w:pPr>
      <w:r w:rsidRPr="0054775B">
        <w:t>Abbreviations: BP=blood pressure; HRQoL=health-related quality of life; NTWC=Natural Therapies Working Group</w:t>
      </w:r>
    </w:p>
    <w:p w14:paraId="60D36A47" w14:textId="6159A94F" w:rsidR="005C2B27" w:rsidRPr="0054775B" w:rsidRDefault="005C2B27" w:rsidP="009760CB">
      <w:pPr>
        <w:pStyle w:val="2024TABLEFOOTER"/>
      </w:pPr>
      <w:r w:rsidRPr="0054775B">
        <w:t>*1-3 = of limited importance to decision making; 4-6 = important, but not critical, to decision making; 7-9 = critical for decision-making</w:t>
      </w:r>
    </w:p>
    <w:p w14:paraId="3447E7DB" w14:textId="77777777" w:rsidR="00F4792A" w:rsidRPr="0054775B" w:rsidRDefault="00F4792A" w:rsidP="009E6F7F">
      <w:pPr>
        <w:pStyle w:val="2024HEADER3"/>
        <w:rPr>
          <w:rFonts w:ascii="Aptos" w:hAnsi="Aptos"/>
        </w:rPr>
      </w:pPr>
      <w:r w:rsidRPr="0054775B">
        <w:rPr>
          <w:rFonts w:ascii="Aptos" w:hAnsi="Aptos"/>
        </w:rPr>
        <w:t>Search findings</w:t>
      </w:r>
    </w:p>
    <w:p w14:paraId="45969AD2" w14:textId="006000BB" w:rsidR="00F4792A" w:rsidRPr="0054775B" w:rsidRDefault="00F4792A" w:rsidP="009E6F7F">
      <w:r w:rsidRPr="0054775B">
        <w:t xml:space="preserve">In total, </w:t>
      </w:r>
      <w:r w:rsidR="00837553" w:rsidRPr="0054775B">
        <w:t>178</w:t>
      </w:r>
      <w:r w:rsidRPr="0054775B">
        <w:t xml:space="preserve"> </w:t>
      </w:r>
      <w:r w:rsidR="003C2AC9">
        <w:t>reviews</w:t>
      </w:r>
      <w:r w:rsidR="003C2AC9" w:rsidRPr="0054775B">
        <w:t xml:space="preserve"> </w:t>
      </w:r>
      <w:r w:rsidRPr="0054775B">
        <w:t xml:space="preserve">were </w:t>
      </w:r>
      <w:r w:rsidR="008C368A" w:rsidRPr="0054775B">
        <w:t>screened following</w:t>
      </w:r>
      <w:r w:rsidR="00705BEE" w:rsidRPr="0054775B">
        <w:t xml:space="preserve"> de-duplication</w:t>
      </w:r>
      <w:r w:rsidRPr="0054775B">
        <w:t xml:space="preserve">. </w:t>
      </w:r>
      <w:r w:rsidR="00E5406E" w:rsidRPr="0054775B">
        <w:t>O</w:t>
      </w:r>
      <w:r w:rsidR="0070573F" w:rsidRPr="0054775B">
        <w:t>ne</w:t>
      </w:r>
      <w:r w:rsidRPr="0054775B" w:rsidDel="003C2AC9">
        <w:t xml:space="preserve"> </w:t>
      </w:r>
      <w:r w:rsidR="003C2AC9">
        <w:t>review</w:t>
      </w:r>
      <w:r w:rsidR="003C2AC9" w:rsidRPr="0054775B">
        <w:t xml:space="preserve"> </w:t>
      </w:r>
      <w:r w:rsidRPr="0054775B">
        <w:t>provided by the Department’s call for evidence</w:t>
      </w:r>
      <w:r w:rsidR="0017282E" w:rsidRPr="0054775B">
        <w:t xml:space="preserve"> was relevant to this population-</w:t>
      </w:r>
      <w:r w:rsidR="0032560B">
        <w:t>supplement pair</w:t>
      </w:r>
      <w:r w:rsidR="0070573F" w:rsidRPr="0054775B">
        <w:t xml:space="preserve">, </w:t>
      </w:r>
      <w:r w:rsidR="00F933BB" w:rsidRPr="0054775B">
        <w:t xml:space="preserve">which </w:t>
      </w:r>
      <w:r w:rsidR="0070573F" w:rsidRPr="0054775B">
        <w:t>was already identified in database searching</w:t>
      </w:r>
      <w:r w:rsidR="0017282E" w:rsidRPr="0054775B">
        <w:t xml:space="preserve"> and</w:t>
      </w:r>
      <w:r w:rsidR="0070573F" w:rsidRPr="0054775B">
        <w:t xml:space="preserve"> excluded as a duplicate</w:t>
      </w:r>
      <w:r w:rsidR="00F751E8" w:rsidRPr="0054775B">
        <w:t xml:space="preserve"> (see Appendix </w:t>
      </w:r>
      <w:r w:rsidR="0001369D">
        <w:t>C</w:t>
      </w:r>
      <w:r w:rsidR="00FC3F8E">
        <w:t>2</w:t>
      </w:r>
      <w:r w:rsidR="00F751E8" w:rsidRPr="0054775B">
        <w:t>)</w:t>
      </w:r>
      <w:r w:rsidRPr="0054775B">
        <w:t xml:space="preserve">. After title and abstract screening, </w:t>
      </w:r>
      <w:r w:rsidR="00837553" w:rsidRPr="0054775B">
        <w:t>3</w:t>
      </w:r>
      <w:r w:rsidRPr="0054775B">
        <w:t xml:space="preserve"> </w:t>
      </w:r>
      <w:r w:rsidR="00417802">
        <w:t>reviews</w:t>
      </w:r>
      <w:r w:rsidR="00417802" w:rsidRPr="0054775B">
        <w:t xml:space="preserve"> </w:t>
      </w:r>
      <w:r w:rsidRPr="0054775B">
        <w:t xml:space="preserve">were assessed for eligibility at full-text screening: </w:t>
      </w:r>
    </w:p>
    <w:p w14:paraId="3DBE3119" w14:textId="4A5D5F18" w:rsidR="00F4792A" w:rsidRPr="0054775B" w:rsidRDefault="00837553" w:rsidP="00107BEE">
      <w:pPr>
        <w:pStyle w:val="ListParagraph"/>
        <w:numPr>
          <w:ilvl w:val="0"/>
          <w:numId w:val="6"/>
        </w:numPr>
      </w:pPr>
      <w:r w:rsidRPr="0054775B">
        <w:t>3</w:t>
      </w:r>
      <w:r w:rsidR="00F4792A" w:rsidRPr="0054775B" w:rsidDel="003C2AC9">
        <w:t xml:space="preserve"> </w:t>
      </w:r>
      <w:r w:rsidR="003C2AC9">
        <w:t>reviews</w:t>
      </w:r>
      <w:r w:rsidR="003C2AC9" w:rsidRPr="0054775B">
        <w:t xml:space="preserve"> </w:t>
      </w:r>
      <w:r w:rsidR="00F4792A" w:rsidRPr="0054775B">
        <w:t xml:space="preserve">did not meet inclusion criteria </w:t>
      </w:r>
      <w:r w:rsidR="0070573F" w:rsidRPr="0054775B">
        <w:t xml:space="preserve">(citation details and </w:t>
      </w:r>
      <w:r w:rsidR="001332AF" w:rsidRPr="0054775B">
        <w:t xml:space="preserve">reasons for exclusion recorded in Appendix </w:t>
      </w:r>
      <w:r w:rsidR="00FC3F8E">
        <w:t>C</w:t>
      </w:r>
      <w:r w:rsidR="0070573F" w:rsidRPr="0054775B">
        <w:t xml:space="preserve">) </w:t>
      </w:r>
    </w:p>
    <w:p w14:paraId="1D99C4BF" w14:textId="78A5800F" w:rsidR="00F4792A" w:rsidRPr="0054775B" w:rsidRDefault="0070573F" w:rsidP="009E6F7F">
      <w:r w:rsidRPr="0054775B">
        <w:t>Following assessment, n</w:t>
      </w:r>
      <w:r w:rsidR="00837553" w:rsidRPr="0054775B">
        <w:t>o</w:t>
      </w:r>
      <w:r w:rsidR="00F4792A" w:rsidRPr="0054775B">
        <w:t xml:space="preserve"> </w:t>
      </w:r>
      <w:r w:rsidR="00014DD4" w:rsidRPr="0054775B">
        <w:t>reviews</w:t>
      </w:r>
      <w:r w:rsidR="00F4792A" w:rsidRPr="0054775B">
        <w:t xml:space="preserve"> met the inclusion criteria</w:t>
      </w:r>
      <w:r w:rsidRPr="0054775B">
        <w:t xml:space="preserve">. </w:t>
      </w:r>
      <w:r w:rsidR="001065A8" w:rsidRPr="0054775B">
        <w:t>A</w:t>
      </w:r>
      <w:r w:rsidR="00F4792A" w:rsidRPr="0054775B">
        <w:t xml:space="preserve"> full PRISMA flowchart is presented below.</w:t>
      </w:r>
      <w:r w:rsidR="00F4792A" w:rsidRPr="0054775B">
        <w:rPr>
          <w:highlight w:val="yellow"/>
        </w:rPr>
        <w:t xml:space="preserve"> </w:t>
      </w:r>
    </w:p>
    <w:p w14:paraId="676D089D" w14:textId="547492F9" w:rsidR="00BF261D" w:rsidRPr="0054775B" w:rsidRDefault="002521E4" w:rsidP="00DC24F3">
      <w:pPr>
        <w:pStyle w:val="2024TABLECAPTION"/>
        <w:rPr>
          <w:rFonts w:ascii="Aptos" w:hAnsi="Aptos"/>
        </w:rPr>
      </w:pPr>
      <w:bookmarkStart w:id="64" w:name="_Toc178348005"/>
      <w:r w:rsidRPr="0054775B">
        <w:rPr>
          <w:rFonts w:ascii="Aptos" w:hAnsi="Aptos"/>
          <w:noProof/>
          <w:highlight w:val="yellow"/>
        </w:rPr>
        <w:lastRenderedPageBreak/>
        <mc:AlternateContent>
          <mc:Choice Requires="wpg">
            <w:drawing>
              <wp:anchor distT="0" distB="0" distL="114300" distR="114300" simplePos="0" relativeHeight="251658242" behindDoc="0" locked="0" layoutInCell="1" allowOverlap="1" wp14:anchorId="0FDE3F4A" wp14:editId="6B705593">
                <wp:simplePos x="0" y="0"/>
                <wp:positionH relativeFrom="column">
                  <wp:posOffset>8890</wp:posOffset>
                </wp:positionH>
                <wp:positionV relativeFrom="paragraph">
                  <wp:posOffset>239395</wp:posOffset>
                </wp:positionV>
                <wp:extent cx="5339080" cy="4379595"/>
                <wp:effectExtent l="0" t="0" r="7620" b="14605"/>
                <wp:wrapSquare wrapText="bothSides"/>
                <wp:docPr id="2018946614" name="Group 2018946614"/>
                <wp:cNvGraphicFramePr/>
                <a:graphic xmlns:a="http://schemas.openxmlformats.org/drawingml/2006/main">
                  <a:graphicData uri="http://schemas.microsoft.com/office/word/2010/wordprocessingGroup">
                    <wpg:wgp>
                      <wpg:cNvGrpSpPr/>
                      <wpg:grpSpPr>
                        <a:xfrm>
                          <a:off x="0" y="0"/>
                          <a:ext cx="5339080" cy="4379595"/>
                          <a:chOff x="0" y="0"/>
                          <a:chExt cx="5536496" cy="4455313"/>
                        </a:xfrm>
                      </wpg:grpSpPr>
                      <wps:wsp>
                        <wps:cNvPr id="390985807" name="Rectangle 390985807"/>
                        <wps:cNvSpPr/>
                        <wps:spPr>
                          <a:xfrm>
                            <a:off x="3180706" y="425302"/>
                            <a:ext cx="2265993" cy="83947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DBA9BDE" w14:textId="77777777" w:rsidR="001B6DE5" w:rsidRPr="000A34EA" w:rsidRDefault="001B6DE5" w:rsidP="00DC24F3">
                              <w:pPr>
                                <w:pStyle w:val="2024-PRISMA"/>
                              </w:pPr>
                              <w:r w:rsidRPr="000A34EA">
                                <w:t>Records removed before screening:</w:t>
                              </w:r>
                            </w:p>
                            <w:p w14:paraId="4AFA4A92" w14:textId="31E22FA3" w:rsidR="001B6DE5" w:rsidRPr="000A34EA" w:rsidRDefault="001B6DE5" w:rsidP="00DC24F3">
                              <w:pPr>
                                <w:pStyle w:val="2024-PRISMA"/>
                              </w:pPr>
                              <w:r w:rsidRPr="000A34EA">
                                <w:t xml:space="preserve">Duplicate records removed (n = </w:t>
                              </w:r>
                              <w:r w:rsidR="0070573F">
                                <w:t>10</w:t>
                              </w:r>
                              <w:r w:rsidRPr="000A34EA">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4331360" name="Rectangle 464331360"/>
                        <wps:cNvSpPr/>
                        <wps:spPr>
                          <a:xfrm>
                            <a:off x="3150825" y="1514682"/>
                            <a:ext cx="2295874" cy="52641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C600BF7" w14:textId="77777777" w:rsidR="001B6DE5" w:rsidRPr="000A34EA" w:rsidRDefault="001B6DE5" w:rsidP="00DC24F3">
                              <w:pPr>
                                <w:pStyle w:val="2024-PRISMA"/>
                              </w:pPr>
                              <w:r w:rsidRPr="000A34EA">
                                <w:t>Records excluded</w:t>
                              </w:r>
                            </w:p>
                            <w:p w14:paraId="0BB808A1" w14:textId="76A87505" w:rsidR="001B6DE5" w:rsidRPr="000A34EA" w:rsidRDefault="001B6DE5" w:rsidP="00DC24F3">
                              <w:pPr>
                                <w:pStyle w:val="2024-PRISMA"/>
                              </w:pPr>
                              <w:r w:rsidRPr="000A34EA">
                                <w:t xml:space="preserve">(n = </w:t>
                              </w:r>
                              <w:r>
                                <w:t>175</w:t>
                              </w:r>
                              <w:r w:rsidRPr="000A34EA">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7015094" name="Rectangle 97015094"/>
                        <wps:cNvSpPr/>
                        <wps:spPr>
                          <a:xfrm>
                            <a:off x="3116254" y="2155139"/>
                            <a:ext cx="2330445" cy="717331"/>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BB49D15" w14:textId="77777777" w:rsidR="001B6DE5" w:rsidRDefault="001B6DE5" w:rsidP="00DC24F3">
                              <w:pPr>
                                <w:pStyle w:val="2024-PRISMA"/>
                              </w:pPr>
                              <w:r>
                                <w:t>Full-text unavailable</w:t>
                              </w:r>
                              <w:r w:rsidRPr="000A34EA">
                                <w:t xml:space="preserve"> (n</w:t>
                              </w:r>
                              <w:r>
                                <w:t xml:space="preserve"> = 0</w:t>
                              </w:r>
                              <w:r w:rsidRPr="000A34EA">
                                <w:t>)</w:t>
                              </w:r>
                            </w:p>
                            <w:p w14:paraId="5AFB3B91" w14:textId="51A1C5B0" w:rsidR="001B6DE5" w:rsidRPr="000A34EA" w:rsidRDefault="001B6DE5" w:rsidP="00DC24F3">
                              <w:pPr>
                                <w:pStyle w:val="2024-PRISMA"/>
                              </w:pPr>
                              <w:r>
                                <w:t>Ongoing study</w:t>
                              </w:r>
                              <w:r w:rsidRPr="000A34EA">
                                <w:t xml:space="preserve"> (n</w:t>
                              </w:r>
                              <w:r>
                                <w:t xml:space="preserve"> = </w:t>
                              </w:r>
                              <w:r w:rsidR="002821AB">
                                <w:t>0</w:t>
                              </w:r>
                              <w:r w:rsidRPr="000A34EA">
                                <w:t>)</w:t>
                              </w:r>
                            </w:p>
                            <w:p w14:paraId="4A700F11" w14:textId="77777777" w:rsidR="0017022E" w:rsidRPr="008C6127" w:rsidRDefault="0017022E" w:rsidP="0017022E">
                              <w:pPr>
                                <w:pStyle w:val="2024-PRISMA"/>
                              </w:pPr>
                              <w:r>
                                <w:t>Conference abstracts (n = 0)</w:t>
                              </w:r>
                            </w:p>
                            <w:p w14:paraId="73291D23" w14:textId="15D9EE9A" w:rsidR="001B6DE5" w:rsidRPr="000A34EA" w:rsidRDefault="0097733F" w:rsidP="00DC24F3">
                              <w:pPr>
                                <w:pStyle w:val="2024-PRISMA"/>
                              </w:pPr>
                              <w:r>
                                <w:t>Reviews</w:t>
                              </w:r>
                              <w:r w:rsidRPr="008C6127">
                                <w:t xml:space="preserve"> </w:t>
                              </w:r>
                              <w:r w:rsidR="001B6DE5" w:rsidRPr="000A34EA">
                                <w:t xml:space="preserve">Awaiting Classification (n = </w:t>
                              </w:r>
                              <w:r w:rsidR="001B6DE5">
                                <w:t>0</w:t>
                              </w:r>
                              <w:r w:rsidR="001B6DE5" w:rsidRPr="000A34EA">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25948426" name="Rectangle 425948426"/>
                        <wps:cNvSpPr/>
                        <wps:spPr>
                          <a:xfrm>
                            <a:off x="3116254" y="2955852"/>
                            <a:ext cx="2330444" cy="89400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E789287" w14:textId="1A636057" w:rsidR="001B6DE5" w:rsidRPr="000A34EA" w:rsidRDefault="001B6DE5" w:rsidP="00DC24F3">
                              <w:pPr>
                                <w:pStyle w:val="2024-PRISMA"/>
                              </w:pPr>
                              <w:r w:rsidRPr="000A34EA">
                                <w:t xml:space="preserve">Reports excluded (n = </w:t>
                              </w:r>
                              <w:r w:rsidR="002821AB">
                                <w:t>3</w:t>
                              </w:r>
                              <w:r w:rsidRPr="000A34EA">
                                <w:t>):</w:t>
                              </w:r>
                            </w:p>
                            <w:p w14:paraId="129A01AA" w14:textId="51D62295" w:rsidR="001B6DE5" w:rsidRDefault="001B6DE5" w:rsidP="00DC24F3">
                              <w:pPr>
                                <w:pStyle w:val="2024-PRISMA"/>
                              </w:pPr>
                              <w:r>
                                <w:t xml:space="preserve">Wrong population (n = </w:t>
                              </w:r>
                              <w:r w:rsidR="005843DE">
                                <w:t>2</w:t>
                              </w:r>
                              <w:r>
                                <w:t>)</w:t>
                              </w:r>
                            </w:p>
                            <w:p w14:paraId="215436F0" w14:textId="5EC2A668" w:rsidR="001B6DE5" w:rsidRPr="000A34EA" w:rsidRDefault="001B6DE5" w:rsidP="00DC24F3">
                              <w:pPr>
                                <w:pStyle w:val="2024-PRISMA"/>
                              </w:pPr>
                              <w:r>
                                <w:t xml:space="preserve">Does not meet minimum criteria for systematic review (n = </w:t>
                              </w:r>
                              <w:r w:rsidR="002821AB">
                                <w:t>1</w:t>
                              </w:r>
                              <w: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3678727" name="Straight Arrow Connector 263678727"/>
                        <wps:cNvCnPr/>
                        <wps:spPr>
                          <a:xfrm>
                            <a:off x="2424224" y="975833"/>
                            <a:ext cx="756482"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089960040" name="Straight Arrow Connector 2089960040"/>
                        <wps:cNvCnPr>
                          <a:stCxn id="1045781173" idx="3"/>
                          <a:endCxn id="464331360" idx="1"/>
                        </wps:cNvCnPr>
                        <wps:spPr>
                          <a:xfrm flipV="1">
                            <a:off x="2386951" y="1777890"/>
                            <a:ext cx="763874" cy="5774"/>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498186141" name="Straight Arrow Connector 1498186141"/>
                        <wps:cNvCnPr/>
                        <wps:spPr>
                          <a:xfrm>
                            <a:off x="2402958" y="2421860"/>
                            <a:ext cx="713296"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876723344" name="Straight Arrow Connector 876723344"/>
                        <wps:cNvCnPr/>
                        <wps:spPr>
                          <a:xfrm>
                            <a:off x="2413591" y="3155507"/>
                            <a:ext cx="702663"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97730821" name="Flowchart: Alternate Process 31"/>
                        <wps:cNvSpPr/>
                        <wps:spPr>
                          <a:xfrm rot="16200000">
                            <a:off x="-299735" y="707582"/>
                            <a:ext cx="1009400" cy="343868"/>
                          </a:xfrm>
                          <a:prstGeom prst="flowChartAlternateProcess">
                            <a:avLst/>
                          </a:prstGeom>
                          <a:solidFill>
                            <a:schemeClr val="accent5">
                              <a:lumMod val="60000"/>
                              <a:lumOff val="40000"/>
                            </a:schemeClr>
                          </a:solidFill>
                          <a:ln>
                            <a:solidFill>
                              <a:schemeClr val="tx1"/>
                            </a:solidFill>
                          </a:ln>
                        </wps:spPr>
                        <wps:style>
                          <a:lnRef idx="2">
                            <a:schemeClr val="accent4">
                              <a:shade val="50000"/>
                            </a:schemeClr>
                          </a:lnRef>
                          <a:fillRef idx="1">
                            <a:schemeClr val="accent4"/>
                          </a:fillRef>
                          <a:effectRef idx="0">
                            <a:schemeClr val="accent4"/>
                          </a:effectRef>
                          <a:fontRef idx="minor">
                            <a:schemeClr val="lt1"/>
                          </a:fontRef>
                        </wps:style>
                        <wps:txbx>
                          <w:txbxContent>
                            <w:p w14:paraId="588A96B8" w14:textId="77777777" w:rsidR="001B6DE5" w:rsidRPr="001428E8" w:rsidRDefault="001B6DE5" w:rsidP="00DC24F3">
                              <w:pPr>
                                <w:pStyle w:val="2024-PRISMA"/>
                                <w:rPr>
                                  <w:b/>
                                </w:rPr>
                              </w:pPr>
                              <w:r w:rsidRPr="001428E8">
                                <w:rPr>
                                  <w:b/>
                                </w:rPr>
                                <w:t>Identification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57986289" name="Flowchart: Alternate Process 32"/>
                        <wps:cNvSpPr/>
                        <wps:spPr>
                          <a:xfrm rot="16200000">
                            <a:off x="-891794" y="2386426"/>
                            <a:ext cx="2193675" cy="343868"/>
                          </a:xfrm>
                          <a:prstGeom prst="flowChartAlternateProcess">
                            <a:avLst/>
                          </a:prstGeom>
                          <a:solidFill>
                            <a:schemeClr val="accent5">
                              <a:lumMod val="60000"/>
                              <a:lumOff val="40000"/>
                            </a:schemeClr>
                          </a:solidFill>
                          <a:ln>
                            <a:solidFill>
                              <a:schemeClr val="tx1"/>
                            </a:solidFill>
                          </a:ln>
                        </wps:spPr>
                        <wps:style>
                          <a:lnRef idx="2">
                            <a:schemeClr val="accent4">
                              <a:shade val="50000"/>
                            </a:schemeClr>
                          </a:lnRef>
                          <a:fillRef idx="1">
                            <a:schemeClr val="accent4"/>
                          </a:fillRef>
                          <a:effectRef idx="0">
                            <a:schemeClr val="accent4"/>
                          </a:effectRef>
                          <a:fontRef idx="minor">
                            <a:schemeClr val="lt1"/>
                          </a:fontRef>
                        </wps:style>
                        <wps:txbx>
                          <w:txbxContent>
                            <w:p w14:paraId="393B03EF" w14:textId="77777777" w:rsidR="001B6DE5" w:rsidRPr="001428E8" w:rsidRDefault="001B6DE5" w:rsidP="001428E8">
                              <w:pPr>
                                <w:pStyle w:val="2024-PRISMA"/>
                                <w:jc w:val="center"/>
                                <w:rPr>
                                  <w:b/>
                                </w:rPr>
                              </w:pPr>
                              <w:r w:rsidRPr="001428E8">
                                <w:rPr>
                                  <w:b/>
                                </w:rPr>
                                <w:t>Screening</w:t>
                              </w:r>
                            </w:p>
                            <w:p w14:paraId="2812CB68" w14:textId="77777777" w:rsidR="001B6DE5" w:rsidRPr="001428E8" w:rsidRDefault="001B6DE5" w:rsidP="001428E8">
                              <w:pPr>
                                <w:pStyle w:val="2024-PRISMA"/>
                                <w:jc w:val="center"/>
                                <w:rPr>
                                  <w: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78188760" name="Flowchart: Alternate Process 33"/>
                        <wps:cNvSpPr/>
                        <wps:spPr>
                          <a:xfrm rot="16200000">
                            <a:off x="-154891" y="3932133"/>
                            <a:ext cx="711091" cy="335269"/>
                          </a:xfrm>
                          <a:prstGeom prst="flowChartAlternateProcess">
                            <a:avLst/>
                          </a:prstGeom>
                          <a:solidFill>
                            <a:schemeClr val="accent5">
                              <a:lumMod val="60000"/>
                              <a:lumOff val="40000"/>
                            </a:schemeClr>
                          </a:solidFill>
                          <a:ln>
                            <a:solidFill>
                              <a:schemeClr val="tx1"/>
                            </a:solidFill>
                          </a:ln>
                        </wps:spPr>
                        <wps:style>
                          <a:lnRef idx="2">
                            <a:schemeClr val="accent4">
                              <a:shade val="50000"/>
                            </a:schemeClr>
                          </a:lnRef>
                          <a:fillRef idx="1">
                            <a:schemeClr val="accent4"/>
                          </a:fillRef>
                          <a:effectRef idx="0">
                            <a:schemeClr val="accent4"/>
                          </a:effectRef>
                          <a:fontRef idx="minor">
                            <a:schemeClr val="lt1"/>
                          </a:fontRef>
                        </wps:style>
                        <wps:txbx>
                          <w:txbxContent>
                            <w:p w14:paraId="7520E322" w14:textId="77777777" w:rsidR="001B6DE5" w:rsidRPr="001428E8" w:rsidRDefault="001B6DE5" w:rsidP="00DC24F3">
                              <w:pPr>
                                <w:pStyle w:val="2024-PRISMA"/>
                                <w:rPr>
                                  <w:b/>
                                </w:rPr>
                              </w:pPr>
                              <w:r w:rsidRPr="001428E8">
                                <w:rPr>
                                  <w:b/>
                                </w:rPr>
                                <w:t>Included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37335494" name="Straight Arrow Connector 1037335494"/>
                        <wps:cNvCnPr/>
                        <wps:spPr>
                          <a:xfrm>
                            <a:off x="1339407" y="1233377"/>
                            <a:ext cx="0" cy="28130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314956803" name="Straight Arrow Connector 1314956803"/>
                        <wps:cNvCnPr/>
                        <wps:spPr>
                          <a:xfrm>
                            <a:off x="1339407" y="1967023"/>
                            <a:ext cx="0" cy="28130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550465971" name="Straight Arrow Connector 550465971"/>
                        <wps:cNvCnPr/>
                        <wps:spPr>
                          <a:xfrm>
                            <a:off x="1350040" y="2690037"/>
                            <a:ext cx="0" cy="28130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898834611" name="Straight Arrow Connector 898834611"/>
                        <wps:cNvCnPr/>
                        <wps:spPr>
                          <a:xfrm>
                            <a:off x="1339406" y="3090578"/>
                            <a:ext cx="0" cy="74612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484912574" name="Flowchart: Alternate Process 29"/>
                        <wps:cNvSpPr/>
                        <wps:spPr>
                          <a:xfrm>
                            <a:off x="0" y="0"/>
                            <a:ext cx="5536496" cy="291848"/>
                          </a:xfrm>
                          <a:prstGeom prst="flowChartAlternateProcess">
                            <a:avLst/>
                          </a:prstGeom>
                        </wps:spPr>
                        <wps:style>
                          <a:lnRef idx="2">
                            <a:schemeClr val="accent4">
                              <a:shade val="50000"/>
                            </a:schemeClr>
                          </a:lnRef>
                          <a:fillRef idx="1">
                            <a:schemeClr val="accent4"/>
                          </a:fillRef>
                          <a:effectRef idx="0">
                            <a:schemeClr val="accent4"/>
                          </a:effectRef>
                          <a:fontRef idx="minor">
                            <a:schemeClr val="lt1"/>
                          </a:fontRef>
                        </wps:style>
                        <wps:txbx>
                          <w:txbxContent>
                            <w:p w14:paraId="3B800E67" w14:textId="5FCB9A0E" w:rsidR="001B6DE5" w:rsidRPr="001428E8" w:rsidRDefault="001B6DE5" w:rsidP="001428E8">
                              <w:pPr>
                                <w:pStyle w:val="2024-PRISMA"/>
                                <w:jc w:val="center"/>
                                <w:rPr>
                                  <w:b/>
                                </w:rPr>
                              </w:pPr>
                              <w:r w:rsidRPr="001428E8">
                                <w:rPr>
                                  <w:b/>
                                </w:rPr>
                                <w:t xml:space="preserve">Identification of </w:t>
                              </w:r>
                              <w:r w:rsidR="00AA3B87">
                                <w:rPr>
                                  <w:b/>
                                </w:rPr>
                                <w:t>reviews</w:t>
                              </w:r>
                              <w:r w:rsidR="00AA3B87" w:rsidRPr="001428E8">
                                <w:rPr>
                                  <w:b/>
                                </w:rPr>
                                <w:t xml:space="preserve"> </w:t>
                              </w:r>
                              <w:r w:rsidRPr="001428E8">
                                <w:rPr>
                                  <w:b/>
                                </w:rPr>
                                <w:t>via databases and register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12134231" name="Rectangle 612134231"/>
                        <wps:cNvSpPr/>
                        <wps:spPr>
                          <a:xfrm>
                            <a:off x="499730" y="425302"/>
                            <a:ext cx="2226375" cy="839972"/>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A706005" w14:textId="5E5C28CF" w:rsidR="001B6DE5" w:rsidRPr="000A34EA" w:rsidRDefault="001B6DE5" w:rsidP="00DC24F3">
                              <w:pPr>
                                <w:pStyle w:val="2024-PRISMA"/>
                              </w:pPr>
                              <w:r w:rsidRPr="000A34EA">
                                <w:t>Records identified from:</w:t>
                              </w:r>
                            </w:p>
                            <w:p w14:paraId="24207DEE" w14:textId="3736C3A5" w:rsidR="001B6DE5" w:rsidRPr="000A34EA" w:rsidRDefault="001B6DE5" w:rsidP="00DC24F3">
                              <w:pPr>
                                <w:pStyle w:val="2024-PRISMA"/>
                              </w:pPr>
                              <w:r w:rsidRPr="000A34EA">
                                <w:t xml:space="preserve">Databases and registers (n = </w:t>
                              </w:r>
                              <w:r>
                                <w:t>187</w:t>
                              </w:r>
                              <w:r w:rsidRPr="000A34EA">
                                <w:t>)</w:t>
                              </w:r>
                            </w:p>
                            <w:p w14:paraId="0D8BCC56" w14:textId="77777777" w:rsidR="001B6DE5" w:rsidRDefault="001B6DE5" w:rsidP="00DC24F3">
                              <w:pPr>
                                <w:pStyle w:val="2024-PRISMA"/>
                              </w:pPr>
                              <w:r w:rsidRPr="000A34EA">
                                <w:t>Manual</w:t>
                              </w:r>
                              <w:r>
                                <w:t xml:space="preserve"> or </w:t>
                              </w:r>
                              <w:r w:rsidRPr="000A34EA">
                                <w:t xml:space="preserve">citation </w:t>
                              </w:r>
                              <w:r>
                                <w:t xml:space="preserve">searching </w:t>
                              </w:r>
                              <w:r w:rsidRPr="000A34EA">
                                <w:t xml:space="preserve">(n = </w:t>
                              </w:r>
                              <w:r>
                                <w:t>0</w:t>
                              </w:r>
                              <w:r w:rsidRPr="000A34EA">
                                <w:t>)</w:t>
                              </w:r>
                            </w:p>
                            <w:p w14:paraId="472AAD8C" w14:textId="612F460B" w:rsidR="001B6DE5" w:rsidRPr="000A34EA" w:rsidRDefault="001B6DE5" w:rsidP="00DC24F3">
                              <w:pPr>
                                <w:pStyle w:val="2024-PRISMA"/>
                              </w:pPr>
                              <w:r>
                                <w:t>Department’s call for evidence</w:t>
                              </w:r>
                              <w:r w:rsidRPr="000A34EA">
                                <w:t xml:space="preserve"> (n = </w:t>
                              </w:r>
                              <w:r w:rsidR="0070573F">
                                <w:t>1</w:t>
                              </w:r>
                              <w:r w:rsidRPr="000A34EA">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45781173" name="Rectangle 1045781173"/>
                        <wps:cNvSpPr/>
                        <wps:spPr>
                          <a:xfrm>
                            <a:off x="499731" y="1520456"/>
                            <a:ext cx="1887220" cy="52641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29A2CE2" w14:textId="77777777" w:rsidR="001B6DE5" w:rsidRPr="000A34EA" w:rsidRDefault="001B6DE5" w:rsidP="00DC24F3">
                              <w:pPr>
                                <w:pStyle w:val="2024-PRISMA"/>
                              </w:pPr>
                              <w:r w:rsidRPr="000A34EA">
                                <w:t>Records screened</w:t>
                              </w:r>
                            </w:p>
                            <w:p w14:paraId="1FB8DB35" w14:textId="7D401AB5" w:rsidR="001B6DE5" w:rsidRPr="000A34EA" w:rsidRDefault="001B6DE5" w:rsidP="00DC24F3">
                              <w:pPr>
                                <w:pStyle w:val="2024-PRISMA"/>
                              </w:pPr>
                              <w:r w:rsidRPr="000A34EA">
                                <w:t xml:space="preserve">(n = </w:t>
                              </w:r>
                              <w:r>
                                <w:t>178</w:t>
                              </w:r>
                              <w:r w:rsidRPr="000A34EA">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34405807" name="Rectangle 1734405807"/>
                        <wps:cNvSpPr/>
                        <wps:spPr>
                          <a:xfrm>
                            <a:off x="499731" y="2977116"/>
                            <a:ext cx="1887220" cy="52641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8A560AD" w14:textId="77777777" w:rsidR="001B6DE5" w:rsidRPr="000A34EA" w:rsidRDefault="001B6DE5" w:rsidP="00DC24F3">
                              <w:pPr>
                                <w:pStyle w:val="2024-PRISMA"/>
                              </w:pPr>
                              <w:r w:rsidRPr="000A34EA">
                                <w:t>Reports assessed for eligibility</w:t>
                              </w:r>
                            </w:p>
                            <w:p w14:paraId="0B7A9B73" w14:textId="5D5F7A7B" w:rsidR="001B6DE5" w:rsidRPr="000A34EA" w:rsidRDefault="001B6DE5" w:rsidP="00DC24F3">
                              <w:pPr>
                                <w:pStyle w:val="2024-PRISMA"/>
                              </w:pPr>
                              <w:r w:rsidRPr="000A34EA">
                                <w:t xml:space="preserve">(n = </w:t>
                              </w:r>
                              <w:r w:rsidR="002821AB">
                                <w:t>3</w:t>
                              </w:r>
                              <w:r w:rsidRPr="000A34EA">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93056933" name="Rectangle 1093056933"/>
                        <wps:cNvSpPr/>
                        <wps:spPr>
                          <a:xfrm>
                            <a:off x="489098" y="3849854"/>
                            <a:ext cx="1887220" cy="511952"/>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63F5177" w14:textId="2D853909" w:rsidR="001B6DE5" w:rsidRPr="000A34EA" w:rsidRDefault="00AA3B87" w:rsidP="00DC24F3">
                              <w:pPr>
                                <w:pStyle w:val="2024-PRISMA"/>
                              </w:pPr>
                              <w:r>
                                <w:t>Reviews</w:t>
                              </w:r>
                              <w:r w:rsidRPr="000A34EA">
                                <w:t xml:space="preserve"> </w:t>
                              </w:r>
                              <w:r w:rsidR="001B6DE5" w:rsidRPr="000A34EA">
                                <w:t xml:space="preserve">included in </w:t>
                              </w:r>
                              <w:r>
                                <w:t>over</w:t>
                              </w:r>
                              <w:r w:rsidR="001B6DE5" w:rsidRPr="000A34EA">
                                <w:t>view</w:t>
                              </w:r>
                            </w:p>
                            <w:p w14:paraId="1624FEB3" w14:textId="1D695FAF" w:rsidR="001B6DE5" w:rsidRPr="000A34EA" w:rsidRDefault="001B6DE5" w:rsidP="00DC24F3">
                              <w:pPr>
                                <w:pStyle w:val="2024-PRISMA"/>
                              </w:pPr>
                              <w:r w:rsidRPr="000A34EA">
                                <w:t xml:space="preserve">(n = </w:t>
                              </w:r>
                              <w:r w:rsidR="002821AB">
                                <w:t>0</w:t>
                              </w:r>
                              <w:r w:rsidRPr="000A34EA">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62603473" name="Rectangle 962603473"/>
                        <wps:cNvSpPr/>
                        <wps:spPr>
                          <a:xfrm>
                            <a:off x="499731" y="2243470"/>
                            <a:ext cx="1887220" cy="52641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E4CBBDF" w14:textId="77777777" w:rsidR="001B6DE5" w:rsidRPr="000A34EA" w:rsidRDefault="001B6DE5" w:rsidP="00DC24F3">
                              <w:pPr>
                                <w:pStyle w:val="2024-PRISMA"/>
                              </w:pPr>
                              <w:r w:rsidRPr="000A34EA">
                                <w:t>Reports sought for retrieval</w:t>
                              </w:r>
                            </w:p>
                            <w:p w14:paraId="30D00878" w14:textId="22703DB2" w:rsidR="001B6DE5" w:rsidRPr="000A34EA" w:rsidRDefault="001B6DE5" w:rsidP="00DC24F3">
                              <w:pPr>
                                <w:pStyle w:val="2024-PRISMA"/>
                              </w:pPr>
                              <w:r w:rsidRPr="000A34EA">
                                <w:t xml:space="preserve">(n = </w:t>
                              </w:r>
                              <w:r>
                                <w:t>3</w:t>
                              </w:r>
                              <w:r w:rsidRPr="000A34EA">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FDE3F4A" id="Group 2018946614" o:spid="_x0000_s1048" style="position:absolute;margin-left:.7pt;margin-top:18.85pt;width:420.4pt;height:344.85pt;z-index:251658242;mso-width-relative:margin;mso-height-relative:margin" coordsize="55364,445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">
                <v:rect id="Rectangle 390985807" o:spid="_x0000_s1049" style="position:absolute;left:31807;top:4253;width:22659;height:83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" filled="f" strokecolor="black [3213]" strokeweight="1pt">
                  <v:textbox>
                    <w:txbxContent>
                      <w:p w14:paraId="0DBA9BDE" w14:textId="77777777" w:rsidR="001B6DE5" w:rsidRPr="000A34EA" w:rsidRDefault="001B6DE5" w:rsidP="00DC24F3">
                        <w:pPr>
                          <w:pStyle w:val="2024-PRISMA"/>
                        </w:pPr>
                        <w:r w:rsidRPr="000A34EA">
                          <w:t>Records removed before screening:</w:t>
                        </w:r>
                      </w:p>
                      <w:p w14:paraId="4AFA4A92" w14:textId="31E22FA3" w:rsidR="001B6DE5" w:rsidRPr="000A34EA" w:rsidRDefault="001B6DE5" w:rsidP="00DC24F3">
                        <w:pPr>
                          <w:pStyle w:val="2024-PRISMA"/>
                        </w:pPr>
                        <w:r w:rsidRPr="000A34EA">
                          <w:t xml:space="preserve">Duplicate records removed (n = </w:t>
                        </w:r>
                        <w:r w:rsidR="0070573F">
                          <w:t>10</w:t>
                        </w:r>
                        <w:r w:rsidRPr="000A34EA">
                          <w:t>)</w:t>
                        </w:r>
                      </w:p>
                    </w:txbxContent>
                  </v:textbox>
                </v:rect>
                <v:rect id="Rectangle 464331360" o:spid="_x0000_s1050" style="position:absolute;left:31508;top:15146;width:22958;height:52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" filled="f" strokecolor="black [3213]" strokeweight="1pt">
                  <v:textbox>
                    <w:txbxContent>
                      <w:p w14:paraId="7C600BF7" w14:textId="77777777" w:rsidR="001B6DE5" w:rsidRPr="000A34EA" w:rsidRDefault="001B6DE5" w:rsidP="00DC24F3">
                        <w:pPr>
                          <w:pStyle w:val="2024-PRISMA"/>
                        </w:pPr>
                        <w:r w:rsidRPr="000A34EA">
                          <w:t>Records excluded</w:t>
                        </w:r>
                      </w:p>
                      <w:p w14:paraId="0BB808A1" w14:textId="76A87505" w:rsidR="001B6DE5" w:rsidRPr="000A34EA" w:rsidRDefault="001B6DE5" w:rsidP="00DC24F3">
                        <w:pPr>
                          <w:pStyle w:val="2024-PRISMA"/>
                        </w:pPr>
                        <w:r w:rsidRPr="000A34EA">
                          <w:t xml:space="preserve">(n = </w:t>
                        </w:r>
                        <w:r>
                          <w:t>175</w:t>
                        </w:r>
                        <w:r w:rsidRPr="000A34EA">
                          <w:t>)</w:t>
                        </w:r>
                      </w:p>
                    </w:txbxContent>
                  </v:textbox>
                </v:rect>
                <v:rect id="Rectangle 97015094" o:spid="_x0000_s1051" style="position:absolute;left:31162;top:21551;width:23304;height:71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" filled="f" strokecolor="black [3213]" strokeweight="1pt">
                  <v:textbox>
                    <w:txbxContent>
                      <w:p w14:paraId="7BB49D15" w14:textId="77777777" w:rsidR="001B6DE5" w:rsidRDefault="001B6DE5" w:rsidP="00DC24F3">
                        <w:pPr>
                          <w:pStyle w:val="2024-PRISMA"/>
                        </w:pPr>
                        <w:r>
                          <w:t>Full-text unavailable</w:t>
                        </w:r>
                        <w:r w:rsidRPr="000A34EA">
                          <w:t xml:space="preserve"> (n</w:t>
                        </w:r>
                        <w:r>
                          <w:t xml:space="preserve"> = 0</w:t>
                        </w:r>
                        <w:r w:rsidRPr="000A34EA">
                          <w:t>)</w:t>
                        </w:r>
                      </w:p>
                      <w:p w14:paraId="5AFB3B91" w14:textId="51A1C5B0" w:rsidR="001B6DE5" w:rsidRPr="000A34EA" w:rsidRDefault="001B6DE5" w:rsidP="00DC24F3">
                        <w:pPr>
                          <w:pStyle w:val="2024-PRISMA"/>
                        </w:pPr>
                        <w:r>
                          <w:t>Ongoing study</w:t>
                        </w:r>
                        <w:r w:rsidRPr="000A34EA">
                          <w:t xml:space="preserve"> (n</w:t>
                        </w:r>
                        <w:r>
                          <w:t xml:space="preserve"> = </w:t>
                        </w:r>
                        <w:r w:rsidR="002821AB">
                          <w:t>0</w:t>
                        </w:r>
                        <w:r w:rsidRPr="000A34EA">
                          <w:t>)</w:t>
                        </w:r>
                      </w:p>
                      <w:p w14:paraId="4A700F11" w14:textId="77777777" w:rsidR="0017022E" w:rsidRPr="008C6127" w:rsidRDefault="0017022E" w:rsidP="0017022E">
                        <w:pPr>
                          <w:pStyle w:val="2024-PRISMA"/>
                        </w:pPr>
                        <w:r>
                          <w:t>Conference abstracts (n = 0)</w:t>
                        </w:r>
                      </w:p>
                      <w:p w14:paraId="73291D23" w14:textId="15D9EE9A" w:rsidR="001B6DE5" w:rsidRPr="000A34EA" w:rsidRDefault="0097733F" w:rsidP="00DC24F3">
                        <w:pPr>
                          <w:pStyle w:val="2024-PRISMA"/>
                        </w:pPr>
                        <w:r>
                          <w:t>Reviews</w:t>
                        </w:r>
                        <w:r w:rsidRPr="008C6127">
                          <w:t xml:space="preserve"> </w:t>
                        </w:r>
                        <w:r w:rsidR="001B6DE5" w:rsidRPr="000A34EA">
                          <w:t xml:space="preserve">Awaiting Classification (n = </w:t>
                        </w:r>
                        <w:r w:rsidR="001B6DE5">
                          <w:t>0</w:t>
                        </w:r>
                        <w:r w:rsidR="001B6DE5" w:rsidRPr="000A34EA">
                          <w:t>)</w:t>
                        </w:r>
                      </w:p>
                    </w:txbxContent>
                  </v:textbox>
                </v:rect>
                <v:rect id="Rectangle 425948426" o:spid="_x0000_s1052" style="position:absolute;left:31162;top:29558;width:23304;height:89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" filled="f" strokecolor="black [3213]" strokeweight="1pt">
                  <v:textbox>
                    <w:txbxContent>
                      <w:p w14:paraId="1E789287" w14:textId="1A636057" w:rsidR="001B6DE5" w:rsidRPr="000A34EA" w:rsidRDefault="001B6DE5" w:rsidP="00DC24F3">
                        <w:pPr>
                          <w:pStyle w:val="2024-PRISMA"/>
                        </w:pPr>
                        <w:r w:rsidRPr="000A34EA">
                          <w:t xml:space="preserve">Reports excluded (n = </w:t>
                        </w:r>
                        <w:r w:rsidR="002821AB">
                          <w:t>3</w:t>
                        </w:r>
                        <w:r w:rsidRPr="000A34EA">
                          <w:t>):</w:t>
                        </w:r>
                      </w:p>
                      <w:p w14:paraId="129A01AA" w14:textId="51D62295" w:rsidR="001B6DE5" w:rsidRDefault="001B6DE5" w:rsidP="00DC24F3">
                        <w:pPr>
                          <w:pStyle w:val="2024-PRISMA"/>
                        </w:pPr>
                        <w:r>
                          <w:t xml:space="preserve">Wrong population (n = </w:t>
                        </w:r>
                        <w:r w:rsidR="005843DE">
                          <w:t>2</w:t>
                        </w:r>
                        <w:r>
                          <w:t>)</w:t>
                        </w:r>
                      </w:p>
                      <w:p w14:paraId="215436F0" w14:textId="5EC2A668" w:rsidR="001B6DE5" w:rsidRPr="000A34EA" w:rsidRDefault="001B6DE5" w:rsidP="00DC24F3">
                        <w:pPr>
                          <w:pStyle w:val="2024-PRISMA"/>
                        </w:pPr>
                        <w:r>
                          <w:t xml:space="preserve">Does not meet minimum criteria for systematic review (n = </w:t>
                        </w:r>
                        <w:r w:rsidR="002821AB">
                          <w:t>1</w:t>
                        </w:r>
                        <w:r>
                          <w:t>)</w:t>
                        </w:r>
                      </w:p>
                    </w:txbxContent>
                  </v:textbox>
                </v:rect>
                <v:shape id="Straight Arrow Connector 263678727" o:spid="_x0000_s1053" type="#_x0000_t32" style="position:absolute;left:24242;top:9758;width:756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" strokecolor="black [3213]" strokeweight=".5pt">
                  <v:stroke endarrow="block" joinstyle="miter"/>
                </v:shape>
                <v:shape id="Straight Arrow Connector 2089960040" o:spid="_x0000_s1054" type="#_x0000_t32" style="position:absolute;left:23869;top:17778;width:7639;height:5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" strokecolor="black [3213]" strokeweight=".5pt">
                  <v:stroke endarrow="block" joinstyle="miter"/>
                </v:shape>
                <v:shape id="Straight Arrow Connector 1498186141" o:spid="_x0000_s1055" type="#_x0000_t32" style="position:absolute;left:24029;top:24218;width:713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" strokecolor="black [3213]" strokeweight=".5pt">
                  <v:stroke endarrow="block" joinstyle="miter"/>
                </v:shape>
                <v:shape id="Straight Arrow Connector 876723344" o:spid="_x0000_s1056" type="#_x0000_t32" style="position:absolute;left:24135;top:31555;width:702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" strokecolor="black [3213]" strokeweight=".5pt">
                  <v:stroke endarrow="block" joinstyle="miter"/>
                </v:shape>
                <v:shape id="Flowchart: Alternate Process 31" o:spid="_x0000_s1057" type="#_x0000_t176" style="position:absolute;left:-2998;top:7076;width:10094;height:3438;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" fillcolor="#9cc2e5 [1944]" strokecolor="black [3213]" strokeweight="1pt">
                  <v:textbox>
                    <w:txbxContent>
                      <w:p w14:paraId="588A96B8" w14:textId="77777777" w:rsidR="001B6DE5" w:rsidRPr="001428E8" w:rsidRDefault="001B6DE5" w:rsidP="00DC24F3">
                        <w:pPr>
                          <w:pStyle w:val="2024-PRISMA"/>
                          <w:rPr>
                            <w:b/>
                          </w:rPr>
                        </w:pPr>
                        <w:r w:rsidRPr="001428E8">
                          <w:rPr>
                            <w:b/>
                          </w:rPr>
                          <w:t>Identification</w:t>
                        </w:r>
                      </w:p>
                    </w:txbxContent>
                  </v:textbox>
                </v:shape>
                <v:shape id="Flowchart: Alternate Process 32" o:spid="_x0000_s1058" type="#_x0000_t176" style="position:absolute;left:-8918;top:23864;width:21936;height:3438;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" fillcolor="#9cc2e5 [1944]" strokecolor="black [3213]" strokeweight="1pt">
                  <v:textbox>
                    <w:txbxContent>
                      <w:p w14:paraId="393B03EF" w14:textId="77777777" w:rsidR="001B6DE5" w:rsidRPr="001428E8" w:rsidRDefault="001B6DE5" w:rsidP="001428E8">
                        <w:pPr>
                          <w:pStyle w:val="2024-PRISMA"/>
                          <w:jc w:val="center"/>
                          <w:rPr>
                            <w:b/>
                          </w:rPr>
                        </w:pPr>
                        <w:r w:rsidRPr="001428E8">
                          <w:rPr>
                            <w:b/>
                          </w:rPr>
                          <w:t>Screening</w:t>
                        </w:r>
                      </w:p>
                      <w:p w14:paraId="2812CB68" w14:textId="77777777" w:rsidR="001B6DE5" w:rsidRPr="001428E8" w:rsidRDefault="001B6DE5" w:rsidP="001428E8">
                        <w:pPr>
                          <w:pStyle w:val="2024-PRISMA"/>
                          <w:jc w:val="center"/>
                          <w:rPr>
                            <w:b/>
                          </w:rPr>
                        </w:pPr>
                      </w:p>
                    </w:txbxContent>
                  </v:textbox>
                </v:shape>
                <v:shape id="Flowchart: Alternate Process 33" o:spid="_x0000_s1059" type="#_x0000_t176" style="position:absolute;left:-1550;top:39322;width:7111;height:3352;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" fillcolor="#9cc2e5 [1944]" strokecolor="black [3213]" strokeweight="1pt">
                  <v:textbox>
                    <w:txbxContent>
                      <w:p w14:paraId="7520E322" w14:textId="77777777" w:rsidR="001B6DE5" w:rsidRPr="001428E8" w:rsidRDefault="001B6DE5" w:rsidP="00DC24F3">
                        <w:pPr>
                          <w:pStyle w:val="2024-PRISMA"/>
                          <w:rPr>
                            <w:b/>
                          </w:rPr>
                        </w:pPr>
                        <w:r w:rsidRPr="001428E8">
                          <w:rPr>
                            <w:b/>
                          </w:rPr>
                          <w:t>Included</w:t>
                        </w:r>
                      </w:p>
                    </w:txbxContent>
                  </v:textbox>
                </v:shape>
                <v:shape id="Straight Arrow Connector 1037335494" o:spid="_x0000_s1060" type="#_x0000_t32" style="position:absolute;left:13394;top:12333;width:0;height:281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" strokecolor="black [3213]" strokeweight=".5pt">
                  <v:stroke endarrow="block" joinstyle="miter"/>
                </v:shape>
                <v:shape id="Straight Arrow Connector 1314956803" o:spid="_x0000_s1061" type="#_x0000_t32" style="position:absolute;left:13394;top:19670;width:0;height:281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" strokecolor="black [3213]" strokeweight=".5pt">
                  <v:stroke endarrow="block" joinstyle="miter"/>
                </v:shape>
                <v:shape id="Straight Arrow Connector 550465971" o:spid="_x0000_s1062" type="#_x0000_t32" style="position:absolute;left:13500;top:26900;width:0;height:281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" strokecolor="black [3213]" strokeweight=".5pt">
                  <v:stroke endarrow="block" joinstyle="miter"/>
                </v:shape>
                <v:shape id="Straight Arrow Connector 898834611" o:spid="_x0000_s1063" type="#_x0000_t32" style="position:absolute;left:13394;top:30905;width:0;height:746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" strokecolor="black [3213]" strokeweight=".5pt">
                  <v:stroke endarrow="block" joinstyle="miter"/>
                </v:shape>
                <v:shape id="Flowchart: Alternate Process 29" o:spid="_x0000_s1064" type="#_x0000_t176" style="position:absolute;width:55364;height:29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" fillcolor="#ffc000 [3207]" strokecolor="#7f5f00 [1607]" strokeweight="1pt">
                  <v:textbox>
                    <w:txbxContent>
                      <w:p w14:paraId="3B800E67" w14:textId="5FCB9A0E" w:rsidR="001B6DE5" w:rsidRPr="001428E8" w:rsidRDefault="001B6DE5" w:rsidP="001428E8">
                        <w:pPr>
                          <w:pStyle w:val="2024-PRISMA"/>
                          <w:jc w:val="center"/>
                          <w:rPr>
                            <w:b/>
                          </w:rPr>
                        </w:pPr>
                        <w:r w:rsidRPr="001428E8">
                          <w:rPr>
                            <w:b/>
                          </w:rPr>
                          <w:t xml:space="preserve">Identification of </w:t>
                        </w:r>
                        <w:r w:rsidR="00AA3B87">
                          <w:rPr>
                            <w:b/>
                          </w:rPr>
                          <w:t>reviews</w:t>
                        </w:r>
                        <w:r w:rsidR="00AA3B87" w:rsidRPr="001428E8">
                          <w:rPr>
                            <w:b/>
                          </w:rPr>
                          <w:t xml:space="preserve"> </w:t>
                        </w:r>
                        <w:r w:rsidRPr="001428E8">
                          <w:rPr>
                            <w:b/>
                          </w:rPr>
                          <w:t>via databases and register</w:t>
                        </w:r>
                      </w:p>
                    </w:txbxContent>
                  </v:textbox>
                </v:shape>
                <v:rect id="Rectangle 612134231" o:spid="_x0000_s1065" style="position:absolute;left:4997;top:4253;width:22264;height:83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" fillcolor="white [3212]" strokecolor="black [3213]" strokeweight="1pt">
                  <v:textbox>
                    <w:txbxContent>
                      <w:p w14:paraId="5A706005" w14:textId="5E5C28CF" w:rsidR="001B6DE5" w:rsidRPr="000A34EA" w:rsidRDefault="001B6DE5" w:rsidP="00DC24F3">
                        <w:pPr>
                          <w:pStyle w:val="2024-PRISMA"/>
                        </w:pPr>
                        <w:r w:rsidRPr="000A34EA">
                          <w:t>Records identified from:</w:t>
                        </w:r>
                      </w:p>
                      <w:p w14:paraId="24207DEE" w14:textId="3736C3A5" w:rsidR="001B6DE5" w:rsidRPr="000A34EA" w:rsidRDefault="001B6DE5" w:rsidP="00DC24F3">
                        <w:pPr>
                          <w:pStyle w:val="2024-PRISMA"/>
                        </w:pPr>
                        <w:r w:rsidRPr="000A34EA">
                          <w:t xml:space="preserve">Databases and registers (n = </w:t>
                        </w:r>
                        <w:r>
                          <w:t>187</w:t>
                        </w:r>
                        <w:r w:rsidRPr="000A34EA">
                          <w:t>)</w:t>
                        </w:r>
                      </w:p>
                      <w:p w14:paraId="0D8BCC56" w14:textId="77777777" w:rsidR="001B6DE5" w:rsidRDefault="001B6DE5" w:rsidP="00DC24F3">
                        <w:pPr>
                          <w:pStyle w:val="2024-PRISMA"/>
                        </w:pPr>
                        <w:r w:rsidRPr="000A34EA">
                          <w:t>Manual</w:t>
                        </w:r>
                        <w:r>
                          <w:t xml:space="preserve"> or </w:t>
                        </w:r>
                        <w:r w:rsidRPr="000A34EA">
                          <w:t xml:space="preserve">citation </w:t>
                        </w:r>
                        <w:r>
                          <w:t xml:space="preserve">searching </w:t>
                        </w:r>
                        <w:r w:rsidRPr="000A34EA">
                          <w:t xml:space="preserve">(n = </w:t>
                        </w:r>
                        <w:r>
                          <w:t>0</w:t>
                        </w:r>
                        <w:r w:rsidRPr="000A34EA">
                          <w:t>)</w:t>
                        </w:r>
                      </w:p>
                      <w:p w14:paraId="472AAD8C" w14:textId="612F460B" w:rsidR="001B6DE5" w:rsidRPr="000A34EA" w:rsidRDefault="001B6DE5" w:rsidP="00DC24F3">
                        <w:pPr>
                          <w:pStyle w:val="2024-PRISMA"/>
                        </w:pPr>
                        <w:r>
                          <w:t>Department’s call for evidence</w:t>
                        </w:r>
                        <w:r w:rsidRPr="000A34EA">
                          <w:t xml:space="preserve"> (n = </w:t>
                        </w:r>
                        <w:r w:rsidR="0070573F">
                          <w:t>1</w:t>
                        </w:r>
                        <w:r w:rsidRPr="000A34EA">
                          <w:t>)</w:t>
                        </w:r>
                      </w:p>
                    </w:txbxContent>
                  </v:textbox>
                </v:rect>
                <v:rect id="Rectangle 1045781173" o:spid="_x0000_s1066" style="position:absolute;left:4997;top:15204;width:18872;height:52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" fillcolor="white [3212]" strokecolor="black [3213]" strokeweight="1pt">
                  <v:textbox>
                    <w:txbxContent>
                      <w:p w14:paraId="729A2CE2" w14:textId="77777777" w:rsidR="001B6DE5" w:rsidRPr="000A34EA" w:rsidRDefault="001B6DE5" w:rsidP="00DC24F3">
                        <w:pPr>
                          <w:pStyle w:val="2024-PRISMA"/>
                        </w:pPr>
                        <w:r w:rsidRPr="000A34EA">
                          <w:t>Records screened</w:t>
                        </w:r>
                      </w:p>
                      <w:p w14:paraId="1FB8DB35" w14:textId="7D401AB5" w:rsidR="001B6DE5" w:rsidRPr="000A34EA" w:rsidRDefault="001B6DE5" w:rsidP="00DC24F3">
                        <w:pPr>
                          <w:pStyle w:val="2024-PRISMA"/>
                        </w:pPr>
                        <w:r w:rsidRPr="000A34EA">
                          <w:t xml:space="preserve">(n = </w:t>
                        </w:r>
                        <w:r>
                          <w:t>178</w:t>
                        </w:r>
                        <w:r w:rsidRPr="000A34EA">
                          <w:t>)</w:t>
                        </w:r>
                      </w:p>
                    </w:txbxContent>
                  </v:textbox>
                </v:rect>
                <v:rect id="Rectangle 1734405807" o:spid="_x0000_s1067" style="position:absolute;left:4997;top:29771;width:18872;height:52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" fillcolor="white [3212]" strokecolor="black [3213]" strokeweight="1pt">
                  <v:textbox>
                    <w:txbxContent>
                      <w:p w14:paraId="48A560AD" w14:textId="77777777" w:rsidR="001B6DE5" w:rsidRPr="000A34EA" w:rsidRDefault="001B6DE5" w:rsidP="00DC24F3">
                        <w:pPr>
                          <w:pStyle w:val="2024-PRISMA"/>
                        </w:pPr>
                        <w:r w:rsidRPr="000A34EA">
                          <w:t>Reports assessed for eligibility</w:t>
                        </w:r>
                      </w:p>
                      <w:p w14:paraId="0B7A9B73" w14:textId="5D5F7A7B" w:rsidR="001B6DE5" w:rsidRPr="000A34EA" w:rsidRDefault="001B6DE5" w:rsidP="00DC24F3">
                        <w:pPr>
                          <w:pStyle w:val="2024-PRISMA"/>
                        </w:pPr>
                        <w:r w:rsidRPr="000A34EA">
                          <w:t xml:space="preserve">(n = </w:t>
                        </w:r>
                        <w:r w:rsidR="002821AB">
                          <w:t>3</w:t>
                        </w:r>
                        <w:r w:rsidRPr="000A34EA">
                          <w:t>)</w:t>
                        </w:r>
                      </w:p>
                    </w:txbxContent>
                  </v:textbox>
                </v:rect>
                <v:rect id="Rectangle 1093056933" o:spid="_x0000_s1068" style="position:absolute;left:4890;top:38498;width:18873;height:51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" fillcolor="white [3212]" strokecolor="black [3213]" strokeweight="1pt">
                  <v:textbox>
                    <w:txbxContent>
                      <w:p w14:paraId="163F5177" w14:textId="2D853909" w:rsidR="001B6DE5" w:rsidRPr="000A34EA" w:rsidRDefault="00AA3B87" w:rsidP="00DC24F3">
                        <w:pPr>
                          <w:pStyle w:val="2024-PRISMA"/>
                        </w:pPr>
                        <w:r>
                          <w:t>Reviews</w:t>
                        </w:r>
                        <w:r w:rsidRPr="000A34EA">
                          <w:t xml:space="preserve"> </w:t>
                        </w:r>
                        <w:r w:rsidR="001B6DE5" w:rsidRPr="000A34EA">
                          <w:t xml:space="preserve">included in </w:t>
                        </w:r>
                        <w:r>
                          <w:t>over</w:t>
                        </w:r>
                        <w:r w:rsidR="001B6DE5" w:rsidRPr="000A34EA">
                          <w:t>view</w:t>
                        </w:r>
                      </w:p>
                      <w:p w14:paraId="1624FEB3" w14:textId="1D695FAF" w:rsidR="001B6DE5" w:rsidRPr="000A34EA" w:rsidRDefault="001B6DE5" w:rsidP="00DC24F3">
                        <w:pPr>
                          <w:pStyle w:val="2024-PRISMA"/>
                        </w:pPr>
                        <w:r w:rsidRPr="000A34EA">
                          <w:t xml:space="preserve">(n = </w:t>
                        </w:r>
                        <w:r w:rsidR="002821AB">
                          <w:t>0</w:t>
                        </w:r>
                        <w:r w:rsidRPr="000A34EA">
                          <w:t>)</w:t>
                        </w:r>
                      </w:p>
                    </w:txbxContent>
                  </v:textbox>
                </v:rect>
                <v:rect id="Rectangle 962603473" o:spid="_x0000_s1069" style="position:absolute;left:4997;top:22434;width:18872;height:52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" fillcolor="white [3212]" strokecolor="black [3213]" strokeweight="1pt">
                  <v:textbox>
                    <w:txbxContent>
                      <w:p w14:paraId="0E4CBBDF" w14:textId="77777777" w:rsidR="001B6DE5" w:rsidRPr="000A34EA" w:rsidRDefault="001B6DE5" w:rsidP="00DC24F3">
                        <w:pPr>
                          <w:pStyle w:val="2024-PRISMA"/>
                        </w:pPr>
                        <w:r w:rsidRPr="000A34EA">
                          <w:t>Reports sought for retrieval</w:t>
                        </w:r>
                      </w:p>
                      <w:p w14:paraId="30D00878" w14:textId="22703DB2" w:rsidR="001B6DE5" w:rsidRPr="000A34EA" w:rsidRDefault="001B6DE5" w:rsidP="00DC24F3">
                        <w:pPr>
                          <w:pStyle w:val="2024-PRISMA"/>
                        </w:pPr>
                        <w:r w:rsidRPr="000A34EA">
                          <w:t xml:space="preserve">(n = </w:t>
                        </w:r>
                        <w:r>
                          <w:t>3</w:t>
                        </w:r>
                        <w:r w:rsidRPr="000A34EA">
                          <w:t>)</w:t>
                        </w:r>
                      </w:p>
                    </w:txbxContent>
                  </v:textbox>
                </v:rect>
                <w10:wrap type="square"/>
              </v:group>
            </w:pict>
          </mc:Fallback>
        </mc:AlternateContent>
      </w:r>
      <w:r w:rsidR="001B6DE5" w:rsidRPr="0054775B">
        <w:rPr>
          <w:rFonts w:ascii="Aptos" w:hAnsi="Aptos"/>
        </w:rPr>
        <w:t xml:space="preserve">Figure </w:t>
      </w:r>
      <w:r w:rsidR="00F44A00" w:rsidRPr="0054775B">
        <w:rPr>
          <w:rFonts w:ascii="Aptos" w:hAnsi="Aptos"/>
        </w:rPr>
        <w:fldChar w:fldCharType="begin"/>
      </w:r>
      <w:r w:rsidR="00F44A00" w:rsidRPr="0054775B">
        <w:rPr>
          <w:rFonts w:ascii="Aptos" w:hAnsi="Aptos"/>
        </w:rPr>
        <w:instrText xml:space="preserve"> SEQ Figure \* ARABIC </w:instrText>
      </w:r>
      <w:r w:rsidR="00F44A00" w:rsidRPr="0054775B">
        <w:rPr>
          <w:rFonts w:ascii="Aptos" w:hAnsi="Aptos"/>
        </w:rPr>
        <w:fldChar w:fldCharType="separate"/>
      </w:r>
      <w:r w:rsidR="00651E04">
        <w:rPr>
          <w:rFonts w:ascii="Aptos" w:hAnsi="Aptos"/>
          <w:noProof/>
        </w:rPr>
        <w:t>2</w:t>
      </w:r>
      <w:r w:rsidR="00F44A00" w:rsidRPr="0054775B">
        <w:rPr>
          <w:rFonts w:ascii="Aptos" w:hAnsi="Aptos"/>
          <w:noProof/>
        </w:rPr>
        <w:fldChar w:fldCharType="end"/>
      </w:r>
      <w:r w:rsidR="001B6DE5" w:rsidRPr="0054775B">
        <w:rPr>
          <w:rFonts w:ascii="Aptos" w:hAnsi="Aptos"/>
        </w:rPr>
        <w:t>. PRISMA flowchart – stress (perceived, occupational), magnesium</w:t>
      </w:r>
      <w:r w:rsidR="00DC24F3" w:rsidRPr="0054775B">
        <w:rPr>
          <w:rFonts w:ascii="Aptos" w:hAnsi="Aptos"/>
        </w:rPr>
        <w:t>.</w:t>
      </w:r>
      <w:bookmarkEnd w:id="64"/>
    </w:p>
    <w:p w14:paraId="33C31650" w14:textId="032442D8" w:rsidR="0098498A" w:rsidRPr="0054775B" w:rsidRDefault="0098498A" w:rsidP="009E6F7F">
      <w:pPr>
        <w:pStyle w:val="2024HEADER3"/>
        <w:rPr>
          <w:rFonts w:ascii="Aptos" w:hAnsi="Aptos"/>
        </w:rPr>
      </w:pPr>
      <w:r w:rsidRPr="0054775B">
        <w:rPr>
          <w:rFonts w:ascii="Aptos" w:hAnsi="Aptos"/>
        </w:rPr>
        <w:t>Description of included reviews</w:t>
      </w:r>
    </w:p>
    <w:p w14:paraId="3367A6A4" w14:textId="2FC87527" w:rsidR="00F87D1D" w:rsidRPr="0054775B" w:rsidRDefault="00014DD4" w:rsidP="009E6F7F">
      <w:r w:rsidRPr="0054775B">
        <w:t>No reviews met inclusion criteria.</w:t>
      </w:r>
    </w:p>
    <w:p w14:paraId="18785968" w14:textId="61A7A2B5" w:rsidR="0098498A" w:rsidRPr="0054775B" w:rsidRDefault="0098498A" w:rsidP="009E6F7F">
      <w:pPr>
        <w:pStyle w:val="2024HEADER3"/>
        <w:rPr>
          <w:rFonts w:ascii="Aptos" w:hAnsi="Aptos"/>
        </w:rPr>
      </w:pPr>
      <w:r w:rsidRPr="0054775B">
        <w:rPr>
          <w:rFonts w:ascii="Aptos" w:hAnsi="Aptos"/>
        </w:rPr>
        <w:t>Assessment of risk of bias of included systematic reviews</w:t>
      </w:r>
    </w:p>
    <w:p w14:paraId="46205AFB" w14:textId="131E1811" w:rsidR="00F87D1D" w:rsidRPr="0054775B" w:rsidRDefault="00014DD4" w:rsidP="00DC24F3">
      <w:r w:rsidRPr="0054775B">
        <w:t>No reviews met inclusion criteria.</w:t>
      </w:r>
    </w:p>
    <w:p w14:paraId="27AD4847" w14:textId="77777777" w:rsidR="001065A8" w:rsidRPr="0054775B" w:rsidRDefault="001065A8" w:rsidP="009E6F7F">
      <w:pPr>
        <w:pStyle w:val="2024HEADER3"/>
        <w:rPr>
          <w:rFonts w:ascii="Aptos" w:hAnsi="Aptos"/>
        </w:rPr>
      </w:pPr>
      <w:r w:rsidRPr="0054775B">
        <w:rPr>
          <w:rFonts w:ascii="Aptos" w:hAnsi="Aptos"/>
        </w:rPr>
        <w:t xml:space="preserve">Results </w:t>
      </w:r>
    </w:p>
    <w:p w14:paraId="7933DCD3" w14:textId="67FA7D92" w:rsidR="001065A8" w:rsidRPr="0054775B" w:rsidRDefault="001065A8" w:rsidP="00DC24F3">
      <w:r w:rsidRPr="0054775B">
        <w:t>No reviews met inclusion criteria.</w:t>
      </w:r>
    </w:p>
    <w:p w14:paraId="71CBBFB4" w14:textId="2756E82F" w:rsidR="0098498A" w:rsidRPr="0054775B" w:rsidRDefault="0098498A" w:rsidP="009E6F7F">
      <w:pPr>
        <w:pStyle w:val="2024HEADER3"/>
        <w:rPr>
          <w:rFonts w:ascii="Aptos" w:hAnsi="Aptos"/>
        </w:rPr>
      </w:pPr>
      <w:r w:rsidRPr="0054775B">
        <w:rPr>
          <w:rFonts w:ascii="Aptos" w:hAnsi="Aptos"/>
        </w:rPr>
        <w:t>Summary of findings and evidence statements</w:t>
      </w:r>
    </w:p>
    <w:p w14:paraId="7F30B528" w14:textId="47248A10" w:rsidR="0023133D" w:rsidRPr="0054775B" w:rsidRDefault="0023133D" w:rsidP="009E6F7F">
      <w:r w:rsidRPr="0054775B">
        <w:t xml:space="preserve">The effect of magnesium on improvement in clinical levels of stress, improvement in clinical levels of occupational stress/burnout, anxiety burden from stress, physiological symptoms of anxiety (heart rate, BP, adrenaline, skin conductance, weight gain, weight loss, cortisol levels), quality of life, depression burden from stress or absenteeism in people with stress </w:t>
      </w:r>
      <w:r w:rsidR="00494FF1" w:rsidRPr="0054775B">
        <w:t xml:space="preserve">(perceived, occupational) </w:t>
      </w:r>
      <w:r w:rsidRPr="0054775B">
        <w:t>is unknown.</w:t>
      </w:r>
    </w:p>
    <w:p w14:paraId="088DFEFC" w14:textId="77777777" w:rsidR="00467EE5" w:rsidRPr="0054775B" w:rsidRDefault="00467EE5" w:rsidP="009E6F7F">
      <w:pPr>
        <w:rPr>
          <w:color w:val="C00000"/>
          <w:spacing w:val="-2"/>
          <w:w w:val="105"/>
          <w:sz w:val="28"/>
          <w:szCs w:val="28"/>
        </w:rPr>
      </w:pPr>
      <w:r w:rsidRPr="0054775B">
        <w:br w:type="page"/>
      </w:r>
    </w:p>
    <w:p w14:paraId="1699C141" w14:textId="7A0763D6" w:rsidR="002C728B" w:rsidRPr="0054775B" w:rsidRDefault="002C728B" w:rsidP="00F9201F">
      <w:pPr>
        <w:pStyle w:val="2024HEADER2"/>
      </w:pPr>
      <w:bookmarkStart w:id="65" w:name="_Toc179379618"/>
      <w:r w:rsidRPr="0054775B">
        <w:lastRenderedPageBreak/>
        <w:t>Irritable bowel syndrome,</w:t>
      </w:r>
      <w:r w:rsidR="00E46682" w:rsidRPr="0054775B">
        <w:t xml:space="preserve"> p</w:t>
      </w:r>
      <w:r w:rsidRPr="0054775B">
        <w:t>robiotics</w:t>
      </w:r>
      <w:bookmarkEnd w:id="65"/>
    </w:p>
    <w:p w14:paraId="23979416" w14:textId="37875FDD" w:rsidR="002C728B" w:rsidRPr="0054775B" w:rsidRDefault="002C728B" w:rsidP="009E6F7F">
      <w:pPr>
        <w:pStyle w:val="2024HEADER3"/>
        <w:rPr>
          <w:rFonts w:ascii="Aptos" w:hAnsi="Aptos"/>
        </w:rPr>
      </w:pPr>
      <w:r w:rsidRPr="0054775B">
        <w:rPr>
          <w:rFonts w:ascii="Aptos" w:hAnsi="Aptos"/>
        </w:rPr>
        <w:t>Description of condition</w:t>
      </w:r>
    </w:p>
    <w:p w14:paraId="45C4060A" w14:textId="327C1CC5" w:rsidR="00354AB8" w:rsidRPr="0054775B" w:rsidRDefault="00354AB8" w:rsidP="009E6F7F">
      <w:r w:rsidRPr="0054775B">
        <w:t xml:space="preserve">Irritable bowel syndrome </w:t>
      </w:r>
      <w:r w:rsidR="00337333" w:rsidRPr="0054775B">
        <w:t xml:space="preserve">(IBS) </w:t>
      </w:r>
      <w:r w:rsidRPr="0054775B">
        <w:t xml:space="preserve">is a gastrointestinal disorder </w:t>
      </w:r>
      <w:r w:rsidR="009C4B02" w:rsidRPr="0054775B">
        <w:t xml:space="preserve">characterised by symptoms such as abdominal pain, bloating, altered bowel habits (diarrhea, constipation, </w:t>
      </w:r>
      <w:r w:rsidR="0061408A" w:rsidRPr="0054775B">
        <w:t xml:space="preserve">or </w:t>
      </w:r>
      <w:r w:rsidR="009C4B02" w:rsidRPr="0054775B">
        <w:t xml:space="preserve">both), and other gastrointestinal symptoms </w:t>
      </w:r>
      <w:r w:rsidR="00A61385">
        <w:rPr>
          <w:noProof/>
        </w:rPr>
        <w:t>(30)</w:t>
      </w:r>
      <w:r w:rsidR="009C4B02" w:rsidRPr="0054775B">
        <w:t xml:space="preserve">. Symptoms can vary significantly between individuals, making diagnosis and management challenging. </w:t>
      </w:r>
      <w:r w:rsidR="00FC248C" w:rsidRPr="0054775B">
        <w:t xml:space="preserve">Estimates of prevalence are varied, though </w:t>
      </w:r>
      <w:r w:rsidR="007F486B" w:rsidRPr="0054775B">
        <w:t xml:space="preserve">IBS </w:t>
      </w:r>
      <w:r w:rsidR="00EE41CE" w:rsidRPr="0054775B">
        <w:t>likely</w:t>
      </w:r>
      <w:r w:rsidR="007F486B" w:rsidRPr="0054775B">
        <w:t xml:space="preserve"> </w:t>
      </w:r>
      <w:r w:rsidR="004B7728">
        <w:t>affects</w:t>
      </w:r>
      <w:r w:rsidR="004B7728" w:rsidRPr="0054775B">
        <w:t xml:space="preserve"> </w:t>
      </w:r>
      <w:r w:rsidR="00EE41CE" w:rsidRPr="0054775B">
        <w:t>around</w:t>
      </w:r>
      <w:r w:rsidR="006A5CA2" w:rsidRPr="0054775B">
        <w:t xml:space="preserve"> 1 in 10</w:t>
      </w:r>
      <w:r w:rsidR="00BB6977" w:rsidRPr="0054775B">
        <w:t>-20</w:t>
      </w:r>
      <w:r w:rsidR="006A5CA2" w:rsidRPr="0054775B">
        <w:t xml:space="preserve"> people globally </w:t>
      </w:r>
      <w:r w:rsidR="00A61385">
        <w:rPr>
          <w:noProof/>
        </w:rPr>
        <w:t>(31, 32)</w:t>
      </w:r>
      <w:r w:rsidR="006A5CA2" w:rsidRPr="0054775B">
        <w:t>.</w:t>
      </w:r>
      <w:r w:rsidR="00386584" w:rsidRPr="0054775B">
        <w:t xml:space="preserve"> </w:t>
      </w:r>
      <w:r w:rsidR="00A14059" w:rsidRPr="0054775B">
        <w:t xml:space="preserve">IBS can significantly </w:t>
      </w:r>
      <w:r w:rsidR="00F11785">
        <w:t>affect</w:t>
      </w:r>
      <w:r w:rsidR="00F11785" w:rsidRPr="0054775B">
        <w:t xml:space="preserve"> </w:t>
      </w:r>
      <w:r w:rsidR="00A14059" w:rsidRPr="0054775B">
        <w:t xml:space="preserve">quality of life, leading to emotional distress, anxiety, and social limitations </w:t>
      </w:r>
      <w:r w:rsidR="00A61385">
        <w:rPr>
          <w:noProof/>
        </w:rPr>
        <w:t>(33)</w:t>
      </w:r>
      <w:r w:rsidR="00A14059" w:rsidRPr="0054775B">
        <w:t xml:space="preserve">. IBS also frequently co-occurs with some mental health conditions, such as anxiety and depression </w:t>
      </w:r>
      <w:r w:rsidR="00A61385">
        <w:rPr>
          <w:noProof/>
        </w:rPr>
        <w:t>(33)</w:t>
      </w:r>
      <w:r w:rsidR="00A14059" w:rsidRPr="0054775B">
        <w:t>, which can complicate management and may point patients towards seeking a holistic approach that considers both gut and mental health aspects of IBS.</w:t>
      </w:r>
    </w:p>
    <w:p w14:paraId="77C71F3F" w14:textId="6CCF860F" w:rsidR="00354AB8" w:rsidRPr="0054775B" w:rsidRDefault="00354AB8" w:rsidP="009E6F7F">
      <w:r w:rsidRPr="0054775B">
        <w:t xml:space="preserve">Diagnosing IBS is primarily based on clinical criteria, </w:t>
      </w:r>
      <w:r w:rsidR="00A14059" w:rsidRPr="0054775B">
        <w:t xml:space="preserve">such as </w:t>
      </w:r>
      <w:r w:rsidR="00836FC1" w:rsidRPr="0054775B">
        <w:t>Rome IV Diagnostic Criteria for IBS</w:t>
      </w:r>
      <w:r w:rsidRPr="0054775B">
        <w:t xml:space="preserve">, </w:t>
      </w:r>
      <w:r w:rsidR="00A14059" w:rsidRPr="0054775B">
        <w:t>as there is no single definitive test for IBS</w:t>
      </w:r>
      <w:r w:rsidR="0056436D" w:rsidRPr="0054775B">
        <w:t xml:space="preserve">. </w:t>
      </w:r>
      <w:r w:rsidR="00836FC1" w:rsidRPr="0054775B">
        <w:t>Rome IV c</w:t>
      </w:r>
      <w:r w:rsidR="00BC262A" w:rsidRPr="0054775B">
        <w:t>riteria must be fulfilled for at least 2 months prior to diagnosis</w:t>
      </w:r>
      <w:r w:rsidR="00836FC1" w:rsidRPr="0054775B">
        <w:t xml:space="preserve"> and </w:t>
      </w:r>
      <w:r w:rsidR="00A14059" w:rsidRPr="0054775B">
        <w:t>include</w:t>
      </w:r>
      <w:r w:rsidR="00EC32E2" w:rsidRPr="0054775B">
        <w:t>s criteri</w:t>
      </w:r>
      <w:r w:rsidR="006A64E5">
        <w:t>a</w:t>
      </w:r>
      <w:r w:rsidR="00EC32E2" w:rsidRPr="0054775B">
        <w:t xml:space="preserve"> related to</w:t>
      </w:r>
      <w:r w:rsidR="009B132C" w:rsidRPr="0054775B">
        <w:t xml:space="preserve"> abdominal pain</w:t>
      </w:r>
      <w:r w:rsidR="00BC262A" w:rsidRPr="0054775B">
        <w:t xml:space="preserve">, </w:t>
      </w:r>
      <w:r w:rsidR="009B132C" w:rsidRPr="0054775B">
        <w:t>change in frequency of stool</w:t>
      </w:r>
      <w:r w:rsidR="00BC262A" w:rsidRPr="0054775B">
        <w:t xml:space="preserve">, </w:t>
      </w:r>
      <w:r w:rsidR="009B132C" w:rsidRPr="0054775B">
        <w:t>change in form (appearance) of stool</w:t>
      </w:r>
      <w:r w:rsidR="00BC262A" w:rsidRPr="0054775B">
        <w:t>, or after appropriate evaluation symptoms cannot be fully explained by another medical condition</w:t>
      </w:r>
      <w:r w:rsidR="0056436D" w:rsidRPr="0054775B">
        <w:t xml:space="preserve"> </w:t>
      </w:r>
      <w:r w:rsidR="00A61385">
        <w:rPr>
          <w:noProof/>
        </w:rPr>
        <w:t>(34)</w:t>
      </w:r>
      <w:r w:rsidR="00BC262A" w:rsidRPr="0054775B">
        <w:t xml:space="preserve">. </w:t>
      </w:r>
      <w:r w:rsidRPr="0054775B">
        <w:t>Other investigations, such as blood tests, stool analysis, and imaging, may be performed to rule out other medical conditions with similar symptoms.</w:t>
      </w:r>
    </w:p>
    <w:p w14:paraId="0918CFAF" w14:textId="5F7580D1" w:rsidR="002C728B" w:rsidRPr="0054775B" w:rsidRDefault="002C728B" w:rsidP="009E6F7F">
      <w:pPr>
        <w:pStyle w:val="2024HEADER3"/>
        <w:rPr>
          <w:rFonts w:ascii="Aptos" w:hAnsi="Aptos"/>
        </w:rPr>
      </w:pPr>
      <w:r w:rsidRPr="0054775B">
        <w:rPr>
          <w:rFonts w:ascii="Aptos" w:hAnsi="Aptos"/>
        </w:rPr>
        <w:t>Description of the intervention</w:t>
      </w:r>
    </w:p>
    <w:p w14:paraId="2D552A65" w14:textId="376FF271" w:rsidR="00C74446" w:rsidRPr="0054775B" w:rsidRDefault="00240CDE" w:rsidP="009E6F7F">
      <w:r w:rsidRPr="0054775B">
        <w:t>Probiotics are microorganisms that</w:t>
      </w:r>
      <w:r w:rsidR="00F24213" w:rsidRPr="0054775B">
        <w:t xml:space="preserve"> </w:t>
      </w:r>
      <w:r w:rsidR="009F620F" w:rsidRPr="0054775B">
        <w:t>support the intestinal microbiome</w:t>
      </w:r>
      <w:r w:rsidR="000C79CB" w:rsidRPr="0054775B">
        <w:t>, which includes</w:t>
      </w:r>
      <w:r w:rsidR="00024CE2" w:rsidRPr="0054775B">
        <w:t xml:space="preserve"> the</w:t>
      </w:r>
      <w:r w:rsidR="000C79CB" w:rsidRPr="0054775B">
        <w:t xml:space="preserve"> </w:t>
      </w:r>
      <w:r w:rsidR="00024CE2" w:rsidRPr="0054775B">
        <w:t>bacteria, viruses, and protozoa that populate the gastrointestinal tract</w:t>
      </w:r>
      <w:r w:rsidR="00F24213" w:rsidRPr="0054775B">
        <w:t xml:space="preserve"> </w:t>
      </w:r>
      <w:r w:rsidR="00A61385">
        <w:rPr>
          <w:noProof/>
        </w:rPr>
        <w:t>(35, 36)</w:t>
      </w:r>
      <w:r w:rsidR="009F620F" w:rsidRPr="0054775B">
        <w:t xml:space="preserve">. </w:t>
      </w:r>
      <w:r w:rsidR="00822BEC" w:rsidRPr="0054775B">
        <w:t>They</w:t>
      </w:r>
      <w:r w:rsidRPr="0054775B">
        <w:t xml:space="preserve"> are found naturally in </w:t>
      </w:r>
      <w:r w:rsidR="00A710DD" w:rsidRPr="0054775B">
        <w:t>some</w:t>
      </w:r>
      <w:r w:rsidRPr="0054775B">
        <w:t xml:space="preserve"> foods</w:t>
      </w:r>
      <w:r w:rsidR="005250CC" w:rsidRPr="0054775B">
        <w:t xml:space="preserve"> (e.g. fermented foods like </w:t>
      </w:r>
      <w:r w:rsidR="0050616B" w:rsidRPr="0054775B">
        <w:t>kimchi, sauerkraut or kombucha)</w:t>
      </w:r>
      <w:r w:rsidRPr="0054775B">
        <w:t xml:space="preserve"> and are also available as dietary supplements in capsules, tablets, powders, and beverages</w:t>
      </w:r>
      <w:r w:rsidR="00A710DD" w:rsidRPr="0054775B">
        <w:t xml:space="preserve"> </w:t>
      </w:r>
      <w:r w:rsidR="00A61385">
        <w:rPr>
          <w:noProof/>
        </w:rPr>
        <w:t>(36)</w:t>
      </w:r>
      <w:r w:rsidRPr="0054775B">
        <w:t>.</w:t>
      </w:r>
      <w:r w:rsidR="00706087" w:rsidRPr="0054775B">
        <w:t xml:space="preserve"> </w:t>
      </w:r>
      <w:r w:rsidR="00822BEC" w:rsidRPr="0054775B">
        <w:t>The specific bacterial strains used in probiotic products vary</w:t>
      </w:r>
      <w:r w:rsidR="00BD7786" w:rsidRPr="0054775B">
        <w:t>; s</w:t>
      </w:r>
      <w:r w:rsidR="00822BEC" w:rsidRPr="0054775B">
        <w:t xml:space="preserve">ome of the most common </w:t>
      </w:r>
      <w:r w:rsidR="00606C1D" w:rsidRPr="0054775B">
        <w:t>types</w:t>
      </w:r>
      <w:r w:rsidR="00822BEC" w:rsidRPr="0054775B">
        <w:t xml:space="preserve"> include Lactobacillus, Bifidobacterium, and Saccharomyces</w:t>
      </w:r>
      <w:r w:rsidR="00606C1D" w:rsidRPr="0054775B">
        <w:t xml:space="preserve"> </w:t>
      </w:r>
      <w:r w:rsidR="00A61385">
        <w:rPr>
          <w:noProof/>
        </w:rPr>
        <w:t>(36)</w:t>
      </w:r>
      <w:r w:rsidR="00606C1D" w:rsidRPr="0054775B">
        <w:t>.</w:t>
      </w:r>
      <w:r w:rsidR="00706087" w:rsidRPr="0054775B">
        <w:t xml:space="preserve"> </w:t>
      </w:r>
    </w:p>
    <w:p w14:paraId="2A136C38" w14:textId="1644988E" w:rsidR="00673311" w:rsidRPr="0054775B" w:rsidRDefault="00605F0A" w:rsidP="009E6F7F">
      <w:r w:rsidRPr="0054775B">
        <w:t>P</w:t>
      </w:r>
      <w:r w:rsidR="00673311" w:rsidRPr="0054775B">
        <w:t xml:space="preserve">robiotics </w:t>
      </w:r>
      <w:r w:rsidRPr="0054775B">
        <w:t>may</w:t>
      </w:r>
      <w:r w:rsidR="00673311" w:rsidRPr="0054775B">
        <w:t xml:space="preserve"> assist in maintaining gut health by balancing the gut flora. They may strengthen the intestinal barrier, support the immune system in removing harmful bacteria, and aid in nutrient breakdown</w:t>
      </w:r>
      <w:r w:rsidR="00111EB7" w:rsidRPr="0054775B">
        <w:t xml:space="preserve">. These </w:t>
      </w:r>
      <w:r w:rsidR="00DB4EE1" w:rsidRPr="0054775B">
        <w:t>mechanisms</w:t>
      </w:r>
      <w:r w:rsidR="00111EB7" w:rsidRPr="0054775B">
        <w:t xml:space="preserve"> may improve the symptoms of </w:t>
      </w:r>
      <w:r w:rsidR="00DB4EE1" w:rsidRPr="0054775B">
        <w:t>IBS</w:t>
      </w:r>
      <w:r w:rsidR="00821603" w:rsidRPr="0054775B">
        <w:t xml:space="preserve"> </w:t>
      </w:r>
      <w:r w:rsidR="00A61385">
        <w:rPr>
          <w:noProof/>
        </w:rPr>
        <w:t>(37)</w:t>
      </w:r>
      <w:r w:rsidR="00DB4EE1" w:rsidRPr="0054775B">
        <w:t xml:space="preserve">. </w:t>
      </w:r>
    </w:p>
    <w:p w14:paraId="476D2B6B" w14:textId="71216B04" w:rsidR="001E5EEA" w:rsidRPr="0054775B" w:rsidRDefault="00EC32E2" w:rsidP="009E6F7F">
      <w:r w:rsidRPr="0054775B">
        <w:t>Probiotics s</w:t>
      </w:r>
      <w:r w:rsidR="00706087" w:rsidRPr="0054775B">
        <w:t xml:space="preserve">upplements </w:t>
      </w:r>
      <w:r w:rsidRPr="0054775B">
        <w:t>are available</w:t>
      </w:r>
      <w:r w:rsidR="00706087" w:rsidRPr="0054775B">
        <w:t xml:space="preserve"> without prescription</w:t>
      </w:r>
      <w:r w:rsidRPr="0054775B">
        <w:t>; some are sensitive to heat or light and may require refrigeration</w:t>
      </w:r>
      <w:r w:rsidR="00706087" w:rsidRPr="0054775B">
        <w:t>.</w:t>
      </w:r>
      <w:r w:rsidR="000E2DA0" w:rsidRPr="0054775B">
        <w:t xml:space="preserve"> </w:t>
      </w:r>
      <w:r w:rsidR="00240CDE" w:rsidRPr="0054775B">
        <w:t xml:space="preserve">The recommended dosage and frequency of intake for probiotics can vary depending on the specific product and the intended health benefit. </w:t>
      </w:r>
    </w:p>
    <w:p w14:paraId="17E42F30" w14:textId="4C0DC5E1" w:rsidR="002C728B" w:rsidRPr="0054775B" w:rsidRDefault="002C728B" w:rsidP="009E6F7F">
      <w:pPr>
        <w:pStyle w:val="2024HEADER3"/>
        <w:rPr>
          <w:rFonts w:ascii="Aptos" w:hAnsi="Aptos"/>
        </w:rPr>
      </w:pPr>
      <w:r w:rsidRPr="0054775B">
        <w:rPr>
          <w:rFonts w:ascii="Aptos" w:hAnsi="Aptos"/>
        </w:rPr>
        <w:t>Prioritised outcomes</w:t>
      </w:r>
    </w:p>
    <w:p w14:paraId="53025919" w14:textId="3AB146E5" w:rsidR="009221B4" w:rsidRPr="0054775B" w:rsidRDefault="009221B4" w:rsidP="009E6F7F">
      <w:r w:rsidRPr="0054775B">
        <w:t xml:space="preserve">Seven </w:t>
      </w:r>
      <w:r w:rsidR="00150E1C" w:rsidRPr="0054775B">
        <w:t xml:space="preserve">priority outcomes were identified </w:t>
      </w:r>
      <w:r w:rsidR="000D5B11" w:rsidRPr="0054775B">
        <w:t xml:space="preserve">by NTWC </w:t>
      </w:r>
      <w:r w:rsidR="00150E1C" w:rsidRPr="0054775B">
        <w:t>as part of the Outcome Prioritisation Exercise</w:t>
      </w:r>
      <w:r w:rsidR="000D5B11" w:rsidRPr="0054775B">
        <w:t>. These are</w:t>
      </w:r>
      <w:r w:rsidR="00150E1C" w:rsidRPr="0054775B">
        <w:t xml:space="preserve"> listed below by order of priority. Outcomes were rated by their importance to decision-making, with those rated 7-9 being critical for decision-making.</w:t>
      </w:r>
    </w:p>
    <w:p w14:paraId="27F30A46" w14:textId="0E315773" w:rsidR="002C728B" w:rsidRPr="0054775B" w:rsidRDefault="00EC32E2" w:rsidP="00DC24F3">
      <w:pPr>
        <w:pStyle w:val="2024TABLECAPTION"/>
        <w:rPr>
          <w:rFonts w:ascii="Aptos" w:hAnsi="Aptos"/>
        </w:rPr>
      </w:pPr>
      <w:bookmarkStart w:id="66" w:name="_Toc185261586"/>
      <w:r w:rsidRPr="0054775B">
        <w:rPr>
          <w:rFonts w:ascii="Aptos" w:hAnsi="Aptos"/>
        </w:rPr>
        <w:t xml:space="preserve">Table </w:t>
      </w:r>
      <w:r w:rsidR="002F1F6C" w:rsidRPr="0054775B">
        <w:rPr>
          <w:rFonts w:ascii="Aptos" w:hAnsi="Aptos"/>
        </w:rPr>
        <w:fldChar w:fldCharType="begin"/>
      </w:r>
      <w:r w:rsidR="002F1F6C" w:rsidRPr="0054775B">
        <w:rPr>
          <w:rFonts w:ascii="Aptos" w:hAnsi="Aptos"/>
        </w:rPr>
        <w:instrText xml:space="preserve"> SEQ Table \* ARABIC </w:instrText>
      </w:r>
      <w:r w:rsidR="002F1F6C" w:rsidRPr="0054775B">
        <w:rPr>
          <w:rFonts w:ascii="Aptos" w:hAnsi="Aptos"/>
        </w:rPr>
        <w:fldChar w:fldCharType="separate"/>
      </w:r>
      <w:r w:rsidR="00651E04">
        <w:rPr>
          <w:rFonts w:ascii="Aptos" w:hAnsi="Aptos"/>
          <w:noProof/>
        </w:rPr>
        <w:t>8</w:t>
      </w:r>
      <w:r w:rsidR="002F1F6C" w:rsidRPr="0054775B">
        <w:rPr>
          <w:rFonts w:ascii="Aptos" w:hAnsi="Aptos"/>
          <w:noProof/>
        </w:rPr>
        <w:fldChar w:fldCharType="end"/>
      </w:r>
      <w:r w:rsidRPr="0054775B">
        <w:rPr>
          <w:rFonts w:ascii="Aptos" w:hAnsi="Aptos"/>
        </w:rPr>
        <w:t xml:space="preserve">. </w:t>
      </w:r>
      <w:r w:rsidR="002C728B" w:rsidRPr="0054775B">
        <w:rPr>
          <w:rFonts w:ascii="Aptos" w:hAnsi="Aptos"/>
        </w:rPr>
        <w:t xml:space="preserve">List of prioritised outcomes – </w:t>
      </w:r>
      <w:r w:rsidR="007C6975" w:rsidRPr="0054775B">
        <w:rPr>
          <w:rFonts w:ascii="Aptos" w:hAnsi="Aptos"/>
        </w:rPr>
        <w:t>i</w:t>
      </w:r>
      <w:r w:rsidR="0012437F" w:rsidRPr="0054775B">
        <w:rPr>
          <w:rFonts w:ascii="Aptos" w:hAnsi="Aptos"/>
        </w:rPr>
        <w:t>rritable bowel syndrome</w:t>
      </w:r>
      <w:r w:rsidR="00E46682" w:rsidRPr="0054775B">
        <w:rPr>
          <w:rFonts w:ascii="Aptos" w:hAnsi="Aptos"/>
        </w:rPr>
        <w:t>, p</w:t>
      </w:r>
      <w:r w:rsidR="0012437F" w:rsidRPr="0054775B">
        <w:rPr>
          <w:rFonts w:ascii="Aptos" w:hAnsi="Aptos"/>
        </w:rPr>
        <w:t xml:space="preserve">robiotics </w:t>
      </w:r>
      <w:r w:rsidR="002C728B" w:rsidRPr="0054775B">
        <w:rPr>
          <w:rFonts w:ascii="Aptos" w:hAnsi="Aptos"/>
        </w:rPr>
        <w:t>(as assessed as part of the Outcome Prioritisation Exercise by NTWC).</w:t>
      </w:r>
      <w:bookmarkEnd w:id="66"/>
      <w:r w:rsidR="002C728B" w:rsidRPr="0054775B">
        <w:rPr>
          <w:rFonts w:ascii="Aptos" w:hAnsi="Aptos"/>
        </w:rPr>
        <w:t> </w:t>
      </w:r>
    </w:p>
    <w:tbl>
      <w:tblPr>
        <w:tblW w:w="9209" w:type="dxa"/>
        <w:tblCellMar>
          <w:top w:w="28" w:type="dxa"/>
          <w:left w:w="57" w:type="dxa"/>
          <w:bottom w:w="28" w:type="dxa"/>
          <w:right w:w="28" w:type="dxa"/>
        </w:tblCellMar>
        <w:tblLook w:val="04A0" w:firstRow="1" w:lastRow="0" w:firstColumn="1" w:lastColumn="0" w:noHBand="0" w:noVBand="1"/>
      </w:tblPr>
      <w:tblGrid>
        <w:gridCol w:w="333"/>
        <w:gridCol w:w="1081"/>
        <w:gridCol w:w="9"/>
        <w:gridCol w:w="1263"/>
        <w:gridCol w:w="803"/>
        <w:gridCol w:w="5720"/>
      </w:tblGrid>
      <w:tr w:rsidR="007E3399" w:rsidRPr="0054775B" w14:paraId="7C4558B6" w14:textId="77777777" w:rsidTr="00513D94">
        <w:trPr>
          <w:trHeight w:val="95"/>
        </w:trPr>
        <w:tc>
          <w:tcPr>
            <w:tcW w:w="0" w:type="auto"/>
            <w:vMerge w:val="restart"/>
            <w:tcBorders>
              <w:top w:val="single" w:sz="4" w:space="0" w:color="auto"/>
              <w:left w:val="single" w:sz="4" w:space="0" w:color="auto"/>
              <w:right w:val="single" w:sz="4" w:space="0" w:color="auto"/>
            </w:tcBorders>
            <w:shd w:val="clear" w:color="auto" w:fill="D9D9D9" w:themeFill="background1" w:themeFillShade="D9"/>
            <w:vAlign w:val="center"/>
            <w:hideMark/>
          </w:tcPr>
          <w:p w14:paraId="31DDDDFF" w14:textId="77777777" w:rsidR="00D047ED" w:rsidRPr="0054775B" w:rsidRDefault="00D047ED" w:rsidP="00515FE7">
            <w:pPr>
              <w:pStyle w:val="2024TABLEHEADER"/>
            </w:pPr>
            <w:r w:rsidRPr="0054775B">
              <w:t> #</w:t>
            </w:r>
          </w:p>
        </w:tc>
        <w:tc>
          <w:tcPr>
            <w:tcW w:w="1090" w:type="dxa"/>
            <w:gridSpan w:val="2"/>
            <w:vMerge w:val="restart"/>
            <w:tcBorders>
              <w:top w:val="single" w:sz="4" w:space="0" w:color="auto"/>
              <w:left w:val="nil"/>
              <w:right w:val="single" w:sz="4" w:space="0" w:color="auto"/>
            </w:tcBorders>
            <w:shd w:val="clear" w:color="auto" w:fill="D9D9D9" w:themeFill="background1" w:themeFillShade="D9"/>
            <w:vAlign w:val="center"/>
            <w:hideMark/>
          </w:tcPr>
          <w:p w14:paraId="279A4CD1" w14:textId="77777777" w:rsidR="00D047ED" w:rsidRPr="0054775B" w:rsidRDefault="00D047ED" w:rsidP="00515FE7">
            <w:pPr>
              <w:pStyle w:val="2024TABLEHEADER"/>
              <w:rPr>
                <w:color w:val="000000"/>
              </w:rPr>
            </w:pPr>
            <w:r w:rsidRPr="0054775B">
              <w:t>Priority population</w:t>
            </w:r>
          </w:p>
        </w:tc>
        <w:tc>
          <w:tcPr>
            <w:tcW w:w="1263" w:type="dxa"/>
            <w:vMerge w:val="restart"/>
            <w:tcBorders>
              <w:top w:val="single" w:sz="4" w:space="0" w:color="auto"/>
              <w:left w:val="nil"/>
              <w:right w:val="single" w:sz="4" w:space="0" w:color="auto"/>
            </w:tcBorders>
            <w:shd w:val="clear" w:color="auto" w:fill="D9D9D9" w:themeFill="background1" w:themeFillShade="D9"/>
            <w:vAlign w:val="center"/>
            <w:hideMark/>
          </w:tcPr>
          <w:p w14:paraId="6581A4D9" w14:textId="77777777" w:rsidR="00D047ED" w:rsidRPr="0054775B" w:rsidRDefault="00D047ED" w:rsidP="00515FE7">
            <w:pPr>
              <w:pStyle w:val="2024TABLEHEADER"/>
              <w:rPr>
                <w:color w:val="000000"/>
              </w:rPr>
            </w:pPr>
            <w:r w:rsidRPr="0054775B">
              <w:t xml:space="preserve">Priority intervention </w:t>
            </w:r>
          </w:p>
        </w:tc>
        <w:tc>
          <w:tcPr>
            <w:tcW w:w="6523" w:type="dxa"/>
            <w:gridSpan w:val="2"/>
            <w:tcBorders>
              <w:top w:val="single" w:sz="4" w:space="0" w:color="auto"/>
              <w:left w:val="nil"/>
              <w:bottom w:val="single" w:sz="4" w:space="0" w:color="auto"/>
              <w:right w:val="single" w:sz="4" w:space="0" w:color="auto"/>
            </w:tcBorders>
            <w:shd w:val="clear" w:color="auto" w:fill="D9D9D9" w:themeFill="background1" w:themeFillShade="D9"/>
            <w:vAlign w:val="center"/>
          </w:tcPr>
          <w:p w14:paraId="66FD8C37" w14:textId="6DA9EB2E" w:rsidR="00D047ED" w:rsidRPr="0054775B" w:rsidRDefault="00D047ED" w:rsidP="00515FE7">
            <w:pPr>
              <w:pStyle w:val="2024TABLEHEADER"/>
            </w:pPr>
            <w:r w:rsidRPr="0054775B">
              <w:t>Priority outcomes</w:t>
            </w:r>
          </w:p>
        </w:tc>
      </w:tr>
      <w:tr w:rsidR="007E3399" w:rsidRPr="0054775B" w14:paraId="136B09D7" w14:textId="77777777" w:rsidTr="00513D94">
        <w:trPr>
          <w:trHeight w:val="95"/>
        </w:trPr>
        <w:tc>
          <w:tcPr>
            <w:tcW w:w="0" w:type="auto"/>
            <w:vMerge/>
            <w:tcBorders>
              <w:left w:val="single" w:sz="4" w:space="0" w:color="auto"/>
              <w:bottom w:val="single" w:sz="4" w:space="0" w:color="auto"/>
              <w:right w:val="single" w:sz="4" w:space="0" w:color="auto"/>
            </w:tcBorders>
            <w:shd w:val="clear" w:color="auto" w:fill="D9D9D9" w:themeFill="background1" w:themeFillShade="D9"/>
            <w:vAlign w:val="center"/>
          </w:tcPr>
          <w:p w14:paraId="0B6943F1" w14:textId="77777777" w:rsidR="00D047ED" w:rsidRPr="0054775B" w:rsidRDefault="00D047ED" w:rsidP="00515FE7">
            <w:pPr>
              <w:pStyle w:val="2024TABLEHEADER"/>
            </w:pPr>
          </w:p>
        </w:tc>
        <w:tc>
          <w:tcPr>
            <w:tcW w:w="1090" w:type="dxa"/>
            <w:gridSpan w:val="2"/>
            <w:vMerge/>
            <w:tcBorders>
              <w:left w:val="nil"/>
              <w:bottom w:val="single" w:sz="4" w:space="0" w:color="auto"/>
              <w:right w:val="single" w:sz="4" w:space="0" w:color="auto"/>
            </w:tcBorders>
            <w:shd w:val="clear" w:color="auto" w:fill="D9D9D9" w:themeFill="background1" w:themeFillShade="D9"/>
            <w:vAlign w:val="center"/>
          </w:tcPr>
          <w:p w14:paraId="606037C3" w14:textId="77777777" w:rsidR="00D047ED" w:rsidRPr="0054775B" w:rsidRDefault="00D047ED" w:rsidP="00515FE7">
            <w:pPr>
              <w:pStyle w:val="2024TABLEHEADER"/>
            </w:pPr>
          </w:p>
        </w:tc>
        <w:tc>
          <w:tcPr>
            <w:tcW w:w="1263" w:type="dxa"/>
            <w:vMerge/>
            <w:tcBorders>
              <w:left w:val="nil"/>
              <w:bottom w:val="single" w:sz="4" w:space="0" w:color="auto"/>
              <w:right w:val="single" w:sz="4" w:space="0" w:color="auto"/>
            </w:tcBorders>
            <w:shd w:val="clear" w:color="auto" w:fill="D9D9D9" w:themeFill="background1" w:themeFillShade="D9"/>
            <w:vAlign w:val="center"/>
          </w:tcPr>
          <w:p w14:paraId="66480B0E" w14:textId="77777777" w:rsidR="00D047ED" w:rsidRPr="0054775B" w:rsidRDefault="00D047ED" w:rsidP="00515FE7">
            <w:pPr>
              <w:pStyle w:val="2024TABLEHEADER"/>
            </w:pPr>
          </w:p>
        </w:tc>
        <w:tc>
          <w:tcPr>
            <w:tcW w:w="803" w:type="dxa"/>
            <w:tcBorders>
              <w:top w:val="nil"/>
              <w:left w:val="nil"/>
              <w:bottom w:val="single" w:sz="4" w:space="0" w:color="auto"/>
              <w:right w:val="single" w:sz="4" w:space="0" w:color="auto"/>
            </w:tcBorders>
            <w:shd w:val="clear" w:color="auto" w:fill="D9D9D9" w:themeFill="background1" w:themeFillShade="D9"/>
            <w:vAlign w:val="center"/>
          </w:tcPr>
          <w:p w14:paraId="74DD0268" w14:textId="7AC6CE23" w:rsidR="00D047ED" w:rsidRPr="0054775B" w:rsidRDefault="00D047ED" w:rsidP="00515FE7">
            <w:pPr>
              <w:pStyle w:val="2024TABLEHEADER"/>
            </w:pPr>
            <w:r w:rsidRPr="0054775B">
              <w:t>NTWC Rating*</w:t>
            </w:r>
          </w:p>
        </w:tc>
        <w:tc>
          <w:tcPr>
            <w:tcW w:w="5720" w:type="dxa"/>
            <w:tcBorders>
              <w:top w:val="nil"/>
              <w:left w:val="nil"/>
              <w:bottom w:val="single" w:sz="4" w:space="0" w:color="auto"/>
              <w:right w:val="single" w:sz="4" w:space="0" w:color="auto"/>
            </w:tcBorders>
            <w:shd w:val="clear" w:color="auto" w:fill="D9D9D9" w:themeFill="background1" w:themeFillShade="D9"/>
            <w:vAlign w:val="center"/>
          </w:tcPr>
          <w:p w14:paraId="5DB24651" w14:textId="5EFD0FF8" w:rsidR="00D047ED" w:rsidRPr="0054775B" w:rsidRDefault="00D047ED" w:rsidP="00515FE7">
            <w:pPr>
              <w:pStyle w:val="2024TABLEHEADER"/>
            </w:pPr>
            <w:r w:rsidRPr="0054775B">
              <w:t>Outcome</w:t>
            </w:r>
            <w:r>
              <w:t xml:space="preserve"> domain</w:t>
            </w:r>
          </w:p>
        </w:tc>
      </w:tr>
      <w:tr w:rsidR="00D047ED" w:rsidRPr="0054775B" w14:paraId="44BEF965" w14:textId="77777777" w:rsidTr="00513D94">
        <w:trPr>
          <w:trHeight w:val="95"/>
        </w:trPr>
        <w:tc>
          <w:tcPr>
            <w:tcW w:w="333" w:type="dxa"/>
            <w:vMerge w:val="restart"/>
            <w:tcBorders>
              <w:top w:val="nil"/>
              <w:left w:val="single" w:sz="4" w:space="0" w:color="auto"/>
              <w:right w:val="single" w:sz="4" w:space="0" w:color="auto"/>
            </w:tcBorders>
            <w:shd w:val="clear" w:color="auto" w:fill="auto"/>
            <w:vAlign w:val="center"/>
            <w:hideMark/>
          </w:tcPr>
          <w:p w14:paraId="0C65415E" w14:textId="78D8DFB6" w:rsidR="00D047ED" w:rsidRPr="0054775B" w:rsidRDefault="00D047ED" w:rsidP="00420FDC">
            <w:pPr>
              <w:pStyle w:val="2024TABLETEXT"/>
              <w:framePr w:hSpace="0" w:wrap="auto" w:vAnchor="margin" w:yAlign="inline"/>
              <w:suppressOverlap w:val="0"/>
            </w:pPr>
            <w:r w:rsidRPr="0054775B">
              <w:lastRenderedPageBreak/>
              <w:t>3</w:t>
            </w:r>
          </w:p>
        </w:tc>
        <w:tc>
          <w:tcPr>
            <w:tcW w:w="1081" w:type="dxa"/>
            <w:vMerge w:val="restart"/>
            <w:tcBorders>
              <w:top w:val="nil"/>
              <w:left w:val="nil"/>
              <w:right w:val="single" w:sz="4" w:space="0" w:color="auto"/>
            </w:tcBorders>
            <w:shd w:val="clear" w:color="auto" w:fill="auto"/>
            <w:vAlign w:val="center"/>
            <w:hideMark/>
          </w:tcPr>
          <w:p w14:paraId="238978D5" w14:textId="5025E1B2" w:rsidR="00D047ED" w:rsidRPr="0054775B" w:rsidRDefault="00D047ED" w:rsidP="00420FDC">
            <w:pPr>
              <w:pStyle w:val="2024TABLETEXT"/>
              <w:framePr w:hSpace="0" w:wrap="auto" w:vAnchor="margin" w:yAlign="inline"/>
              <w:suppressOverlap w:val="0"/>
            </w:pPr>
            <w:r w:rsidRPr="0054775B">
              <w:t>Irritable bowel syndrome (IBS)</w:t>
            </w:r>
          </w:p>
        </w:tc>
        <w:tc>
          <w:tcPr>
            <w:tcW w:w="1272" w:type="dxa"/>
            <w:gridSpan w:val="2"/>
            <w:vMerge w:val="restart"/>
            <w:tcBorders>
              <w:top w:val="nil"/>
              <w:left w:val="nil"/>
              <w:right w:val="single" w:sz="4" w:space="0" w:color="auto"/>
            </w:tcBorders>
            <w:shd w:val="clear" w:color="auto" w:fill="auto"/>
            <w:vAlign w:val="center"/>
            <w:hideMark/>
          </w:tcPr>
          <w:p w14:paraId="6BED5A5E" w14:textId="1DA73618" w:rsidR="00D047ED" w:rsidRPr="0054775B" w:rsidRDefault="00D047ED" w:rsidP="00420FDC">
            <w:pPr>
              <w:pStyle w:val="2024TABLETEXT"/>
              <w:framePr w:hSpace="0" w:wrap="auto" w:vAnchor="margin" w:yAlign="inline"/>
              <w:suppressOverlap w:val="0"/>
            </w:pPr>
            <w:r w:rsidRPr="0054775B">
              <w:t>Probiotics (see TGA list for specific strains)</w:t>
            </w:r>
          </w:p>
        </w:tc>
        <w:tc>
          <w:tcPr>
            <w:tcW w:w="803" w:type="dxa"/>
            <w:tcBorders>
              <w:top w:val="nil"/>
              <w:left w:val="nil"/>
              <w:bottom w:val="single" w:sz="4" w:space="0" w:color="auto"/>
              <w:right w:val="single" w:sz="4" w:space="0" w:color="auto"/>
            </w:tcBorders>
            <w:shd w:val="clear" w:color="auto" w:fill="auto"/>
            <w:vAlign w:val="center"/>
          </w:tcPr>
          <w:p w14:paraId="0BB0C3EF" w14:textId="61B9E2F6" w:rsidR="00D047ED" w:rsidRPr="0054775B" w:rsidRDefault="00D047ED" w:rsidP="00420FDC">
            <w:pPr>
              <w:pStyle w:val="2024TABLETEXT"/>
              <w:framePr w:hSpace="0" w:wrap="auto" w:vAnchor="margin" w:yAlign="inline"/>
              <w:suppressOverlap w:val="0"/>
            </w:pPr>
            <w:r w:rsidRPr="0054775B">
              <w:t>9</w:t>
            </w:r>
          </w:p>
        </w:tc>
        <w:tc>
          <w:tcPr>
            <w:tcW w:w="5720" w:type="dxa"/>
            <w:tcBorders>
              <w:top w:val="nil"/>
              <w:left w:val="nil"/>
              <w:bottom w:val="single" w:sz="4" w:space="0" w:color="auto"/>
              <w:right w:val="single" w:sz="4" w:space="0" w:color="auto"/>
            </w:tcBorders>
            <w:shd w:val="clear" w:color="auto" w:fill="auto"/>
            <w:vAlign w:val="center"/>
          </w:tcPr>
          <w:p w14:paraId="17595E00" w14:textId="75C0E5E4" w:rsidR="00D047ED" w:rsidRPr="0054775B" w:rsidRDefault="00D047ED" w:rsidP="00420FDC">
            <w:pPr>
              <w:pStyle w:val="2024TABLETEXT"/>
              <w:framePr w:hSpace="0" w:wrap="auto" w:vAnchor="margin" w:yAlign="inline"/>
              <w:suppressOverlap w:val="0"/>
            </w:pPr>
            <w:r w:rsidRPr="0054775B">
              <w:t>Global improvement of IBS</w:t>
            </w:r>
          </w:p>
        </w:tc>
      </w:tr>
      <w:tr w:rsidR="00D047ED" w:rsidRPr="0054775B" w14:paraId="3F8E39C2" w14:textId="77777777" w:rsidTr="00513D94">
        <w:trPr>
          <w:trHeight w:val="95"/>
        </w:trPr>
        <w:tc>
          <w:tcPr>
            <w:tcW w:w="333" w:type="dxa"/>
            <w:vMerge/>
            <w:tcBorders>
              <w:left w:val="single" w:sz="4" w:space="0" w:color="auto"/>
              <w:right w:val="single" w:sz="4" w:space="0" w:color="auto"/>
            </w:tcBorders>
            <w:shd w:val="clear" w:color="auto" w:fill="auto"/>
            <w:vAlign w:val="center"/>
          </w:tcPr>
          <w:p w14:paraId="6D727367" w14:textId="77777777" w:rsidR="00D047ED" w:rsidRPr="0054775B" w:rsidRDefault="00D047ED" w:rsidP="00420FDC">
            <w:pPr>
              <w:pStyle w:val="2024TABLETEXT"/>
              <w:framePr w:hSpace="0" w:wrap="auto" w:vAnchor="margin" w:yAlign="inline"/>
              <w:suppressOverlap w:val="0"/>
            </w:pPr>
          </w:p>
        </w:tc>
        <w:tc>
          <w:tcPr>
            <w:tcW w:w="1081" w:type="dxa"/>
            <w:vMerge/>
            <w:tcBorders>
              <w:left w:val="nil"/>
              <w:right w:val="single" w:sz="4" w:space="0" w:color="auto"/>
            </w:tcBorders>
            <w:shd w:val="clear" w:color="auto" w:fill="auto"/>
            <w:vAlign w:val="center"/>
          </w:tcPr>
          <w:p w14:paraId="5AC21CD8" w14:textId="77777777" w:rsidR="00D047ED" w:rsidRPr="0054775B" w:rsidRDefault="00D047ED" w:rsidP="00420FDC">
            <w:pPr>
              <w:pStyle w:val="2024TABLETEXT"/>
              <w:framePr w:hSpace="0" w:wrap="auto" w:vAnchor="margin" w:yAlign="inline"/>
              <w:suppressOverlap w:val="0"/>
            </w:pPr>
          </w:p>
        </w:tc>
        <w:tc>
          <w:tcPr>
            <w:tcW w:w="1272" w:type="dxa"/>
            <w:gridSpan w:val="2"/>
            <w:vMerge/>
            <w:tcBorders>
              <w:left w:val="nil"/>
              <w:right w:val="single" w:sz="4" w:space="0" w:color="auto"/>
            </w:tcBorders>
            <w:shd w:val="clear" w:color="auto" w:fill="auto"/>
            <w:vAlign w:val="center"/>
          </w:tcPr>
          <w:p w14:paraId="63D96FFF" w14:textId="77777777" w:rsidR="00D047ED" w:rsidRPr="0054775B" w:rsidRDefault="00D047ED" w:rsidP="00420FDC">
            <w:pPr>
              <w:pStyle w:val="2024TABLETEXT"/>
              <w:framePr w:hSpace="0" w:wrap="auto" w:vAnchor="margin" w:yAlign="inline"/>
              <w:suppressOverlap w:val="0"/>
            </w:pPr>
          </w:p>
        </w:tc>
        <w:tc>
          <w:tcPr>
            <w:tcW w:w="803" w:type="dxa"/>
            <w:tcBorders>
              <w:top w:val="nil"/>
              <w:left w:val="nil"/>
              <w:bottom w:val="single" w:sz="4" w:space="0" w:color="auto"/>
              <w:right w:val="single" w:sz="4" w:space="0" w:color="auto"/>
            </w:tcBorders>
            <w:shd w:val="clear" w:color="auto" w:fill="auto"/>
            <w:vAlign w:val="center"/>
          </w:tcPr>
          <w:p w14:paraId="27AA6833" w14:textId="34878B89" w:rsidR="00D047ED" w:rsidRPr="0054775B" w:rsidRDefault="00D047ED" w:rsidP="00420FDC">
            <w:pPr>
              <w:pStyle w:val="2024TABLETEXT"/>
              <w:framePr w:hSpace="0" w:wrap="auto" w:vAnchor="margin" w:yAlign="inline"/>
              <w:suppressOverlap w:val="0"/>
            </w:pPr>
            <w:r w:rsidRPr="0054775B">
              <w:t>8</w:t>
            </w:r>
          </w:p>
        </w:tc>
        <w:tc>
          <w:tcPr>
            <w:tcW w:w="5720" w:type="dxa"/>
            <w:tcBorders>
              <w:top w:val="nil"/>
              <w:left w:val="nil"/>
              <w:bottom w:val="single" w:sz="4" w:space="0" w:color="auto"/>
              <w:right w:val="single" w:sz="4" w:space="0" w:color="auto"/>
            </w:tcBorders>
            <w:shd w:val="clear" w:color="auto" w:fill="auto"/>
            <w:vAlign w:val="center"/>
          </w:tcPr>
          <w:p w14:paraId="4F6C28D8" w14:textId="6E8D7FA9" w:rsidR="00D047ED" w:rsidRPr="0054775B" w:rsidRDefault="00D047ED" w:rsidP="00420FDC">
            <w:pPr>
              <w:pStyle w:val="2024TABLETEXT"/>
              <w:framePr w:hSpace="0" w:wrap="auto" w:vAnchor="margin" w:yAlign="inline"/>
              <w:suppressOverlap w:val="0"/>
            </w:pPr>
            <w:r w:rsidRPr="0054775B">
              <w:t>Abdominal pain burden</w:t>
            </w:r>
          </w:p>
        </w:tc>
      </w:tr>
      <w:tr w:rsidR="00D047ED" w:rsidRPr="0054775B" w14:paraId="4A05CD56" w14:textId="77777777" w:rsidTr="00513D94">
        <w:trPr>
          <w:trHeight w:val="95"/>
        </w:trPr>
        <w:tc>
          <w:tcPr>
            <w:tcW w:w="333" w:type="dxa"/>
            <w:vMerge/>
            <w:tcBorders>
              <w:left w:val="single" w:sz="4" w:space="0" w:color="auto"/>
              <w:right w:val="single" w:sz="4" w:space="0" w:color="auto"/>
            </w:tcBorders>
            <w:shd w:val="clear" w:color="auto" w:fill="auto"/>
            <w:vAlign w:val="center"/>
          </w:tcPr>
          <w:p w14:paraId="4E4A9B8C" w14:textId="77777777" w:rsidR="00D047ED" w:rsidRPr="0054775B" w:rsidRDefault="00D047ED" w:rsidP="00420FDC">
            <w:pPr>
              <w:pStyle w:val="2024TABLETEXT"/>
              <w:framePr w:hSpace="0" w:wrap="auto" w:vAnchor="margin" w:yAlign="inline"/>
              <w:suppressOverlap w:val="0"/>
            </w:pPr>
          </w:p>
        </w:tc>
        <w:tc>
          <w:tcPr>
            <w:tcW w:w="1081" w:type="dxa"/>
            <w:vMerge/>
            <w:tcBorders>
              <w:left w:val="nil"/>
              <w:right w:val="single" w:sz="4" w:space="0" w:color="auto"/>
            </w:tcBorders>
            <w:shd w:val="clear" w:color="auto" w:fill="auto"/>
            <w:vAlign w:val="center"/>
          </w:tcPr>
          <w:p w14:paraId="1F3E1C0F" w14:textId="77777777" w:rsidR="00D047ED" w:rsidRPr="0054775B" w:rsidRDefault="00D047ED" w:rsidP="00420FDC">
            <w:pPr>
              <w:pStyle w:val="2024TABLETEXT"/>
              <w:framePr w:hSpace="0" w:wrap="auto" w:vAnchor="margin" w:yAlign="inline"/>
              <w:suppressOverlap w:val="0"/>
            </w:pPr>
          </w:p>
        </w:tc>
        <w:tc>
          <w:tcPr>
            <w:tcW w:w="1272" w:type="dxa"/>
            <w:gridSpan w:val="2"/>
            <w:vMerge/>
            <w:tcBorders>
              <w:left w:val="nil"/>
              <w:right w:val="single" w:sz="4" w:space="0" w:color="auto"/>
            </w:tcBorders>
            <w:shd w:val="clear" w:color="auto" w:fill="auto"/>
            <w:vAlign w:val="center"/>
          </w:tcPr>
          <w:p w14:paraId="2CC728E4" w14:textId="77777777" w:rsidR="00D047ED" w:rsidRPr="0054775B" w:rsidRDefault="00D047ED" w:rsidP="00420FDC">
            <w:pPr>
              <w:pStyle w:val="2024TABLETEXT"/>
              <w:framePr w:hSpace="0" w:wrap="auto" w:vAnchor="margin" w:yAlign="inline"/>
              <w:suppressOverlap w:val="0"/>
            </w:pPr>
          </w:p>
        </w:tc>
        <w:tc>
          <w:tcPr>
            <w:tcW w:w="803" w:type="dxa"/>
            <w:tcBorders>
              <w:top w:val="nil"/>
              <w:left w:val="nil"/>
              <w:bottom w:val="single" w:sz="4" w:space="0" w:color="auto"/>
              <w:right w:val="single" w:sz="4" w:space="0" w:color="auto"/>
            </w:tcBorders>
            <w:shd w:val="clear" w:color="auto" w:fill="auto"/>
            <w:vAlign w:val="center"/>
          </w:tcPr>
          <w:p w14:paraId="6F788A91" w14:textId="2D8B39C3" w:rsidR="00D047ED" w:rsidRPr="0054775B" w:rsidRDefault="00D047ED" w:rsidP="00420FDC">
            <w:pPr>
              <w:pStyle w:val="2024TABLETEXT"/>
              <w:framePr w:hSpace="0" w:wrap="auto" w:vAnchor="margin" w:yAlign="inline"/>
              <w:suppressOverlap w:val="0"/>
            </w:pPr>
            <w:r w:rsidRPr="0054775B">
              <w:t>8</w:t>
            </w:r>
          </w:p>
        </w:tc>
        <w:tc>
          <w:tcPr>
            <w:tcW w:w="5720" w:type="dxa"/>
            <w:tcBorders>
              <w:top w:val="nil"/>
              <w:left w:val="nil"/>
              <w:bottom w:val="single" w:sz="4" w:space="0" w:color="auto"/>
              <w:right w:val="single" w:sz="4" w:space="0" w:color="auto"/>
            </w:tcBorders>
            <w:shd w:val="clear" w:color="auto" w:fill="auto"/>
            <w:vAlign w:val="center"/>
          </w:tcPr>
          <w:p w14:paraId="7E68D169" w14:textId="4B018A10" w:rsidR="00D047ED" w:rsidRPr="0054775B" w:rsidRDefault="00D047ED" w:rsidP="00420FDC">
            <w:pPr>
              <w:pStyle w:val="2024TABLETEXT"/>
              <w:framePr w:hSpace="0" w:wrap="auto" w:vAnchor="margin" w:yAlign="inline"/>
              <w:suppressOverlap w:val="0"/>
            </w:pPr>
            <w:r w:rsidRPr="0054775B">
              <w:t>Health-related quality of life</w:t>
            </w:r>
          </w:p>
        </w:tc>
      </w:tr>
      <w:tr w:rsidR="00D047ED" w:rsidRPr="0054775B" w14:paraId="46953ECD" w14:textId="77777777" w:rsidTr="00513D94">
        <w:trPr>
          <w:trHeight w:val="95"/>
        </w:trPr>
        <w:tc>
          <w:tcPr>
            <w:tcW w:w="333" w:type="dxa"/>
            <w:vMerge/>
            <w:tcBorders>
              <w:left w:val="single" w:sz="4" w:space="0" w:color="auto"/>
              <w:right w:val="single" w:sz="4" w:space="0" w:color="auto"/>
            </w:tcBorders>
            <w:shd w:val="clear" w:color="auto" w:fill="auto"/>
            <w:vAlign w:val="center"/>
          </w:tcPr>
          <w:p w14:paraId="5BA344D7" w14:textId="77777777" w:rsidR="00D047ED" w:rsidRPr="0054775B" w:rsidRDefault="00D047ED" w:rsidP="00420FDC">
            <w:pPr>
              <w:pStyle w:val="2024TABLETEXT"/>
              <w:framePr w:hSpace="0" w:wrap="auto" w:vAnchor="margin" w:yAlign="inline"/>
              <w:suppressOverlap w:val="0"/>
            </w:pPr>
          </w:p>
        </w:tc>
        <w:tc>
          <w:tcPr>
            <w:tcW w:w="1081" w:type="dxa"/>
            <w:vMerge/>
            <w:tcBorders>
              <w:left w:val="nil"/>
              <w:right w:val="single" w:sz="4" w:space="0" w:color="auto"/>
            </w:tcBorders>
            <w:shd w:val="clear" w:color="auto" w:fill="auto"/>
            <w:vAlign w:val="center"/>
          </w:tcPr>
          <w:p w14:paraId="2194DBD3" w14:textId="77777777" w:rsidR="00D047ED" w:rsidRPr="0054775B" w:rsidRDefault="00D047ED" w:rsidP="00420FDC">
            <w:pPr>
              <w:pStyle w:val="2024TABLETEXT"/>
              <w:framePr w:hSpace="0" w:wrap="auto" w:vAnchor="margin" w:yAlign="inline"/>
              <w:suppressOverlap w:val="0"/>
            </w:pPr>
          </w:p>
        </w:tc>
        <w:tc>
          <w:tcPr>
            <w:tcW w:w="1272" w:type="dxa"/>
            <w:gridSpan w:val="2"/>
            <w:vMerge/>
            <w:tcBorders>
              <w:left w:val="nil"/>
              <w:right w:val="single" w:sz="4" w:space="0" w:color="auto"/>
            </w:tcBorders>
            <w:shd w:val="clear" w:color="auto" w:fill="auto"/>
            <w:vAlign w:val="center"/>
          </w:tcPr>
          <w:p w14:paraId="66C200D2" w14:textId="77777777" w:rsidR="00D047ED" w:rsidRPr="0054775B" w:rsidRDefault="00D047ED" w:rsidP="00420FDC">
            <w:pPr>
              <w:pStyle w:val="2024TABLETEXT"/>
              <w:framePr w:hSpace="0" w:wrap="auto" w:vAnchor="margin" w:yAlign="inline"/>
              <w:suppressOverlap w:val="0"/>
            </w:pPr>
          </w:p>
        </w:tc>
        <w:tc>
          <w:tcPr>
            <w:tcW w:w="803" w:type="dxa"/>
            <w:tcBorders>
              <w:top w:val="nil"/>
              <w:left w:val="nil"/>
              <w:bottom w:val="single" w:sz="4" w:space="0" w:color="auto"/>
              <w:right w:val="single" w:sz="4" w:space="0" w:color="auto"/>
            </w:tcBorders>
            <w:shd w:val="clear" w:color="auto" w:fill="auto"/>
            <w:vAlign w:val="center"/>
          </w:tcPr>
          <w:p w14:paraId="3BA669F5" w14:textId="31042B20" w:rsidR="00D047ED" w:rsidRPr="0054775B" w:rsidRDefault="00D047ED" w:rsidP="00420FDC">
            <w:pPr>
              <w:pStyle w:val="2024TABLETEXT"/>
              <w:framePr w:hSpace="0" w:wrap="auto" w:vAnchor="margin" w:yAlign="inline"/>
              <w:suppressOverlap w:val="0"/>
            </w:pPr>
            <w:r w:rsidRPr="0054775B">
              <w:t>8</w:t>
            </w:r>
          </w:p>
        </w:tc>
        <w:tc>
          <w:tcPr>
            <w:tcW w:w="5720" w:type="dxa"/>
            <w:tcBorders>
              <w:top w:val="nil"/>
              <w:left w:val="nil"/>
              <w:bottom w:val="single" w:sz="4" w:space="0" w:color="auto"/>
              <w:right w:val="single" w:sz="4" w:space="0" w:color="auto"/>
            </w:tcBorders>
            <w:shd w:val="clear" w:color="auto" w:fill="auto"/>
            <w:vAlign w:val="center"/>
          </w:tcPr>
          <w:p w14:paraId="7A3BA488" w14:textId="312D5BE2" w:rsidR="00D047ED" w:rsidRPr="0054775B" w:rsidRDefault="00D047ED" w:rsidP="00420FDC">
            <w:pPr>
              <w:pStyle w:val="2024TABLETEXT"/>
              <w:framePr w:hSpace="0" w:wrap="auto" w:vAnchor="margin" w:yAlign="inline"/>
              <w:suppressOverlap w:val="0"/>
            </w:pPr>
            <w:r w:rsidRPr="0054775B">
              <w:t>Number of recurrent episodes</w:t>
            </w:r>
          </w:p>
        </w:tc>
      </w:tr>
      <w:tr w:rsidR="00D047ED" w:rsidRPr="0054775B" w14:paraId="0D52E26E" w14:textId="77777777" w:rsidTr="00513D94">
        <w:trPr>
          <w:trHeight w:val="95"/>
        </w:trPr>
        <w:tc>
          <w:tcPr>
            <w:tcW w:w="333" w:type="dxa"/>
            <w:vMerge/>
            <w:tcBorders>
              <w:left w:val="single" w:sz="4" w:space="0" w:color="auto"/>
              <w:right w:val="single" w:sz="4" w:space="0" w:color="auto"/>
            </w:tcBorders>
            <w:shd w:val="clear" w:color="auto" w:fill="auto"/>
            <w:vAlign w:val="center"/>
          </w:tcPr>
          <w:p w14:paraId="669709D9" w14:textId="77777777" w:rsidR="00D047ED" w:rsidRPr="0054775B" w:rsidRDefault="00D047ED" w:rsidP="00420FDC">
            <w:pPr>
              <w:pStyle w:val="2024TABLETEXT"/>
              <w:framePr w:hSpace="0" w:wrap="auto" w:vAnchor="margin" w:yAlign="inline"/>
              <w:suppressOverlap w:val="0"/>
            </w:pPr>
          </w:p>
        </w:tc>
        <w:tc>
          <w:tcPr>
            <w:tcW w:w="1081" w:type="dxa"/>
            <w:vMerge/>
            <w:tcBorders>
              <w:left w:val="nil"/>
              <w:right w:val="single" w:sz="4" w:space="0" w:color="auto"/>
            </w:tcBorders>
            <w:shd w:val="clear" w:color="auto" w:fill="auto"/>
            <w:vAlign w:val="center"/>
          </w:tcPr>
          <w:p w14:paraId="4B61BFB2" w14:textId="77777777" w:rsidR="00D047ED" w:rsidRPr="0054775B" w:rsidRDefault="00D047ED" w:rsidP="00420FDC">
            <w:pPr>
              <w:pStyle w:val="2024TABLETEXT"/>
              <w:framePr w:hSpace="0" w:wrap="auto" w:vAnchor="margin" w:yAlign="inline"/>
              <w:suppressOverlap w:val="0"/>
            </w:pPr>
          </w:p>
        </w:tc>
        <w:tc>
          <w:tcPr>
            <w:tcW w:w="1272" w:type="dxa"/>
            <w:gridSpan w:val="2"/>
            <w:vMerge/>
            <w:tcBorders>
              <w:left w:val="nil"/>
              <w:right w:val="single" w:sz="4" w:space="0" w:color="auto"/>
            </w:tcBorders>
            <w:shd w:val="clear" w:color="auto" w:fill="auto"/>
            <w:vAlign w:val="center"/>
          </w:tcPr>
          <w:p w14:paraId="0003DECB" w14:textId="77777777" w:rsidR="00D047ED" w:rsidRPr="0054775B" w:rsidRDefault="00D047ED" w:rsidP="00420FDC">
            <w:pPr>
              <w:pStyle w:val="2024TABLETEXT"/>
              <w:framePr w:hSpace="0" w:wrap="auto" w:vAnchor="margin" w:yAlign="inline"/>
              <w:suppressOverlap w:val="0"/>
            </w:pPr>
          </w:p>
        </w:tc>
        <w:tc>
          <w:tcPr>
            <w:tcW w:w="803" w:type="dxa"/>
            <w:tcBorders>
              <w:top w:val="nil"/>
              <w:left w:val="nil"/>
              <w:bottom w:val="single" w:sz="4" w:space="0" w:color="auto"/>
              <w:right w:val="single" w:sz="4" w:space="0" w:color="auto"/>
            </w:tcBorders>
            <w:shd w:val="clear" w:color="auto" w:fill="auto"/>
            <w:vAlign w:val="center"/>
          </w:tcPr>
          <w:p w14:paraId="2F86BE08" w14:textId="648FA638" w:rsidR="00D047ED" w:rsidRPr="0054775B" w:rsidRDefault="00D047ED" w:rsidP="00420FDC">
            <w:pPr>
              <w:pStyle w:val="2024TABLETEXT"/>
              <w:framePr w:hSpace="0" w:wrap="auto" w:vAnchor="margin" w:yAlign="inline"/>
              <w:suppressOverlap w:val="0"/>
            </w:pPr>
            <w:r w:rsidRPr="0054775B">
              <w:t>7</w:t>
            </w:r>
          </w:p>
        </w:tc>
        <w:tc>
          <w:tcPr>
            <w:tcW w:w="5720" w:type="dxa"/>
            <w:tcBorders>
              <w:top w:val="nil"/>
              <w:left w:val="nil"/>
              <w:bottom w:val="single" w:sz="4" w:space="0" w:color="auto"/>
              <w:right w:val="single" w:sz="4" w:space="0" w:color="auto"/>
            </w:tcBorders>
            <w:shd w:val="clear" w:color="auto" w:fill="auto"/>
            <w:vAlign w:val="center"/>
          </w:tcPr>
          <w:p w14:paraId="5F34F9CB" w14:textId="6E760EB0" w:rsidR="00D047ED" w:rsidRPr="0054775B" w:rsidRDefault="00D047ED" w:rsidP="00420FDC">
            <w:pPr>
              <w:pStyle w:val="2024TABLETEXT"/>
              <w:framePr w:hSpace="0" w:wrap="auto" w:vAnchor="margin" w:yAlign="inline"/>
              <w:suppressOverlap w:val="0"/>
            </w:pPr>
            <w:r w:rsidRPr="0054775B">
              <w:t>Function</w:t>
            </w:r>
            <w:r w:rsidRPr="0054775B" w:rsidDel="007C78C3">
              <w:t>ing</w:t>
            </w:r>
          </w:p>
        </w:tc>
      </w:tr>
      <w:tr w:rsidR="00D047ED" w:rsidRPr="0054775B" w14:paraId="62315DC9" w14:textId="77777777" w:rsidTr="00513D94">
        <w:trPr>
          <w:trHeight w:val="95"/>
        </w:trPr>
        <w:tc>
          <w:tcPr>
            <w:tcW w:w="333" w:type="dxa"/>
            <w:vMerge/>
            <w:tcBorders>
              <w:left w:val="single" w:sz="4" w:space="0" w:color="auto"/>
              <w:right w:val="single" w:sz="4" w:space="0" w:color="auto"/>
            </w:tcBorders>
            <w:shd w:val="clear" w:color="auto" w:fill="auto"/>
            <w:vAlign w:val="center"/>
          </w:tcPr>
          <w:p w14:paraId="3FC53E93" w14:textId="77777777" w:rsidR="00D047ED" w:rsidRPr="0054775B" w:rsidRDefault="00D047ED" w:rsidP="00420FDC">
            <w:pPr>
              <w:pStyle w:val="2024TABLETEXT"/>
              <w:framePr w:hSpace="0" w:wrap="auto" w:vAnchor="margin" w:yAlign="inline"/>
              <w:suppressOverlap w:val="0"/>
            </w:pPr>
          </w:p>
        </w:tc>
        <w:tc>
          <w:tcPr>
            <w:tcW w:w="1081" w:type="dxa"/>
            <w:vMerge/>
            <w:tcBorders>
              <w:left w:val="nil"/>
              <w:right w:val="single" w:sz="4" w:space="0" w:color="auto"/>
            </w:tcBorders>
            <w:shd w:val="clear" w:color="auto" w:fill="auto"/>
            <w:vAlign w:val="center"/>
          </w:tcPr>
          <w:p w14:paraId="0CFE521D" w14:textId="77777777" w:rsidR="00D047ED" w:rsidRPr="0054775B" w:rsidRDefault="00D047ED" w:rsidP="00420FDC">
            <w:pPr>
              <w:pStyle w:val="2024TABLETEXT"/>
              <w:framePr w:hSpace="0" w:wrap="auto" w:vAnchor="margin" w:yAlign="inline"/>
              <w:suppressOverlap w:val="0"/>
            </w:pPr>
          </w:p>
        </w:tc>
        <w:tc>
          <w:tcPr>
            <w:tcW w:w="1272" w:type="dxa"/>
            <w:gridSpan w:val="2"/>
            <w:vMerge/>
            <w:tcBorders>
              <w:left w:val="nil"/>
              <w:right w:val="single" w:sz="4" w:space="0" w:color="auto"/>
            </w:tcBorders>
            <w:shd w:val="clear" w:color="auto" w:fill="auto"/>
            <w:vAlign w:val="center"/>
          </w:tcPr>
          <w:p w14:paraId="13A0EBAB" w14:textId="77777777" w:rsidR="00D047ED" w:rsidRPr="0054775B" w:rsidRDefault="00D047ED" w:rsidP="00420FDC">
            <w:pPr>
              <w:pStyle w:val="2024TABLETEXT"/>
              <w:framePr w:hSpace="0" w:wrap="auto" w:vAnchor="margin" w:yAlign="inline"/>
              <w:suppressOverlap w:val="0"/>
            </w:pPr>
          </w:p>
        </w:tc>
        <w:tc>
          <w:tcPr>
            <w:tcW w:w="803" w:type="dxa"/>
            <w:tcBorders>
              <w:top w:val="nil"/>
              <w:left w:val="nil"/>
              <w:bottom w:val="single" w:sz="4" w:space="0" w:color="auto"/>
              <w:right w:val="single" w:sz="4" w:space="0" w:color="auto"/>
            </w:tcBorders>
            <w:shd w:val="clear" w:color="auto" w:fill="auto"/>
            <w:vAlign w:val="center"/>
          </w:tcPr>
          <w:p w14:paraId="1F7DBD64" w14:textId="553F24B9" w:rsidR="00D047ED" w:rsidRPr="0054775B" w:rsidRDefault="00D047ED" w:rsidP="00420FDC">
            <w:pPr>
              <w:pStyle w:val="2024TABLETEXT"/>
              <w:framePr w:hSpace="0" w:wrap="auto" w:vAnchor="margin" w:yAlign="inline"/>
              <w:suppressOverlap w:val="0"/>
            </w:pPr>
            <w:r w:rsidRPr="0054775B">
              <w:t>7</w:t>
            </w:r>
          </w:p>
        </w:tc>
        <w:tc>
          <w:tcPr>
            <w:tcW w:w="5720" w:type="dxa"/>
            <w:tcBorders>
              <w:top w:val="nil"/>
              <w:left w:val="nil"/>
              <w:bottom w:val="single" w:sz="4" w:space="0" w:color="auto"/>
              <w:right w:val="single" w:sz="4" w:space="0" w:color="auto"/>
            </w:tcBorders>
            <w:shd w:val="clear" w:color="auto" w:fill="auto"/>
            <w:vAlign w:val="center"/>
          </w:tcPr>
          <w:p w14:paraId="35D756A2" w14:textId="658077A5" w:rsidR="00D047ED" w:rsidRPr="0054775B" w:rsidRDefault="00D047ED" w:rsidP="00420FDC">
            <w:pPr>
              <w:pStyle w:val="2024TABLETEXT"/>
              <w:framePr w:hSpace="0" w:wrap="auto" w:vAnchor="margin" w:yAlign="inline"/>
              <w:suppressOverlap w:val="0"/>
            </w:pPr>
            <w:r w:rsidRPr="0054775B">
              <w:t>Stool frequency, bowel transit time</w:t>
            </w:r>
          </w:p>
        </w:tc>
      </w:tr>
      <w:tr w:rsidR="00D047ED" w:rsidRPr="0054775B" w14:paraId="0E72D77A" w14:textId="77777777" w:rsidTr="00513D94">
        <w:trPr>
          <w:trHeight w:val="95"/>
        </w:trPr>
        <w:tc>
          <w:tcPr>
            <w:tcW w:w="333" w:type="dxa"/>
            <w:vMerge/>
            <w:tcBorders>
              <w:left w:val="single" w:sz="4" w:space="0" w:color="auto"/>
              <w:bottom w:val="single" w:sz="4" w:space="0" w:color="auto"/>
              <w:right w:val="single" w:sz="4" w:space="0" w:color="auto"/>
            </w:tcBorders>
            <w:shd w:val="clear" w:color="auto" w:fill="auto"/>
            <w:vAlign w:val="center"/>
          </w:tcPr>
          <w:p w14:paraId="1AE7D1BF" w14:textId="77777777" w:rsidR="00D047ED" w:rsidRPr="0054775B" w:rsidRDefault="00D047ED" w:rsidP="00420FDC">
            <w:pPr>
              <w:pStyle w:val="2024TABLETEXT"/>
              <w:framePr w:hSpace="0" w:wrap="auto" w:vAnchor="margin" w:yAlign="inline"/>
              <w:suppressOverlap w:val="0"/>
            </w:pPr>
          </w:p>
        </w:tc>
        <w:tc>
          <w:tcPr>
            <w:tcW w:w="1081" w:type="dxa"/>
            <w:vMerge/>
            <w:tcBorders>
              <w:left w:val="nil"/>
              <w:bottom w:val="single" w:sz="4" w:space="0" w:color="auto"/>
              <w:right w:val="single" w:sz="4" w:space="0" w:color="auto"/>
            </w:tcBorders>
            <w:shd w:val="clear" w:color="auto" w:fill="auto"/>
            <w:vAlign w:val="center"/>
          </w:tcPr>
          <w:p w14:paraId="4A664B2D" w14:textId="77777777" w:rsidR="00D047ED" w:rsidRPr="0054775B" w:rsidRDefault="00D047ED" w:rsidP="00420FDC">
            <w:pPr>
              <w:pStyle w:val="2024TABLETEXT"/>
              <w:framePr w:hSpace="0" w:wrap="auto" w:vAnchor="margin" w:yAlign="inline"/>
              <w:suppressOverlap w:val="0"/>
            </w:pPr>
          </w:p>
        </w:tc>
        <w:tc>
          <w:tcPr>
            <w:tcW w:w="1272" w:type="dxa"/>
            <w:gridSpan w:val="2"/>
            <w:vMerge/>
            <w:tcBorders>
              <w:left w:val="nil"/>
              <w:bottom w:val="single" w:sz="4" w:space="0" w:color="auto"/>
              <w:right w:val="single" w:sz="4" w:space="0" w:color="auto"/>
            </w:tcBorders>
            <w:shd w:val="clear" w:color="auto" w:fill="auto"/>
            <w:vAlign w:val="center"/>
          </w:tcPr>
          <w:p w14:paraId="515EDF6E" w14:textId="77777777" w:rsidR="00D047ED" w:rsidRPr="0054775B" w:rsidRDefault="00D047ED" w:rsidP="00420FDC">
            <w:pPr>
              <w:pStyle w:val="2024TABLETEXT"/>
              <w:framePr w:hSpace="0" w:wrap="auto" w:vAnchor="margin" w:yAlign="inline"/>
              <w:suppressOverlap w:val="0"/>
            </w:pPr>
          </w:p>
        </w:tc>
        <w:tc>
          <w:tcPr>
            <w:tcW w:w="803" w:type="dxa"/>
            <w:tcBorders>
              <w:top w:val="nil"/>
              <w:left w:val="nil"/>
              <w:bottom w:val="single" w:sz="4" w:space="0" w:color="auto"/>
              <w:right w:val="single" w:sz="4" w:space="0" w:color="auto"/>
            </w:tcBorders>
            <w:shd w:val="clear" w:color="auto" w:fill="auto"/>
            <w:vAlign w:val="center"/>
          </w:tcPr>
          <w:p w14:paraId="3FAE4FE2" w14:textId="5F1957CA" w:rsidR="00D047ED" w:rsidRPr="0054775B" w:rsidRDefault="00D047ED" w:rsidP="00420FDC">
            <w:pPr>
              <w:pStyle w:val="2024TABLETEXT"/>
              <w:framePr w:hSpace="0" w:wrap="auto" w:vAnchor="margin" w:yAlign="inline"/>
              <w:suppressOverlap w:val="0"/>
            </w:pPr>
            <w:r w:rsidRPr="0054775B">
              <w:t>7</w:t>
            </w:r>
          </w:p>
        </w:tc>
        <w:tc>
          <w:tcPr>
            <w:tcW w:w="5720" w:type="dxa"/>
            <w:tcBorders>
              <w:top w:val="nil"/>
              <w:left w:val="nil"/>
              <w:bottom w:val="single" w:sz="4" w:space="0" w:color="auto"/>
              <w:right w:val="single" w:sz="4" w:space="0" w:color="auto"/>
            </w:tcBorders>
            <w:shd w:val="clear" w:color="auto" w:fill="auto"/>
            <w:vAlign w:val="center"/>
          </w:tcPr>
          <w:p w14:paraId="1D3B7189" w14:textId="2EA432E4" w:rsidR="00D047ED" w:rsidRPr="0054775B" w:rsidRDefault="00D047ED" w:rsidP="00420FDC">
            <w:pPr>
              <w:pStyle w:val="2024TABLETEXT"/>
              <w:framePr w:hSpace="0" w:wrap="auto" w:vAnchor="margin" w:yAlign="inline"/>
              <w:suppressOverlap w:val="0"/>
            </w:pPr>
            <w:r w:rsidRPr="0054775B">
              <w:t>Stool consistency</w:t>
            </w:r>
          </w:p>
        </w:tc>
      </w:tr>
    </w:tbl>
    <w:p w14:paraId="0B57E24A" w14:textId="77777777" w:rsidR="00150E1C" w:rsidRPr="0054775B" w:rsidRDefault="00150E1C" w:rsidP="009760CB">
      <w:pPr>
        <w:pStyle w:val="2024TABLEFOOTER"/>
      </w:pPr>
      <w:r w:rsidRPr="0054775B">
        <w:t>Abbreviations: BP=blood pressure; HRQoL=health-related quality of life; NTWC=Natural Therapies Working Group</w:t>
      </w:r>
    </w:p>
    <w:p w14:paraId="4590F538" w14:textId="4C9425BC" w:rsidR="00150E1C" w:rsidRPr="0054775B" w:rsidRDefault="00150E1C" w:rsidP="009760CB">
      <w:pPr>
        <w:pStyle w:val="2024TABLEFOOTER"/>
      </w:pPr>
      <w:r w:rsidRPr="0054775B">
        <w:t>*1-3 = of limited importance to decision making; 4-6 = important, but not critical, to decision making; 7-9 = critical for decision-making</w:t>
      </w:r>
    </w:p>
    <w:p w14:paraId="5F8A245F" w14:textId="77777777" w:rsidR="00121412" w:rsidRPr="0054775B" w:rsidRDefault="00121412" w:rsidP="009E6F7F">
      <w:pPr>
        <w:pStyle w:val="2024HEADER3"/>
        <w:rPr>
          <w:rFonts w:ascii="Aptos" w:hAnsi="Aptos"/>
        </w:rPr>
      </w:pPr>
      <w:r w:rsidRPr="0054775B">
        <w:rPr>
          <w:rFonts w:ascii="Aptos" w:hAnsi="Aptos"/>
        </w:rPr>
        <w:t>Search findings</w:t>
      </w:r>
    </w:p>
    <w:p w14:paraId="5438F1A7" w14:textId="1B718671" w:rsidR="00121412" w:rsidRPr="0054775B" w:rsidRDefault="00121412" w:rsidP="009E6F7F">
      <w:r w:rsidRPr="0054775B">
        <w:t xml:space="preserve">In total, </w:t>
      </w:r>
      <w:r w:rsidR="001D1353" w:rsidRPr="0054775B">
        <w:t>29</w:t>
      </w:r>
      <w:r w:rsidR="0094051A" w:rsidRPr="0054775B">
        <w:t>3</w:t>
      </w:r>
      <w:r w:rsidRPr="0054775B">
        <w:t xml:space="preserve"> </w:t>
      </w:r>
      <w:r w:rsidR="00417802">
        <w:t>reviews</w:t>
      </w:r>
      <w:r w:rsidR="00417802" w:rsidRPr="0054775B">
        <w:t xml:space="preserve"> </w:t>
      </w:r>
      <w:r w:rsidRPr="0054775B">
        <w:t xml:space="preserve">were </w:t>
      </w:r>
      <w:r w:rsidR="00454D9B" w:rsidRPr="0054775B">
        <w:t xml:space="preserve">screened </w:t>
      </w:r>
      <w:r w:rsidR="00C5623B" w:rsidRPr="0054775B">
        <w:t xml:space="preserve">following </w:t>
      </w:r>
      <w:r w:rsidR="002C7728" w:rsidRPr="0054775B">
        <w:t>de-duplication</w:t>
      </w:r>
      <w:r w:rsidRPr="0054775B">
        <w:t xml:space="preserve">. </w:t>
      </w:r>
      <w:r w:rsidR="002C7CE7" w:rsidRPr="0054775B">
        <w:t>Two</w:t>
      </w:r>
      <w:r w:rsidR="006E3CA7" w:rsidRPr="0054775B">
        <w:t xml:space="preserve"> </w:t>
      </w:r>
      <w:r w:rsidR="00417802">
        <w:t>reviews</w:t>
      </w:r>
      <w:r w:rsidR="00417802" w:rsidRPr="0054775B">
        <w:t xml:space="preserve"> </w:t>
      </w:r>
      <w:r w:rsidR="006E3CA7" w:rsidRPr="0054775B">
        <w:t xml:space="preserve">provided </w:t>
      </w:r>
      <w:r w:rsidR="002C7CE7" w:rsidRPr="0054775B">
        <w:t xml:space="preserve">through </w:t>
      </w:r>
      <w:r w:rsidR="006E3CA7" w:rsidRPr="0054775B">
        <w:t>the Department’s call for evidence</w:t>
      </w:r>
      <w:r w:rsidR="00F751E8" w:rsidRPr="0054775B">
        <w:t xml:space="preserve"> were relevant to this population-</w:t>
      </w:r>
      <w:r w:rsidR="0032560B">
        <w:t>supplement pair</w:t>
      </w:r>
      <w:r w:rsidR="00F751E8" w:rsidRPr="0054775B">
        <w:t>;</w:t>
      </w:r>
      <w:r w:rsidR="006E3CA7" w:rsidRPr="0054775B">
        <w:t xml:space="preserve"> </w:t>
      </w:r>
      <w:r w:rsidR="0052726E" w:rsidRPr="0054775B">
        <w:t xml:space="preserve">both were </w:t>
      </w:r>
      <w:r w:rsidR="006E3CA7" w:rsidRPr="0054775B">
        <w:t xml:space="preserve">already identified in database searching so </w:t>
      </w:r>
      <w:r w:rsidR="0052726E" w:rsidRPr="0054775B">
        <w:t xml:space="preserve">were </w:t>
      </w:r>
      <w:r w:rsidR="006E3CA7" w:rsidRPr="0054775B">
        <w:t>excluded as</w:t>
      </w:r>
      <w:r w:rsidR="005F566F" w:rsidRPr="0054775B">
        <w:t xml:space="preserve"> </w:t>
      </w:r>
      <w:r w:rsidR="006E3CA7" w:rsidRPr="0054775B">
        <w:t>duplicate</w:t>
      </w:r>
      <w:r w:rsidR="0052726E" w:rsidRPr="0054775B">
        <w:t>s</w:t>
      </w:r>
      <w:r w:rsidR="002C7CE7" w:rsidRPr="0054775B">
        <w:t xml:space="preserve"> (see Appendix </w:t>
      </w:r>
      <w:r w:rsidR="00FC3F8E">
        <w:t>C</w:t>
      </w:r>
      <w:r w:rsidR="00E84CD6">
        <w:t>2</w:t>
      </w:r>
      <w:r w:rsidR="002C7CE7" w:rsidRPr="0054775B">
        <w:t>)</w:t>
      </w:r>
      <w:r w:rsidR="006E3CA7" w:rsidRPr="0054775B">
        <w:t>.</w:t>
      </w:r>
      <w:r w:rsidR="00C5623B" w:rsidRPr="0054775B">
        <w:t xml:space="preserve"> </w:t>
      </w:r>
      <w:r w:rsidRPr="0054775B">
        <w:t xml:space="preserve">After title and abstract screening, </w:t>
      </w:r>
      <w:r w:rsidR="001D1353" w:rsidRPr="0054775B">
        <w:t>80</w:t>
      </w:r>
      <w:r w:rsidRPr="0054775B">
        <w:t xml:space="preserve"> </w:t>
      </w:r>
      <w:r w:rsidR="00417802">
        <w:t>reviews</w:t>
      </w:r>
      <w:r w:rsidR="00417802" w:rsidRPr="0054775B">
        <w:t xml:space="preserve"> </w:t>
      </w:r>
      <w:r w:rsidRPr="0054775B">
        <w:t xml:space="preserve">were </w:t>
      </w:r>
      <w:r w:rsidR="00D306F5" w:rsidRPr="0054775B">
        <w:t>sought for retrieval for</w:t>
      </w:r>
      <w:r w:rsidRPr="0054775B">
        <w:t xml:space="preserve"> full-text screening: </w:t>
      </w:r>
    </w:p>
    <w:p w14:paraId="0ED2C6D7" w14:textId="5AF3A3F6" w:rsidR="00D306F5" w:rsidRPr="0054775B" w:rsidRDefault="00D306F5" w:rsidP="00107BEE">
      <w:pPr>
        <w:pStyle w:val="ListParagraph"/>
        <w:numPr>
          <w:ilvl w:val="0"/>
          <w:numId w:val="6"/>
        </w:numPr>
      </w:pPr>
      <w:r w:rsidRPr="0054775B">
        <w:t>9 reviews did not have full-text copies able to be retrieved (</w:t>
      </w:r>
      <w:r w:rsidR="007D2E60" w:rsidRPr="0054775B">
        <w:t xml:space="preserve">citation details recorded in Appendix </w:t>
      </w:r>
      <w:r w:rsidR="000E1F10">
        <w:t>C3</w:t>
      </w:r>
      <w:r w:rsidRPr="0054775B">
        <w:t>)</w:t>
      </w:r>
    </w:p>
    <w:p w14:paraId="102C8CC2" w14:textId="0565EDD8" w:rsidR="00121412" w:rsidRPr="0054775B" w:rsidRDefault="001D1353" w:rsidP="00107BEE">
      <w:pPr>
        <w:pStyle w:val="ListParagraph"/>
        <w:numPr>
          <w:ilvl w:val="0"/>
          <w:numId w:val="6"/>
        </w:numPr>
      </w:pPr>
      <w:r w:rsidRPr="0054775B">
        <w:t>13</w:t>
      </w:r>
      <w:r w:rsidR="00121412" w:rsidRPr="0054775B">
        <w:t xml:space="preserve"> </w:t>
      </w:r>
      <w:r w:rsidR="00417802">
        <w:t>reviews</w:t>
      </w:r>
      <w:r w:rsidR="00417802" w:rsidRPr="0054775B">
        <w:t xml:space="preserve"> </w:t>
      </w:r>
      <w:r w:rsidR="00121412" w:rsidRPr="0054775B">
        <w:t>were ongoing (</w:t>
      </w:r>
      <w:r w:rsidR="007D2E60" w:rsidRPr="0054775B">
        <w:t xml:space="preserve">citation details recorded in Appendix </w:t>
      </w:r>
      <w:r w:rsidR="00911C50">
        <w:t>C4</w:t>
      </w:r>
      <w:r w:rsidR="00121412" w:rsidRPr="0054775B">
        <w:t>)</w:t>
      </w:r>
    </w:p>
    <w:p w14:paraId="1A99954C" w14:textId="6BB36402" w:rsidR="00D306F5" w:rsidRPr="0054775B" w:rsidRDefault="001D1353" w:rsidP="00107BEE">
      <w:pPr>
        <w:pStyle w:val="ListParagraph"/>
        <w:numPr>
          <w:ilvl w:val="0"/>
          <w:numId w:val="6"/>
        </w:numPr>
      </w:pPr>
      <w:r w:rsidRPr="0054775B">
        <w:t xml:space="preserve">2 </w:t>
      </w:r>
      <w:r w:rsidR="00417802">
        <w:t>reviews</w:t>
      </w:r>
      <w:r w:rsidRPr="0054775B" w:rsidDel="00417802">
        <w:t xml:space="preserve"> </w:t>
      </w:r>
      <w:r w:rsidRPr="0054775B">
        <w:t xml:space="preserve">were published in languages other than English (citation details recorded in “Reviews awaiting classification” table in Appendix </w:t>
      </w:r>
      <w:r w:rsidR="00164F38">
        <w:t>C3</w:t>
      </w:r>
      <w:r w:rsidRPr="0054775B">
        <w:t xml:space="preserve">) </w:t>
      </w:r>
    </w:p>
    <w:p w14:paraId="47131F8D" w14:textId="3B68CE0F" w:rsidR="001D1353" w:rsidRPr="0054775B" w:rsidRDefault="00D306F5" w:rsidP="00107BEE">
      <w:pPr>
        <w:pStyle w:val="ListParagraph"/>
        <w:numPr>
          <w:ilvl w:val="0"/>
          <w:numId w:val="6"/>
        </w:numPr>
      </w:pPr>
      <w:r w:rsidRPr="0054775B">
        <w:t xml:space="preserve">25 </w:t>
      </w:r>
      <w:r w:rsidR="00417802">
        <w:t>reviews</w:t>
      </w:r>
      <w:r w:rsidR="00417802" w:rsidRPr="0054775B">
        <w:t xml:space="preserve"> </w:t>
      </w:r>
      <w:r w:rsidRPr="0054775B">
        <w:t xml:space="preserve">did not meet inclusion criteria (citation details and </w:t>
      </w:r>
      <w:r w:rsidR="001332AF" w:rsidRPr="0054775B">
        <w:t xml:space="preserve">reasons for exclusion recorded in Appendix </w:t>
      </w:r>
      <w:r w:rsidR="00164F38">
        <w:t>C1</w:t>
      </w:r>
      <w:r w:rsidRPr="0054775B">
        <w:t xml:space="preserve">) </w:t>
      </w:r>
    </w:p>
    <w:p w14:paraId="568FE13C" w14:textId="7DBABCDD" w:rsidR="00121412" w:rsidRPr="0054775B" w:rsidRDefault="00121412" w:rsidP="009E6F7F">
      <w:r w:rsidRPr="0054775B">
        <w:t xml:space="preserve">A final </w:t>
      </w:r>
      <w:r w:rsidR="00D703C3" w:rsidRPr="0054775B">
        <w:t>3</w:t>
      </w:r>
      <w:r w:rsidR="004F3551" w:rsidRPr="0054775B">
        <w:t>1</w:t>
      </w:r>
      <w:r w:rsidRPr="0054775B">
        <w:t xml:space="preserve"> </w:t>
      </w:r>
      <w:r w:rsidR="00104480" w:rsidRPr="0054775B">
        <w:t xml:space="preserve">reviews </w:t>
      </w:r>
      <w:r w:rsidRPr="0054775B">
        <w:t xml:space="preserve">met the inclusion criteria. Characteristics of included reviews are presented in Appendix </w:t>
      </w:r>
      <w:r w:rsidR="00265E84">
        <w:t>D</w:t>
      </w:r>
      <w:r w:rsidRPr="0054775B">
        <w:t>. A full PRISMA flowchart is presented below.</w:t>
      </w:r>
      <w:r w:rsidRPr="0054775B">
        <w:rPr>
          <w:highlight w:val="yellow"/>
        </w:rPr>
        <w:t xml:space="preserve"> </w:t>
      </w:r>
    </w:p>
    <w:p w14:paraId="6F73EC74" w14:textId="22985A60" w:rsidR="00121412" w:rsidRPr="0054775B" w:rsidRDefault="00121412" w:rsidP="00DC24F3">
      <w:pPr>
        <w:pStyle w:val="2024TABLECAPTION"/>
        <w:rPr>
          <w:rFonts w:ascii="Aptos" w:hAnsi="Aptos"/>
        </w:rPr>
      </w:pPr>
      <w:bookmarkStart w:id="67" w:name="_Toc178348006"/>
      <w:r w:rsidRPr="0054775B">
        <w:rPr>
          <w:rFonts w:ascii="Aptos" w:hAnsi="Aptos"/>
        </w:rPr>
        <w:lastRenderedPageBreak/>
        <w:t xml:space="preserve">Figure </w:t>
      </w:r>
      <w:r w:rsidR="002C256B" w:rsidRPr="0054775B">
        <w:rPr>
          <w:rFonts w:ascii="Aptos" w:hAnsi="Aptos"/>
        </w:rPr>
        <w:fldChar w:fldCharType="begin"/>
      </w:r>
      <w:r w:rsidR="002C256B" w:rsidRPr="0054775B">
        <w:rPr>
          <w:rFonts w:ascii="Aptos" w:hAnsi="Aptos"/>
        </w:rPr>
        <w:instrText xml:space="preserve"> SEQ Figure \* ARABIC </w:instrText>
      </w:r>
      <w:r w:rsidR="002C256B" w:rsidRPr="0054775B">
        <w:rPr>
          <w:rFonts w:ascii="Aptos" w:hAnsi="Aptos"/>
        </w:rPr>
        <w:fldChar w:fldCharType="separate"/>
      </w:r>
      <w:r w:rsidR="002C256B">
        <w:rPr>
          <w:rFonts w:ascii="Aptos" w:hAnsi="Aptos"/>
          <w:noProof/>
        </w:rPr>
        <w:t>3</w:t>
      </w:r>
      <w:r w:rsidR="002C256B" w:rsidRPr="0054775B">
        <w:rPr>
          <w:rFonts w:ascii="Aptos" w:hAnsi="Aptos"/>
          <w:noProof/>
        </w:rPr>
        <w:fldChar w:fldCharType="end"/>
      </w:r>
      <w:r w:rsidRPr="0054775B">
        <w:rPr>
          <w:rFonts w:ascii="Aptos" w:hAnsi="Aptos"/>
        </w:rPr>
        <w:t xml:space="preserve">. PRISMA flowchart – </w:t>
      </w:r>
      <w:r w:rsidR="007C6975" w:rsidRPr="0054775B">
        <w:rPr>
          <w:rFonts w:ascii="Aptos" w:hAnsi="Aptos"/>
        </w:rPr>
        <w:t>irritable bowel syndrome, probiotics</w:t>
      </w:r>
      <w:r w:rsidRPr="0054775B">
        <w:rPr>
          <w:rFonts w:ascii="Aptos" w:hAnsi="Aptos"/>
        </w:rPr>
        <w:t>.</w:t>
      </w:r>
      <w:bookmarkEnd w:id="67"/>
    </w:p>
    <w:p w14:paraId="4D4321DD" w14:textId="77777777" w:rsidR="00121412" w:rsidRPr="0054775B" w:rsidRDefault="00121412" w:rsidP="009E6F7F">
      <w:r w:rsidRPr="0054775B">
        <w:rPr>
          <w:noProof/>
          <w:highlight w:val="yellow"/>
        </w:rPr>
        <mc:AlternateContent>
          <mc:Choice Requires="wpg">
            <w:drawing>
              <wp:anchor distT="0" distB="0" distL="114300" distR="114300" simplePos="0" relativeHeight="251658243" behindDoc="0" locked="0" layoutInCell="1" allowOverlap="1" wp14:anchorId="4D320C27" wp14:editId="56625D1E">
                <wp:simplePos x="0" y="0"/>
                <wp:positionH relativeFrom="column">
                  <wp:posOffset>53975</wp:posOffset>
                </wp:positionH>
                <wp:positionV relativeFrom="paragraph">
                  <wp:posOffset>136525</wp:posOffset>
                </wp:positionV>
                <wp:extent cx="5337175" cy="4335780"/>
                <wp:effectExtent l="0" t="0" r="9525" b="7620"/>
                <wp:wrapSquare wrapText="bothSides"/>
                <wp:docPr id="1235326938" name="Group 1235326938"/>
                <wp:cNvGraphicFramePr/>
                <a:graphic xmlns:a="http://schemas.openxmlformats.org/drawingml/2006/main">
                  <a:graphicData uri="http://schemas.microsoft.com/office/word/2010/wordprocessingGroup">
                    <wpg:wgp>
                      <wpg:cNvGrpSpPr/>
                      <wpg:grpSpPr>
                        <a:xfrm>
                          <a:off x="0" y="0"/>
                          <a:ext cx="5337175" cy="4335780"/>
                          <a:chOff x="55131" y="-10818"/>
                          <a:chExt cx="5536496" cy="4411793"/>
                        </a:xfrm>
                      </wpg:grpSpPr>
                      <wps:wsp>
                        <wps:cNvPr id="957556071" name="Rectangle 957556071"/>
                        <wps:cNvSpPr/>
                        <wps:spPr>
                          <a:xfrm>
                            <a:off x="3180705" y="425302"/>
                            <a:ext cx="2355790" cy="83947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F1E619D" w14:textId="77777777" w:rsidR="00121412" w:rsidRPr="000A34EA" w:rsidRDefault="00121412" w:rsidP="00DC24F3">
                              <w:pPr>
                                <w:pStyle w:val="2024-PRISMA"/>
                              </w:pPr>
                              <w:r w:rsidRPr="000A34EA">
                                <w:t>Records removed before screening:</w:t>
                              </w:r>
                            </w:p>
                            <w:p w14:paraId="1B936A2D" w14:textId="62B05FBE" w:rsidR="00121412" w:rsidRPr="000A34EA" w:rsidRDefault="00121412" w:rsidP="00DC24F3">
                              <w:pPr>
                                <w:pStyle w:val="2024-PRISMA"/>
                              </w:pPr>
                              <w:r w:rsidRPr="000A34EA">
                                <w:t xml:space="preserve">Duplicate records removed (n = </w:t>
                              </w:r>
                              <w:r w:rsidR="00C2722B">
                                <w:t>48</w:t>
                              </w:r>
                              <w:r w:rsidRPr="000A34EA">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82433981" name="Rectangle 1182433981"/>
                        <wps:cNvSpPr/>
                        <wps:spPr>
                          <a:xfrm>
                            <a:off x="2987749" y="1509823"/>
                            <a:ext cx="1887220" cy="52641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8A07930" w14:textId="77777777" w:rsidR="00121412" w:rsidRPr="000A34EA" w:rsidRDefault="00121412" w:rsidP="00DC24F3">
                              <w:pPr>
                                <w:pStyle w:val="2024-PRISMA"/>
                              </w:pPr>
                              <w:r w:rsidRPr="000A34EA">
                                <w:t>Records excluded</w:t>
                              </w:r>
                            </w:p>
                            <w:p w14:paraId="6F562511" w14:textId="57EE3588" w:rsidR="00121412" w:rsidRPr="000A34EA" w:rsidRDefault="00121412" w:rsidP="00DC24F3">
                              <w:pPr>
                                <w:pStyle w:val="2024-PRISMA"/>
                              </w:pPr>
                              <w:r w:rsidRPr="000A34EA">
                                <w:t xml:space="preserve">(n = </w:t>
                              </w:r>
                              <w:r w:rsidR="00C2722B">
                                <w:t>21</w:t>
                              </w:r>
                              <w:r w:rsidR="00CA0DC0">
                                <w:t>3</w:t>
                              </w:r>
                              <w:r w:rsidRPr="000A34EA">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18323288" name="Rectangle 718323288"/>
                        <wps:cNvSpPr/>
                        <wps:spPr>
                          <a:xfrm>
                            <a:off x="2987749" y="2172471"/>
                            <a:ext cx="2351878" cy="69999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94D1426" w14:textId="13D2C324" w:rsidR="00121412" w:rsidRDefault="00121412" w:rsidP="00DC24F3">
                              <w:pPr>
                                <w:pStyle w:val="2024-PRISMA"/>
                              </w:pPr>
                              <w:r>
                                <w:t>Full-text unavailable</w:t>
                              </w:r>
                              <w:r w:rsidRPr="000A34EA">
                                <w:t xml:space="preserve"> (n</w:t>
                              </w:r>
                              <w:r>
                                <w:t xml:space="preserve"> = </w:t>
                              </w:r>
                              <w:r w:rsidR="001D5B6E">
                                <w:t>5</w:t>
                              </w:r>
                              <w:r w:rsidRPr="000A34EA">
                                <w:t>)</w:t>
                              </w:r>
                            </w:p>
                            <w:p w14:paraId="7D0AD1D0" w14:textId="2E5B2C36" w:rsidR="00121412" w:rsidRPr="000A34EA" w:rsidRDefault="00121412" w:rsidP="00DC24F3">
                              <w:pPr>
                                <w:pStyle w:val="2024-PRISMA"/>
                              </w:pPr>
                              <w:r>
                                <w:t>Ongoing study</w:t>
                              </w:r>
                              <w:r w:rsidRPr="000A34EA">
                                <w:t xml:space="preserve"> (n</w:t>
                              </w:r>
                              <w:r>
                                <w:t xml:space="preserve"> = </w:t>
                              </w:r>
                              <w:r w:rsidR="009A5969">
                                <w:t>1</w:t>
                              </w:r>
                              <w:r w:rsidR="004236DD">
                                <w:t>5</w:t>
                              </w:r>
                              <w:r w:rsidRPr="000A34EA">
                                <w:t>)</w:t>
                              </w:r>
                            </w:p>
                            <w:p w14:paraId="3BBD9E4C" w14:textId="0C077BA8" w:rsidR="0017022E" w:rsidRPr="008C6127" w:rsidRDefault="0017022E" w:rsidP="0017022E">
                              <w:pPr>
                                <w:pStyle w:val="2024-PRISMA"/>
                              </w:pPr>
                              <w:r>
                                <w:t>Conference abstracts (n = 2)</w:t>
                              </w:r>
                            </w:p>
                            <w:p w14:paraId="23201ADD" w14:textId="65F6A437" w:rsidR="00121412" w:rsidRPr="000A34EA" w:rsidRDefault="0097733F" w:rsidP="00DC24F3">
                              <w:pPr>
                                <w:pStyle w:val="2024-PRISMA"/>
                              </w:pPr>
                              <w:r>
                                <w:t>Reviews</w:t>
                              </w:r>
                              <w:r w:rsidRPr="008C6127">
                                <w:t xml:space="preserve"> </w:t>
                              </w:r>
                              <w:r w:rsidR="00121412" w:rsidRPr="000A34EA">
                                <w:t xml:space="preserve">Awaiting Classification (n = </w:t>
                              </w:r>
                              <w:r w:rsidR="009A5969">
                                <w:t>2</w:t>
                              </w:r>
                              <w:r w:rsidR="00121412" w:rsidRPr="000A34EA">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58941469" name="Rectangle 1158941469"/>
                        <wps:cNvSpPr/>
                        <wps:spPr>
                          <a:xfrm>
                            <a:off x="2987749" y="2955852"/>
                            <a:ext cx="2179320" cy="1445123"/>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A432792" w14:textId="067735DD" w:rsidR="00121412" w:rsidRPr="000A34EA" w:rsidRDefault="00121412" w:rsidP="00DC24F3">
                              <w:pPr>
                                <w:pStyle w:val="2024-PRISMA"/>
                              </w:pPr>
                              <w:r w:rsidRPr="000A34EA">
                                <w:t xml:space="preserve">Reports excluded (n = </w:t>
                              </w:r>
                              <w:r w:rsidR="001E018A">
                                <w:t>2</w:t>
                              </w:r>
                              <w:r w:rsidR="00EE4ACE">
                                <w:t>5</w:t>
                              </w:r>
                              <w:r w:rsidRPr="000A34EA">
                                <w:t>):</w:t>
                              </w:r>
                            </w:p>
                            <w:p w14:paraId="7D5206FE" w14:textId="71DC1469" w:rsidR="00121412" w:rsidRPr="000A34EA" w:rsidRDefault="00121412" w:rsidP="00DC24F3">
                              <w:pPr>
                                <w:pStyle w:val="2024-PRISMA"/>
                              </w:pPr>
                              <w:r w:rsidRPr="000A34EA">
                                <w:t xml:space="preserve">Wrong study type (n = </w:t>
                              </w:r>
                              <w:r w:rsidR="00F1016A">
                                <w:t>3</w:t>
                              </w:r>
                              <w:r w:rsidRPr="000A34EA">
                                <w:t>)</w:t>
                              </w:r>
                            </w:p>
                            <w:p w14:paraId="4EE34153" w14:textId="33C6905A" w:rsidR="00121412" w:rsidRDefault="00121412" w:rsidP="00DC24F3">
                              <w:pPr>
                                <w:pStyle w:val="2024-PRISMA"/>
                              </w:pPr>
                              <w:r>
                                <w:t xml:space="preserve">Wrong population (n = </w:t>
                              </w:r>
                              <w:r w:rsidR="001E018A">
                                <w:t>5</w:t>
                              </w:r>
                              <w:r>
                                <w:t>)</w:t>
                              </w:r>
                            </w:p>
                            <w:p w14:paraId="7F4DDB26" w14:textId="3E62FB27" w:rsidR="00121412" w:rsidRPr="000A34EA" w:rsidRDefault="00121412" w:rsidP="00DC24F3">
                              <w:pPr>
                                <w:pStyle w:val="2024-PRISMA"/>
                              </w:pPr>
                              <w:r w:rsidRPr="000A34EA">
                                <w:t xml:space="preserve">Wrong intervention (n = </w:t>
                              </w:r>
                              <w:r w:rsidR="001E018A">
                                <w:t>2</w:t>
                              </w:r>
                              <w:r w:rsidRPr="000A34EA">
                                <w:t>)</w:t>
                              </w:r>
                            </w:p>
                            <w:p w14:paraId="68DD4460" w14:textId="4CBE63D8" w:rsidR="00121412" w:rsidRDefault="00121412" w:rsidP="00DC24F3">
                              <w:pPr>
                                <w:pStyle w:val="2024-PRISMA"/>
                              </w:pPr>
                              <w:r w:rsidRPr="000A34EA">
                                <w:t xml:space="preserve">Wrong outcomes (n = </w:t>
                              </w:r>
                              <w:r w:rsidR="001E018A">
                                <w:t>1</w:t>
                              </w:r>
                              <w:r w:rsidRPr="000A34EA">
                                <w:t>)</w:t>
                              </w:r>
                            </w:p>
                            <w:p w14:paraId="0950FD43" w14:textId="46089DFE" w:rsidR="001E018A" w:rsidRPr="000A34EA" w:rsidRDefault="001E018A" w:rsidP="00DC24F3">
                              <w:pPr>
                                <w:pStyle w:val="2024-PRISMA"/>
                              </w:pPr>
                              <w:r>
                                <w:t>Wrong comparator (n = 1)</w:t>
                              </w:r>
                            </w:p>
                            <w:p w14:paraId="0B951595" w14:textId="2F83D416" w:rsidR="00121412" w:rsidRDefault="00121412" w:rsidP="00DC24F3">
                              <w:pPr>
                                <w:pStyle w:val="2024-PRISMA"/>
                              </w:pPr>
                              <w:r>
                                <w:t xml:space="preserve">Does not meet minimum criteria for systematic review (n = </w:t>
                              </w:r>
                              <w:r w:rsidR="00F1016A">
                                <w:t>8</w:t>
                              </w:r>
                              <w:r>
                                <w:t>)</w:t>
                              </w:r>
                            </w:p>
                            <w:p w14:paraId="0AB0B2D3" w14:textId="58D12803" w:rsidR="001E018A" w:rsidRPr="000A34EA" w:rsidRDefault="00F1016A" w:rsidP="00DC24F3">
                              <w:pPr>
                                <w:pStyle w:val="2024-PRISMA"/>
                              </w:pPr>
                              <w:r w:rsidRPr="00F1016A">
                                <w:t>Comparison of different probiotic strains only</w:t>
                              </w:r>
                              <w:r w:rsidR="00187906">
                                <w:t xml:space="preserve"> </w:t>
                              </w:r>
                              <w:r w:rsidR="001E018A">
                                <w:t xml:space="preserve">(n = </w:t>
                              </w:r>
                              <w:r w:rsidR="004F3551">
                                <w:t>5</w:t>
                              </w:r>
                              <w:r w:rsidR="001E018A">
                                <w:t>)</w:t>
                              </w:r>
                              <w:r w:rsidR="00360A83">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2293992" name="Straight Arrow Connector 152293992"/>
                        <wps:cNvCnPr/>
                        <wps:spPr>
                          <a:xfrm>
                            <a:off x="2424224" y="975833"/>
                            <a:ext cx="756482"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404199840" name="Straight Arrow Connector 1404199840"/>
                        <wps:cNvCnPr/>
                        <wps:spPr>
                          <a:xfrm>
                            <a:off x="2392326" y="1720112"/>
                            <a:ext cx="563245"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424772421" name="Straight Arrow Connector 1424772421"/>
                        <wps:cNvCnPr/>
                        <wps:spPr>
                          <a:xfrm>
                            <a:off x="2402958" y="2421861"/>
                            <a:ext cx="563245"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19392667" name="Straight Arrow Connector 119392667"/>
                        <wps:cNvCnPr/>
                        <wps:spPr>
                          <a:xfrm>
                            <a:off x="2413591" y="3155507"/>
                            <a:ext cx="563245"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394128232" name="Flowchart: Alternate Process 31"/>
                        <wps:cNvSpPr/>
                        <wps:spPr>
                          <a:xfrm rot="16200000">
                            <a:off x="-278711" y="719649"/>
                            <a:ext cx="1009400" cy="319733"/>
                          </a:xfrm>
                          <a:prstGeom prst="flowChartAlternateProcess">
                            <a:avLst/>
                          </a:prstGeom>
                          <a:solidFill>
                            <a:schemeClr val="accent5">
                              <a:lumMod val="60000"/>
                              <a:lumOff val="40000"/>
                            </a:schemeClr>
                          </a:solidFill>
                          <a:ln>
                            <a:solidFill>
                              <a:schemeClr val="tx1"/>
                            </a:solidFill>
                          </a:ln>
                        </wps:spPr>
                        <wps:style>
                          <a:lnRef idx="2">
                            <a:schemeClr val="accent4">
                              <a:shade val="50000"/>
                            </a:schemeClr>
                          </a:lnRef>
                          <a:fillRef idx="1">
                            <a:schemeClr val="accent4"/>
                          </a:fillRef>
                          <a:effectRef idx="0">
                            <a:schemeClr val="accent4"/>
                          </a:effectRef>
                          <a:fontRef idx="minor">
                            <a:schemeClr val="lt1"/>
                          </a:fontRef>
                        </wps:style>
                        <wps:txbx>
                          <w:txbxContent>
                            <w:p w14:paraId="7E5929C3" w14:textId="77777777" w:rsidR="00121412" w:rsidRPr="001428E8" w:rsidRDefault="00121412" w:rsidP="00DC24F3">
                              <w:pPr>
                                <w:pStyle w:val="2024-PRISMA"/>
                                <w:rPr>
                                  <w:b/>
                                </w:rPr>
                              </w:pPr>
                              <w:r w:rsidRPr="001428E8">
                                <w:rPr>
                                  <w:b/>
                                </w:rPr>
                                <w:t>Identification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81934689" name="Flowchart: Alternate Process 32"/>
                        <wps:cNvSpPr/>
                        <wps:spPr>
                          <a:xfrm rot="16200000">
                            <a:off x="-838877" y="2366598"/>
                            <a:ext cx="2129881" cy="319732"/>
                          </a:xfrm>
                          <a:prstGeom prst="flowChartAlternateProcess">
                            <a:avLst/>
                          </a:prstGeom>
                          <a:solidFill>
                            <a:schemeClr val="accent5">
                              <a:lumMod val="60000"/>
                              <a:lumOff val="40000"/>
                            </a:schemeClr>
                          </a:solidFill>
                          <a:ln>
                            <a:solidFill>
                              <a:schemeClr val="tx1"/>
                            </a:solidFill>
                          </a:ln>
                        </wps:spPr>
                        <wps:style>
                          <a:lnRef idx="2">
                            <a:schemeClr val="accent4">
                              <a:shade val="50000"/>
                            </a:schemeClr>
                          </a:lnRef>
                          <a:fillRef idx="1">
                            <a:schemeClr val="accent4"/>
                          </a:fillRef>
                          <a:effectRef idx="0">
                            <a:schemeClr val="accent4"/>
                          </a:effectRef>
                          <a:fontRef idx="minor">
                            <a:schemeClr val="lt1"/>
                          </a:fontRef>
                        </wps:style>
                        <wps:txbx>
                          <w:txbxContent>
                            <w:p w14:paraId="59473E97" w14:textId="77777777" w:rsidR="00121412" w:rsidRPr="001428E8" w:rsidRDefault="00121412" w:rsidP="001428E8">
                              <w:pPr>
                                <w:pStyle w:val="2024-PRISMA"/>
                                <w:jc w:val="center"/>
                                <w:rPr>
                                  <w:b/>
                                </w:rPr>
                              </w:pPr>
                              <w:r w:rsidRPr="001428E8">
                                <w:rPr>
                                  <w:b/>
                                </w:rPr>
                                <w:t>Screening</w:t>
                              </w:r>
                            </w:p>
                            <w:p w14:paraId="1D391228" w14:textId="77777777" w:rsidR="00121412" w:rsidRPr="001428E8" w:rsidRDefault="00121412" w:rsidP="001428E8">
                              <w:pPr>
                                <w:pStyle w:val="2024-PRISMA"/>
                                <w:jc w:val="center"/>
                                <w:rPr>
                                  <w: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87265919" name="Flowchart: Alternate Process 33"/>
                        <wps:cNvSpPr/>
                        <wps:spPr>
                          <a:xfrm rot="16200000">
                            <a:off x="-133495" y="3889561"/>
                            <a:ext cx="711091" cy="311738"/>
                          </a:xfrm>
                          <a:prstGeom prst="flowChartAlternateProcess">
                            <a:avLst/>
                          </a:prstGeom>
                          <a:solidFill>
                            <a:schemeClr val="accent5">
                              <a:lumMod val="60000"/>
                              <a:lumOff val="40000"/>
                            </a:schemeClr>
                          </a:solidFill>
                          <a:ln>
                            <a:solidFill>
                              <a:schemeClr val="tx1"/>
                            </a:solidFill>
                          </a:ln>
                        </wps:spPr>
                        <wps:style>
                          <a:lnRef idx="2">
                            <a:schemeClr val="accent4">
                              <a:shade val="50000"/>
                            </a:schemeClr>
                          </a:lnRef>
                          <a:fillRef idx="1">
                            <a:schemeClr val="accent4"/>
                          </a:fillRef>
                          <a:effectRef idx="0">
                            <a:schemeClr val="accent4"/>
                          </a:effectRef>
                          <a:fontRef idx="minor">
                            <a:schemeClr val="lt1"/>
                          </a:fontRef>
                        </wps:style>
                        <wps:txbx>
                          <w:txbxContent>
                            <w:p w14:paraId="39FDE328" w14:textId="77777777" w:rsidR="00121412" w:rsidRPr="001428E8" w:rsidRDefault="00121412" w:rsidP="00DC24F3">
                              <w:pPr>
                                <w:pStyle w:val="2024-PRISMA"/>
                                <w:rPr>
                                  <w:b/>
                                </w:rPr>
                              </w:pPr>
                              <w:r w:rsidRPr="001428E8">
                                <w:rPr>
                                  <w:b/>
                                </w:rPr>
                                <w:t>Included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15169135" name="Straight Arrow Connector 1415169135"/>
                        <wps:cNvCnPr/>
                        <wps:spPr>
                          <a:xfrm>
                            <a:off x="1339407" y="1233377"/>
                            <a:ext cx="0" cy="28130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321990030" name="Straight Arrow Connector 321990030"/>
                        <wps:cNvCnPr/>
                        <wps:spPr>
                          <a:xfrm>
                            <a:off x="1339407" y="1967023"/>
                            <a:ext cx="0" cy="28130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171913228" name="Straight Arrow Connector 1171913228"/>
                        <wps:cNvCnPr/>
                        <wps:spPr>
                          <a:xfrm>
                            <a:off x="1350040" y="2690037"/>
                            <a:ext cx="0" cy="28130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339215986" name="Straight Arrow Connector 339215986"/>
                        <wps:cNvCnPr/>
                        <wps:spPr>
                          <a:xfrm>
                            <a:off x="1339407" y="3296093"/>
                            <a:ext cx="0" cy="74612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898439828" name="Flowchart: Alternate Process 29"/>
                        <wps:cNvSpPr/>
                        <wps:spPr>
                          <a:xfrm>
                            <a:off x="55131" y="-10818"/>
                            <a:ext cx="5536496" cy="320687"/>
                          </a:xfrm>
                          <a:prstGeom prst="flowChartAlternateProcess">
                            <a:avLst/>
                          </a:prstGeom>
                        </wps:spPr>
                        <wps:style>
                          <a:lnRef idx="2">
                            <a:schemeClr val="accent4">
                              <a:shade val="50000"/>
                            </a:schemeClr>
                          </a:lnRef>
                          <a:fillRef idx="1">
                            <a:schemeClr val="accent4"/>
                          </a:fillRef>
                          <a:effectRef idx="0">
                            <a:schemeClr val="accent4"/>
                          </a:effectRef>
                          <a:fontRef idx="minor">
                            <a:schemeClr val="lt1"/>
                          </a:fontRef>
                        </wps:style>
                        <wps:txbx>
                          <w:txbxContent>
                            <w:p w14:paraId="12C982FF" w14:textId="3FDF5CDC" w:rsidR="00121412" w:rsidRPr="001428E8" w:rsidRDefault="00121412" w:rsidP="001428E8">
                              <w:pPr>
                                <w:pStyle w:val="2024-PRISMA"/>
                                <w:jc w:val="center"/>
                                <w:rPr>
                                  <w:b/>
                                </w:rPr>
                              </w:pPr>
                              <w:r w:rsidRPr="001428E8">
                                <w:rPr>
                                  <w:b/>
                                </w:rPr>
                                <w:t xml:space="preserve">Identification of </w:t>
                              </w:r>
                              <w:r w:rsidR="00783150">
                                <w:rPr>
                                  <w:b/>
                                </w:rPr>
                                <w:t>review</w:t>
                              </w:r>
                              <w:r w:rsidR="002807EA">
                                <w:rPr>
                                  <w:b/>
                                </w:rPr>
                                <w:t>s</w:t>
                              </w:r>
                              <w:r w:rsidR="00783150" w:rsidRPr="001428E8">
                                <w:rPr>
                                  <w:b/>
                                </w:rPr>
                                <w:t xml:space="preserve"> </w:t>
                              </w:r>
                              <w:r w:rsidRPr="001428E8">
                                <w:rPr>
                                  <w:b/>
                                </w:rPr>
                                <w:t>via databases and registers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2396680" name="Rectangle 472396680"/>
                        <wps:cNvSpPr/>
                        <wps:spPr>
                          <a:xfrm>
                            <a:off x="499730" y="425302"/>
                            <a:ext cx="2455839" cy="839972"/>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1519D9F" w14:textId="6CB45CE2" w:rsidR="00121412" w:rsidRPr="000A34EA" w:rsidRDefault="00121412" w:rsidP="00DC24F3">
                              <w:pPr>
                                <w:pStyle w:val="2024-PRISMA"/>
                              </w:pPr>
                              <w:r w:rsidRPr="000A34EA">
                                <w:t>Records identified from:</w:t>
                              </w:r>
                            </w:p>
                            <w:p w14:paraId="03188D18" w14:textId="51A5C082" w:rsidR="00121412" w:rsidRPr="000A34EA" w:rsidRDefault="00121412" w:rsidP="00DC24F3">
                              <w:pPr>
                                <w:pStyle w:val="2024-PRISMA"/>
                              </w:pPr>
                              <w:r w:rsidRPr="000A34EA">
                                <w:t xml:space="preserve">Databases and registers (n = </w:t>
                              </w:r>
                              <w:r w:rsidR="003A175B">
                                <w:t>33</w:t>
                              </w:r>
                              <w:r w:rsidR="0079425E">
                                <w:t>6</w:t>
                              </w:r>
                              <w:r w:rsidRPr="000A34EA">
                                <w:t>)</w:t>
                              </w:r>
                            </w:p>
                            <w:p w14:paraId="5FE98B43" w14:textId="2BB646B7" w:rsidR="00121412" w:rsidRDefault="00121412" w:rsidP="00DC24F3">
                              <w:pPr>
                                <w:pStyle w:val="2024-PRISMA"/>
                              </w:pPr>
                              <w:r w:rsidRPr="000A34EA">
                                <w:t>Manual</w:t>
                              </w:r>
                              <w:r>
                                <w:t xml:space="preserve"> or </w:t>
                              </w:r>
                              <w:r w:rsidRPr="000A34EA">
                                <w:t xml:space="preserve">citation </w:t>
                              </w:r>
                              <w:r>
                                <w:t xml:space="preserve">searching </w:t>
                              </w:r>
                              <w:r w:rsidRPr="000A34EA">
                                <w:t xml:space="preserve">(n = </w:t>
                              </w:r>
                              <w:r w:rsidR="00616D3C">
                                <w:t>3</w:t>
                              </w:r>
                              <w:r w:rsidRPr="000A34EA">
                                <w:t>)</w:t>
                              </w:r>
                            </w:p>
                            <w:p w14:paraId="1D90765E" w14:textId="1C3C6664" w:rsidR="00121412" w:rsidRPr="000A34EA" w:rsidRDefault="00121412" w:rsidP="00DC24F3">
                              <w:pPr>
                                <w:pStyle w:val="2024-PRISMA"/>
                              </w:pPr>
                              <w:r>
                                <w:t>Department’s call for evidence</w:t>
                              </w:r>
                              <w:r w:rsidRPr="000A34EA">
                                <w:t xml:space="preserve"> (n = </w:t>
                              </w:r>
                              <w:r w:rsidR="003A175B">
                                <w:t>2</w:t>
                              </w:r>
                              <w:r w:rsidRPr="000A34EA">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65855942" name="Rectangle 1565855942"/>
                        <wps:cNvSpPr/>
                        <wps:spPr>
                          <a:xfrm>
                            <a:off x="499731" y="1520456"/>
                            <a:ext cx="1887220" cy="52641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499BE4C" w14:textId="77777777" w:rsidR="00121412" w:rsidRPr="000A34EA" w:rsidRDefault="00121412" w:rsidP="00DC24F3">
                              <w:pPr>
                                <w:pStyle w:val="2024-PRISMA"/>
                              </w:pPr>
                              <w:r w:rsidRPr="000A34EA">
                                <w:t>Records screened</w:t>
                              </w:r>
                            </w:p>
                            <w:p w14:paraId="29264BD8" w14:textId="3B2E99F6" w:rsidR="00121412" w:rsidRPr="000A34EA" w:rsidRDefault="00121412" w:rsidP="00DC24F3">
                              <w:pPr>
                                <w:pStyle w:val="2024-PRISMA"/>
                              </w:pPr>
                              <w:r w:rsidRPr="000A34EA">
                                <w:t xml:space="preserve">(n = </w:t>
                              </w:r>
                              <w:r w:rsidR="003A175B">
                                <w:t>29</w:t>
                              </w:r>
                              <w:r w:rsidR="00CA0DC0">
                                <w:t>3</w:t>
                              </w:r>
                              <w:r w:rsidRPr="000A34EA">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65971380" name="Rectangle 1265971380"/>
                        <wps:cNvSpPr/>
                        <wps:spPr>
                          <a:xfrm>
                            <a:off x="499731" y="2977116"/>
                            <a:ext cx="1887220" cy="52641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546BCEC" w14:textId="77777777" w:rsidR="00121412" w:rsidRPr="000A34EA" w:rsidRDefault="00121412" w:rsidP="00DC24F3">
                              <w:pPr>
                                <w:pStyle w:val="2024-PRISMA"/>
                              </w:pPr>
                              <w:r w:rsidRPr="000A34EA">
                                <w:t>Reports assessed for eligibility</w:t>
                              </w:r>
                            </w:p>
                            <w:p w14:paraId="75CA7B8E" w14:textId="38FCDEC6" w:rsidR="00121412" w:rsidRPr="000A34EA" w:rsidRDefault="00121412" w:rsidP="00DC24F3">
                              <w:pPr>
                                <w:pStyle w:val="2024-PRISMA"/>
                              </w:pPr>
                              <w:r w:rsidRPr="000A34EA">
                                <w:t xml:space="preserve">(n = </w:t>
                              </w:r>
                              <w:r w:rsidR="009A5969">
                                <w:t>5</w:t>
                              </w:r>
                              <w:r w:rsidR="001E018A">
                                <w:t>6</w:t>
                              </w:r>
                              <w:r w:rsidRPr="000A34EA">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3836893" name="Rectangle 1513836893"/>
                        <wps:cNvSpPr/>
                        <wps:spPr>
                          <a:xfrm>
                            <a:off x="489098" y="3785692"/>
                            <a:ext cx="1887220" cy="511951"/>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7382011" w14:textId="61208B24" w:rsidR="00121412" w:rsidRPr="000A34EA" w:rsidRDefault="00831376" w:rsidP="00DC24F3">
                              <w:pPr>
                                <w:pStyle w:val="2024-PRISMA"/>
                              </w:pPr>
                              <w:r>
                                <w:t>R</w:t>
                              </w:r>
                              <w:r w:rsidR="00783150">
                                <w:t>eviews</w:t>
                              </w:r>
                              <w:r w:rsidR="00783150" w:rsidRPr="000A34EA">
                                <w:t xml:space="preserve"> </w:t>
                              </w:r>
                              <w:r w:rsidR="00121412" w:rsidRPr="000A34EA">
                                <w:t xml:space="preserve">included in </w:t>
                              </w:r>
                              <w:r w:rsidR="00783150">
                                <w:t>over</w:t>
                              </w:r>
                              <w:r w:rsidR="00121412" w:rsidRPr="000A34EA">
                                <w:t>view</w:t>
                              </w:r>
                            </w:p>
                            <w:p w14:paraId="4F32FFB8" w14:textId="1F688920" w:rsidR="00121412" w:rsidRPr="000A34EA" w:rsidRDefault="00121412" w:rsidP="00DC24F3">
                              <w:pPr>
                                <w:pStyle w:val="2024-PRISMA"/>
                              </w:pPr>
                              <w:r w:rsidRPr="000A34EA">
                                <w:t xml:space="preserve">(n = </w:t>
                              </w:r>
                              <w:r w:rsidR="001E018A">
                                <w:t>3</w:t>
                              </w:r>
                              <w:r w:rsidR="00EE4ACE">
                                <w:t>1</w:t>
                              </w:r>
                              <w:r w:rsidRPr="000A34EA">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93038716" name="Rectangle 2093038716"/>
                        <wps:cNvSpPr/>
                        <wps:spPr>
                          <a:xfrm>
                            <a:off x="499731" y="2243470"/>
                            <a:ext cx="1887220" cy="52641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2367B34" w14:textId="77777777" w:rsidR="00121412" w:rsidRPr="000A34EA" w:rsidRDefault="00121412" w:rsidP="00DC24F3">
                              <w:pPr>
                                <w:pStyle w:val="2024-PRISMA"/>
                              </w:pPr>
                              <w:r w:rsidRPr="000A34EA">
                                <w:t>Reports sought for retrieval</w:t>
                              </w:r>
                            </w:p>
                            <w:p w14:paraId="4F2128B8" w14:textId="77838C60" w:rsidR="00121412" w:rsidRPr="000A34EA" w:rsidRDefault="00121412" w:rsidP="00DC24F3">
                              <w:pPr>
                                <w:pStyle w:val="2024-PRISMA"/>
                              </w:pPr>
                              <w:r w:rsidRPr="000A34EA">
                                <w:t xml:space="preserve">(n = </w:t>
                              </w:r>
                              <w:r w:rsidR="0004725D">
                                <w:t>80</w:t>
                              </w:r>
                              <w:r w:rsidRPr="000A34EA">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D320C27" id="Group 1235326938" o:spid="_x0000_s1070" style="position:absolute;margin-left:4.25pt;margin-top:10.75pt;width:420.25pt;height:341.4pt;z-index:251658243;mso-width-relative:margin;mso-height-relative:margin" coordorigin="551,-108" coordsize="55364,441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">
                <v:rect id="Rectangle 957556071" o:spid="_x0000_s1071" style="position:absolute;left:31807;top:4253;width:23557;height:83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" filled="f" strokecolor="black [3213]" strokeweight="1pt">
                  <v:textbox>
                    <w:txbxContent>
                      <w:p w14:paraId="0F1E619D" w14:textId="77777777" w:rsidR="00121412" w:rsidRPr="000A34EA" w:rsidRDefault="00121412" w:rsidP="00DC24F3">
                        <w:pPr>
                          <w:pStyle w:val="2024-PRISMA"/>
                        </w:pPr>
                        <w:r w:rsidRPr="000A34EA">
                          <w:t>Records removed before screening:</w:t>
                        </w:r>
                      </w:p>
                      <w:p w14:paraId="1B936A2D" w14:textId="62B05FBE" w:rsidR="00121412" w:rsidRPr="000A34EA" w:rsidRDefault="00121412" w:rsidP="00DC24F3">
                        <w:pPr>
                          <w:pStyle w:val="2024-PRISMA"/>
                        </w:pPr>
                        <w:r w:rsidRPr="000A34EA">
                          <w:t xml:space="preserve">Duplicate records removed (n = </w:t>
                        </w:r>
                        <w:r w:rsidR="00C2722B">
                          <w:t>48</w:t>
                        </w:r>
                        <w:r w:rsidRPr="000A34EA">
                          <w:t>)</w:t>
                        </w:r>
                      </w:p>
                    </w:txbxContent>
                  </v:textbox>
                </v:rect>
                <v:rect id="Rectangle 1182433981" o:spid="_x0000_s1072" style="position:absolute;left:29877;top:15098;width:18872;height:52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" filled="f" strokecolor="black [3213]" strokeweight="1pt">
                  <v:textbox>
                    <w:txbxContent>
                      <w:p w14:paraId="68A07930" w14:textId="77777777" w:rsidR="00121412" w:rsidRPr="000A34EA" w:rsidRDefault="00121412" w:rsidP="00DC24F3">
                        <w:pPr>
                          <w:pStyle w:val="2024-PRISMA"/>
                        </w:pPr>
                        <w:r w:rsidRPr="000A34EA">
                          <w:t>Records excluded</w:t>
                        </w:r>
                      </w:p>
                      <w:p w14:paraId="6F562511" w14:textId="57EE3588" w:rsidR="00121412" w:rsidRPr="000A34EA" w:rsidRDefault="00121412" w:rsidP="00DC24F3">
                        <w:pPr>
                          <w:pStyle w:val="2024-PRISMA"/>
                        </w:pPr>
                        <w:r w:rsidRPr="000A34EA">
                          <w:t xml:space="preserve">(n = </w:t>
                        </w:r>
                        <w:r w:rsidR="00C2722B">
                          <w:t>21</w:t>
                        </w:r>
                        <w:r w:rsidR="00CA0DC0">
                          <w:t>3</w:t>
                        </w:r>
                        <w:r w:rsidRPr="000A34EA">
                          <w:t>)</w:t>
                        </w:r>
                      </w:p>
                    </w:txbxContent>
                  </v:textbox>
                </v:rect>
                <v:rect id="Rectangle 718323288" o:spid="_x0000_s1073" style="position:absolute;left:29877;top:21724;width:23519;height:7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" filled="f" strokecolor="black [3213]" strokeweight="1pt">
                  <v:textbox>
                    <w:txbxContent>
                      <w:p w14:paraId="594D1426" w14:textId="13D2C324" w:rsidR="00121412" w:rsidRDefault="00121412" w:rsidP="00DC24F3">
                        <w:pPr>
                          <w:pStyle w:val="2024-PRISMA"/>
                        </w:pPr>
                        <w:r>
                          <w:t>Full-text unavailable</w:t>
                        </w:r>
                        <w:r w:rsidRPr="000A34EA">
                          <w:t xml:space="preserve"> (n</w:t>
                        </w:r>
                        <w:r>
                          <w:t xml:space="preserve"> = </w:t>
                        </w:r>
                        <w:r w:rsidR="001D5B6E">
                          <w:t>5</w:t>
                        </w:r>
                        <w:r w:rsidRPr="000A34EA">
                          <w:t>)</w:t>
                        </w:r>
                      </w:p>
                      <w:p w14:paraId="7D0AD1D0" w14:textId="2E5B2C36" w:rsidR="00121412" w:rsidRPr="000A34EA" w:rsidRDefault="00121412" w:rsidP="00DC24F3">
                        <w:pPr>
                          <w:pStyle w:val="2024-PRISMA"/>
                        </w:pPr>
                        <w:r>
                          <w:t>Ongoing study</w:t>
                        </w:r>
                        <w:r w:rsidRPr="000A34EA">
                          <w:t xml:space="preserve"> (n</w:t>
                        </w:r>
                        <w:r>
                          <w:t xml:space="preserve"> = </w:t>
                        </w:r>
                        <w:r w:rsidR="009A5969">
                          <w:t>1</w:t>
                        </w:r>
                        <w:r w:rsidR="004236DD">
                          <w:t>5</w:t>
                        </w:r>
                        <w:r w:rsidRPr="000A34EA">
                          <w:t>)</w:t>
                        </w:r>
                      </w:p>
                      <w:p w14:paraId="3BBD9E4C" w14:textId="0C077BA8" w:rsidR="0017022E" w:rsidRPr="008C6127" w:rsidRDefault="0017022E" w:rsidP="0017022E">
                        <w:pPr>
                          <w:pStyle w:val="2024-PRISMA"/>
                        </w:pPr>
                        <w:r>
                          <w:t>Conference abstracts (n = 2)</w:t>
                        </w:r>
                      </w:p>
                      <w:p w14:paraId="23201ADD" w14:textId="65F6A437" w:rsidR="00121412" w:rsidRPr="000A34EA" w:rsidRDefault="0097733F" w:rsidP="00DC24F3">
                        <w:pPr>
                          <w:pStyle w:val="2024-PRISMA"/>
                        </w:pPr>
                        <w:r>
                          <w:t>Reviews</w:t>
                        </w:r>
                        <w:r w:rsidRPr="008C6127">
                          <w:t xml:space="preserve"> </w:t>
                        </w:r>
                        <w:r w:rsidR="00121412" w:rsidRPr="000A34EA">
                          <w:t xml:space="preserve">Awaiting Classification (n = </w:t>
                        </w:r>
                        <w:r w:rsidR="009A5969">
                          <w:t>2</w:t>
                        </w:r>
                        <w:r w:rsidR="00121412" w:rsidRPr="000A34EA">
                          <w:t>)</w:t>
                        </w:r>
                      </w:p>
                    </w:txbxContent>
                  </v:textbox>
                </v:rect>
                <v:rect id="Rectangle 1158941469" o:spid="_x0000_s1074" style="position:absolute;left:29877;top:29558;width:21793;height:144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" filled="f" strokecolor="black [3213]" strokeweight="1pt">
                  <v:textbox>
                    <w:txbxContent>
                      <w:p w14:paraId="7A432792" w14:textId="067735DD" w:rsidR="00121412" w:rsidRPr="000A34EA" w:rsidRDefault="00121412" w:rsidP="00DC24F3">
                        <w:pPr>
                          <w:pStyle w:val="2024-PRISMA"/>
                        </w:pPr>
                        <w:r w:rsidRPr="000A34EA">
                          <w:t xml:space="preserve">Reports excluded (n = </w:t>
                        </w:r>
                        <w:r w:rsidR="001E018A">
                          <w:t>2</w:t>
                        </w:r>
                        <w:r w:rsidR="00EE4ACE">
                          <w:t>5</w:t>
                        </w:r>
                        <w:r w:rsidRPr="000A34EA">
                          <w:t>):</w:t>
                        </w:r>
                      </w:p>
                      <w:p w14:paraId="7D5206FE" w14:textId="71DC1469" w:rsidR="00121412" w:rsidRPr="000A34EA" w:rsidRDefault="00121412" w:rsidP="00DC24F3">
                        <w:pPr>
                          <w:pStyle w:val="2024-PRISMA"/>
                        </w:pPr>
                        <w:r w:rsidRPr="000A34EA">
                          <w:t xml:space="preserve">Wrong study type (n = </w:t>
                        </w:r>
                        <w:r w:rsidR="00F1016A">
                          <w:t>3</w:t>
                        </w:r>
                        <w:r w:rsidRPr="000A34EA">
                          <w:t>)</w:t>
                        </w:r>
                      </w:p>
                      <w:p w14:paraId="4EE34153" w14:textId="33C6905A" w:rsidR="00121412" w:rsidRDefault="00121412" w:rsidP="00DC24F3">
                        <w:pPr>
                          <w:pStyle w:val="2024-PRISMA"/>
                        </w:pPr>
                        <w:r>
                          <w:t xml:space="preserve">Wrong population (n = </w:t>
                        </w:r>
                        <w:r w:rsidR="001E018A">
                          <w:t>5</w:t>
                        </w:r>
                        <w:r>
                          <w:t>)</w:t>
                        </w:r>
                      </w:p>
                      <w:p w14:paraId="7F4DDB26" w14:textId="3E62FB27" w:rsidR="00121412" w:rsidRPr="000A34EA" w:rsidRDefault="00121412" w:rsidP="00DC24F3">
                        <w:pPr>
                          <w:pStyle w:val="2024-PRISMA"/>
                        </w:pPr>
                        <w:r w:rsidRPr="000A34EA">
                          <w:t xml:space="preserve">Wrong intervention (n = </w:t>
                        </w:r>
                        <w:r w:rsidR="001E018A">
                          <w:t>2</w:t>
                        </w:r>
                        <w:r w:rsidRPr="000A34EA">
                          <w:t>)</w:t>
                        </w:r>
                      </w:p>
                      <w:p w14:paraId="68DD4460" w14:textId="4CBE63D8" w:rsidR="00121412" w:rsidRDefault="00121412" w:rsidP="00DC24F3">
                        <w:pPr>
                          <w:pStyle w:val="2024-PRISMA"/>
                        </w:pPr>
                        <w:r w:rsidRPr="000A34EA">
                          <w:t xml:space="preserve">Wrong outcomes (n = </w:t>
                        </w:r>
                        <w:r w:rsidR="001E018A">
                          <w:t>1</w:t>
                        </w:r>
                        <w:r w:rsidRPr="000A34EA">
                          <w:t>)</w:t>
                        </w:r>
                      </w:p>
                      <w:p w14:paraId="0950FD43" w14:textId="46089DFE" w:rsidR="001E018A" w:rsidRPr="000A34EA" w:rsidRDefault="001E018A" w:rsidP="00DC24F3">
                        <w:pPr>
                          <w:pStyle w:val="2024-PRISMA"/>
                        </w:pPr>
                        <w:r>
                          <w:t>Wrong comparator (n = 1)</w:t>
                        </w:r>
                      </w:p>
                      <w:p w14:paraId="0B951595" w14:textId="2F83D416" w:rsidR="00121412" w:rsidRDefault="00121412" w:rsidP="00DC24F3">
                        <w:pPr>
                          <w:pStyle w:val="2024-PRISMA"/>
                        </w:pPr>
                        <w:r>
                          <w:t xml:space="preserve">Does not meet minimum criteria for systematic review (n = </w:t>
                        </w:r>
                        <w:r w:rsidR="00F1016A">
                          <w:t>8</w:t>
                        </w:r>
                        <w:r>
                          <w:t>)</w:t>
                        </w:r>
                      </w:p>
                      <w:p w14:paraId="0AB0B2D3" w14:textId="58D12803" w:rsidR="001E018A" w:rsidRPr="000A34EA" w:rsidRDefault="00F1016A" w:rsidP="00DC24F3">
                        <w:pPr>
                          <w:pStyle w:val="2024-PRISMA"/>
                        </w:pPr>
                        <w:r w:rsidRPr="00F1016A">
                          <w:t>Comparison of different probiotic strains only</w:t>
                        </w:r>
                        <w:r w:rsidR="00187906">
                          <w:t xml:space="preserve"> </w:t>
                        </w:r>
                        <w:r w:rsidR="001E018A">
                          <w:t xml:space="preserve">(n = </w:t>
                        </w:r>
                        <w:r w:rsidR="004F3551">
                          <w:t>5</w:t>
                        </w:r>
                        <w:r w:rsidR="001E018A">
                          <w:t>)</w:t>
                        </w:r>
                        <w:r w:rsidR="00360A83">
                          <w:t>^</w:t>
                        </w:r>
                      </w:p>
                    </w:txbxContent>
                  </v:textbox>
                </v:rect>
                <v:shape id="Straight Arrow Connector 152293992" o:spid="_x0000_s1075" type="#_x0000_t32" style="position:absolute;left:24242;top:9758;width:756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" strokecolor="black [3213]" strokeweight=".5pt">
                  <v:stroke endarrow="block" joinstyle="miter"/>
                </v:shape>
                <v:shape id="Straight Arrow Connector 1404199840" o:spid="_x0000_s1076" type="#_x0000_t32" style="position:absolute;left:23923;top:17201;width:563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" strokecolor="black [3213]" strokeweight=".5pt">
                  <v:stroke endarrow="block" joinstyle="miter"/>
                </v:shape>
                <v:shape id="Straight Arrow Connector 1424772421" o:spid="_x0000_s1077" type="#_x0000_t32" style="position:absolute;left:24029;top:24218;width:563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" strokecolor="black [3213]" strokeweight=".5pt">
                  <v:stroke endarrow="block" joinstyle="miter"/>
                </v:shape>
                <v:shape id="Straight Arrow Connector 119392667" o:spid="_x0000_s1078" type="#_x0000_t32" style="position:absolute;left:24135;top:31555;width:563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" strokecolor="black [3213]" strokeweight=".5pt">
                  <v:stroke endarrow="block" joinstyle="miter"/>
                </v:shape>
                <v:shape id="Flowchart: Alternate Process 31" o:spid="_x0000_s1079" type="#_x0000_t176" style="position:absolute;left:-2787;top:7196;width:10094;height:3197;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" fillcolor="#9cc2e5 [1944]" strokecolor="black [3213]" strokeweight="1pt">
                  <v:textbox>
                    <w:txbxContent>
                      <w:p w14:paraId="7E5929C3" w14:textId="77777777" w:rsidR="00121412" w:rsidRPr="001428E8" w:rsidRDefault="00121412" w:rsidP="00DC24F3">
                        <w:pPr>
                          <w:pStyle w:val="2024-PRISMA"/>
                          <w:rPr>
                            <w:b/>
                          </w:rPr>
                        </w:pPr>
                        <w:r w:rsidRPr="001428E8">
                          <w:rPr>
                            <w:b/>
                          </w:rPr>
                          <w:t>Identification</w:t>
                        </w:r>
                      </w:p>
                    </w:txbxContent>
                  </v:textbox>
                </v:shape>
                <v:shape id="Flowchart: Alternate Process 32" o:spid="_x0000_s1080" type="#_x0000_t176" style="position:absolute;left:-8390;top:23666;width:21299;height:3198;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" fillcolor="#9cc2e5 [1944]" strokecolor="black [3213]" strokeweight="1pt">
                  <v:textbox>
                    <w:txbxContent>
                      <w:p w14:paraId="59473E97" w14:textId="77777777" w:rsidR="00121412" w:rsidRPr="001428E8" w:rsidRDefault="00121412" w:rsidP="001428E8">
                        <w:pPr>
                          <w:pStyle w:val="2024-PRISMA"/>
                          <w:jc w:val="center"/>
                          <w:rPr>
                            <w:b/>
                          </w:rPr>
                        </w:pPr>
                        <w:r w:rsidRPr="001428E8">
                          <w:rPr>
                            <w:b/>
                          </w:rPr>
                          <w:t>Screening</w:t>
                        </w:r>
                      </w:p>
                      <w:p w14:paraId="1D391228" w14:textId="77777777" w:rsidR="00121412" w:rsidRPr="001428E8" w:rsidRDefault="00121412" w:rsidP="001428E8">
                        <w:pPr>
                          <w:pStyle w:val="2024-PRISMA"/>
                          <w:jc w:val="center"/>
                          <w:rPr>
                            <w:b/>
                          </w:rPr>
                        </w:pPr>
                      </w:p>
                    </w:txbxContent>
                  </v:textbox>
                </v:shape>
                <v:shape id="Flowchart: Alternate Process 33" o:spid="_x0000_s1081" type="#_x0000_t176" style="position:absolute;left:-1336;top:38895;width:7111;height:3118;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" fillcolor="#9cc2e5 [1944]" strokecolor="black [3213]" strokeweight="1pt">
                  <v:textbox>
                    <w:txbxContent>
                      <w:p w14:paraId="39FDE328" w14:textId="77777777" w:rsidR="00121412" w:rsidRPr="001428E8" w:rsidRDefault="00121412" w:rsidP="00DC24F3">
                        <w:pPr>
                          <w:pStyle w:val="2024-PRISMA"/>
                          <w:rPr>
                            <w:b/>
                          </w:rPr>
                        </w:pPr>
                        <w:r w:rsidRPr="001428E8">
                          <w:rPr>
                            <w:b/>
                          </w:rPr>
                          <w:t>Included</w:t>
                        </w:r>
                      </w:p>
                    </w:txbxContent>
                  </v:textbox>
                </v:shape>
                <v:shape id="Straight Arrow Connector 1415169135" o:spid="_x0000_s1082" type="#_x0000_t32" style="position:absolute;left:13394;top:12333;width:0;height:281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" strokecolor="black [3213]" strokeweight=".5pt">
                  <v:stroke endarrow="block" joinstyle="miter"/>
                </v:shape>
                <v:shape id="Straight Arrow Connector 321990030" o:spid="_x0000_s1083" type="#_x0000_t32" style="position:absolute;left:13394;top:19670;width:0;height:281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" strokecolor="black [3213]" strokeweight=".5pt">
                  <v:stroke endarrow="block" joinstyle="miter"/>
                </v:shape>
                <v:shape id="Straight Arrow Connector 1171913228" o:spid="_x0000_s1084" type="#_x0000_t32" style="position:absolute;left:13500;top:26900;width:0;height:281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" strokecolor="black [3213]" strokeweight=".5pt">
                  <v:stroke endarrow="block" joinstyle="miter"/>
                </v:shape>
                <v:shape id="Straight Arrow Connector 339215986" o:spid="_x0000_s1085" type="#_x0000_t32" style="position:absolute;left:13394;top:32960;width:0;height:746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" strokecolor="black [3213]" strokeweight=".5pt">
                  <v:stroke endarrow="block" joinstyle="miter"/>
                </v:shape>
                <v:shape id="Flowchart: Alternate Process 29" o:spid="_x0000_s1086" type="#_x0000_t176" style="position:absolute;left:551;top:-108;width:55365;height:32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" fillcolor="#ffc000 [3207]" strokecolor="#7f5f00 [1607]" strokeweight="1pt">
                  <v:textbox>
                    <w:txbxContent>
                      <w:p w14:paraId="12C982FF" w14:textId="3FDF5CDC" w:rsidR="00121412" w:rsidRPr="001428E8" w:rsidRDefault="00121412" w:rsidP="001428E8">
                        <w:pPr>
                          <w:pStyle w:val="2024-PRISMA"/>
                          <w:jc w:val="center"/>
                          <w:rPr>
                            <w:b/>
                          </w:rPr>
                        </w:pPr>
                        <w:r w:rsidRPr="001428E8">
                          <w:rPr>
                            <w:b/>
                          </w:rPr>
                          <w:t xml:space="preserve">Identification of </w:t>
                        </w:r>
                        <w:r w:rsidR="00783150">
                          <w:rPr>
                            <w:b/>
                          </w:rPr>
                          <w:t>review</w:t>
                        </w:r>
                        <w:r w:rsidR="002807EA">
                          <w:rPr>
                            <w:b/>
                          </w:rPr>
                          <w:t>s</w:t>
                        </w:r>
                        <w:r w:rsidR="00783150" w:rsidRPr="001428E8">
                          <w:rPr>
                            <w:b/>
                          </w:rPr>
                          <w:t xml:space="preserve"> </w:t>
                        </w:r>
                        <w:r w:rsidRPr="001428E8">
                          <w:rPr>
                            <w:b/>
                          </w:rPr>
                          <w:t>via databases and registers</w:t>
                        </w:r>
                      </w:p>
                    </w:txbxContent>
                  </v:textbox>
                </v:shape>
                <v:rect id="Rectangle 472396680" o:spid="_x0000_s1087" style="position:absolute;left:4997;top:4253;width:24558;height:83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" fillcolor="white [3212]" strokecolor="black [3213]" strokeweight="1pt">
                  <v:textbox>
                    <w:txbxContent>
                      <w:p w14:paraId="11519D9F" w14:textId="6CB45CE2" w:rsidR="00121412" w:rsidRPr="000A34EA" w:rsidRDefault="00121412" w:rsidP="00DC24F3">
                        <w:pPr>
                          <w:pStyle w:val="2024-PRISMA"/>
                        </w:pPr>
                        <w:r w:rsidRPr="000A34EA">
                          <w:t>Records identified from:</w:t>
                        </w:r>
                      </w:p>
                      <w:p w14:paraId="03188D18" w14:textId="51A5C082" w:rsidR="00121412" w:rsidRPr="000A34EA" w:rsidRDefault="00121412" w:rsidP="00DC24F3">
                        <w:pPr>
                          <w:pStyle w:val="2024-PRISMA"/>
                        </w:pPr>
                        <w:r w:rsidRPr="000A34EA">
                          <w:t xml:space="preserve">Databases and registers (n = </w:t>
                        </w:r>
                        <w:r w:rsidR="003A175B">
                          <w:t>33</w:t>
                        </w:r>
                        <w:r w:rsidR="0079425E">
                          <w:t>6</w:t>
                        </w:r>
                        <w:r w:rsidRPr="000A34EA">
                          <w:t>)</w:t>
                        </w:r>
                      </w:p>
                      <w:p w14:paraId="5FE98B43" w14:textId="2BB646B7" w:rsidR="00121412" w:rsidRDefault="00121412" w:rsidP="00DC24F3">
                        <w:pPr>
                          <w:pStyle w:val="2024-PRISMA"/>
                        </w:pPr>
                        <w:r w:rsidRPr="000A34EA">
                          <w:t>Manual</w:t>
                        </w:r>
                        <w:r>
                          <w:t xml:space="preserve"> or </w:t>
                        </w:r>
                        <w:r w:rsidRPr="000A34EA">
                          <w:t xml:space="preserve">citation </w:t>
                        </w:r>
                        <w:r>
                          <w:t xml:space="preserve">searching </w:t>
                        </w:r>
                        <w:r w:rsidRPr="000A34EA">
                          <w:t xml:space="preserve">(n = </w:t>
                        </w:r>
                        <w:r w:rsidR="00616D3C">
                          <w:t>3</w:t>
                        </w:r>
                        <w:r w:rsidRPr="000A34EA">
                          <w:t>)</w:t>
                        </w:r>
                      </w:p>
                      <w:p w14:paraId="1D90765E" w14:textId="1C3C6664" w:rsidR="00121412" w:rsidRPr="000A34EA" w:rsidRDefault="00121412" w:rsidP="00DC24F3">
                        <w:pPr>
                          <w:pStyle w:val="2024-PRISMA"/>
                        </w:pPr>
                        <w:r>
                          <w:t>Department’s call for evidence</w:t>
                        </w:r>
                        <w:r w:rsidRPr="000A34EA">
                          <w:t xml:space="preserve"> (n = </w:t>
                        </w:r>
                        <w:r w:rsidR="003A175B">
                          <w:t>2</w:t>
                        </w:r>
                        <w:r w:rsidRPr="000A34EA">
                          <w:t>)</w:t>
                        </w:r>
                      </w:p>
                    </w:txbxContent>
                  </v:textbox>
                </v:rect>
                <v:rect id="Rectangle 1565855942" o:spid="_x0000_s1088" style="position:absolute;left:4997;top:15204;width:18872;height:52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" fillcolor="white [3212]" strokecolor="black [3213]" strokeweight="1pt">
                  <v:textbox>
                    <w:txbxContent>
                      <w:p w14:paraId="5499BE4C" w14:textId="77777777" w:rsidR="00121412" w:rsidRPr="000A34EA" w:rsidRDefault="00121412" w:rsidP="00DC24F3">
                        <w:pPr>
                          <w:pStyle w:val="2024-PRISMA"/>
                        </w:pPr>
                        <w:r w:rsidRPr="000A34EA">
                          <w:t>Records screened</w:t>
                        </w:r>
                      </w:p>
                      <w:p w14:paraId="29264BD8" w14:textId="3B2E99F6" w:rsidR="00121412" w:rsidRPr="000A34EA" w:rsidRDefault="00121412" w:rsidP="00DC24F3">
                        <w:pPr>
                          <w:pStyle w:val="2024-PRISMA"/>
                        </w:pPr>
                        <w:r w:rsidRPr="000A34EA">
                          <w:t xml:space="preserve">(n = </w:t>
                        </w:r>
                        <w:r w:rsidR="003A175B">
                          <w:t>29</w:t>
                        </w:r>
                        <w:r w:rsidR="00CA0DC0">
                          <w:t>3</w:t>
                        </w:r>
                        <w:r w:rsidRPr="000A34EA">
                          <w:t>)</w:t>
                        </w:r>
                      </w:p>
                    </w:txbxContent>
                  </v:textbox>
                </v:rect>
                <v:rect id="Rectangle 1265971380" o:spid="_x0000_s1089" style="position:absolute;left:4997;top:29771;width:18872;height:52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" fillcolor="white [3212]" strokecolor="black [3213]" strokeweight="1pt">
                  <v:textbox>
                    <w:txbxContent>
                      <w:p w14:paraId="3546BCEC" w14:textId="77777777" w:rsidR="00121412" w:rsidRPr="000A34EA" w:rsidRDefault="00121412" w:rsidP="00DC24F3">
                        <w:pPr>
                          <w:pStyle w:val="2024-PRISMA"/>
                        </w:pPr>
                        <w:r w:rsidRPr="000A34EA">
                          <w:t>Reports assessed for eligibility</w:t>
                        </w:r>
                      </w:p>
                      <w:p w14:paraId="75CA7B8E" w14:textId="38FCDEC6" w:rsidR="00121412" w:rsidRPr="000A34EA" w:rsidRDefault="00121412" w:rsidP="00DC24F3">
                        <w:pPr>
                          <w:pStyle w:val="2024-PRISMA"/>
                        </w:pPr>
                        <w:r w:rsidRPr="000A34EA">
                          <w:t xml:space="preserve">(n = </w:t>
                        </w:r>
                        <w:r w:rsidR="009A5969">
                          <w:t>5</w:t>
                        </w:r>
                        <w:r w:rsidR="001E018A">
                          <w:t>6</w:t>
                        </w:r>
                        <w:r w:rsidRPr="000A34EA">
                          <w:t>)</w:t>
                        </w:r>
                      </w:p>
                    </w:txbxContent>
                  </v:textbox>
                </v:rect>
                <v:rect id="Rectangle 1513836893" o:spid="_x0000_s1090" style="position:absolute;left:4890;top:37856;width:18873;height:51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" fillcolor="white [3212]" strokecolor="black [3213]" strokeweight="1pt">
                  <v:textbox>
                    <w:txbxContent>
                      <w:p w14:paraId="47382011" w14:textId="61208B24" w:rsidR="00121412" w:rsidRPr="000A34EA" w:rsidRDefault="00831376" w:rsidP="00DC24F3">
                        <w:pPr>
                          <w:pStyle w:val="2024-PRISMA"/>
                        </w:pPr>
                        <w:r>
                          <w:t>R</w:t>
                        </w:r>
                        <w:r w:rsidR="00783150">
                          <w:t>eviews</w:t>
                        </w:r>
                        <w:r w:rsidR="00783150" w:rsidRPr="000A34EA">
                          <w:t xml:space="preserve"> </w:t>
                        </w:r>
                        <w:r w:rsidR="00121412" w:rsidRPr="000A34EA">
                          <w:t xml:space="preserve">included in </w:t>
                        </w:r>
                        <w:r w:rsidR="00783150">
                          <w:t>over</w:t>
                        </w:r>
                        <w:r w:rsidR="00121412" w:rsidRPr="000A34EA">
                          <w:t>view</w:t>
                        </w:r>
                      </w:p>
                      <w:p w14:paraId="4F32FFB8" w14:textId="1F688920" w:rsidR="00121412" w:rsidRPr="000A34EA" w:rsidRDefault="00121412" w:rsidP="00DC24F3">
                        <w:pPr>
                          <w:pStyle w:val="2024-PRISMA"/>
                        </w:pPr>
                        <w:r w:rsidRPr="000A34EA">
                          <w:t xml:space="preserve">(n = </w:t>
                        </w:r>
                        <w:r w:rsidR="001E018A">
                          <w:t>3</w:t>
                        </w:r>
                        <w:r w:rsidR="00EE4ACE">
                          <w:t>1</w:t>
                        </w:r>
                        <w:r w:rsidRPr="000A34EA">
                          <w:t>)</w:t>
                        </w:r>
                      </w:p>
                    </w:txbxContent>
                  </v:textbox>
                </v:rect>
                <v:rect id="Rectangle 2093038716" o:spid="_x0000_s1091" style="position:absolute;left:4997;top:22434;width:18872;height:52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" fillcolor="white [3212]" strokecolor="black [3213]" strokeweight="1pt">
                  <v:textbox>
                    <w:txbxContent>
                      <w:p w14:paraId="12367B34" w14:textId="77777777" w:rsidR="00121412" w:rsidRPr="000A34EA" w:rsidRDefault="00121412" w:rsidP="00DC24F3">
                        <w:pPr>
                          <w:pStyle w:val="2024-PRISMA"/>
                        </w:pPr>
                        <w:r w:rsidRPr="000A34EA">
                          <w:t>Reports sought for retrieval</w:t>
                        </w:r>
                      </w:p>
                      <w:p w14:paraId="4F2128B8" w14:textId="77838C60" w:rsidR="00121412" w:rsidRPr="000A34EA" w:rsidRDefault="00121412" w:rsidP="00DC24F3">
                        <w:pPr>
                          <w:pStyle w:val="2024-PRISMA"/>
                        </w:pPr>
                        <w:r w:rsidRPr="000A34EA">
                          <w:t xml:space="preserve">(n = </w:t>
                        </w:r>
                        <w:r w:rsidR="0004725D">
                          <w:t>80</w:t>
                        </w:r>
                        <w:r w:rsidRPr="000A34EA">
                          <w:t>)</w:t>
                        </w:r>
                      </w:p>
                    </w:txbxContent>
                  </v:textbox>
                </v:rect>
                <w10:wrap type="square"/>
              </v:group>
            </w:pict>
          </mc:Fallback>
        </mc:AlternateContent>
      </w:r>
    </w:p>
    <w:p w14:paraId="23770190" w14:textId="77777777" w:rsidR="00121412" w:rsidRPr="0054775B" w:rsidRDefault="00121412" w:rsidP="009E6F7F"/>
    <w:p w14:paraId="2783C8D5" w14:textId="77777777" w:rsidR="00121412" w:rsidRPr="0054775B" w:rsidRDefault="00121412" w:rsidP="009E6F7F"/>
    <w:p w14:paraId="05BC4CDA" w14:textId="77777777" w:rsidR="00121412" w:rsidRPr="0054775B" w:rsidRDefault="00121412" w:rsidP="009E6F7F"/>
    <w:p w14:paraId="23DD06E3" w14:textId="77777777" w:rsidR="00121412" w:rsidRPr="0054775B" w:rsidRDefault="00121412" w:rsidP="009E6F7F"/>
    <w:p w14:paraId="715DF513" w14:textId="77777777" w:rsidR="00121412" w:rsidRPr="0054775B" w:rsidRDefault="00121412" w:rsidP="009E6F7F"/>
    <w:p w14:paraId="3C8FC619" w14:textId="77777777" w:rsidR="00121412" w:rsidRPr="0054775B" w:rsidRDefault="00121412" w:rsidP="009E6F7F"/>
    <w:p w14:paraId="72AF9202" w14:textId="77777777" w:rsidR="00121412" w:rsidRPr="0054775B" w:rsidRDefault="00121412" w:rsidP="009E6F7F"/>
    <w:p w14:paraId="54814A44" w14:textId="77777777" w:rsidR="00121412" w:rsidRPr="0054775B" w:rsidRDefault="00121412" w:rsidP="009E6F7F"/>
    <w:p w14:paraId="7F0AEFFC" w14:textId="77777777" w:rsidR="00121412" w:rsidRPr="0054775B" w:rsidRDefault="00121412" w:rsidP="009E6F7F"/>
    <w:p w14:paraId="61A59C38" w14:textId="77777777" w:rsidR="00121412" w:rsidRPr="0054775B" w:rsidRDefault="00121412" w:rsidP="009E6F7F"/>
    <w:p w14:paraId="2966EBFC" w14:textId="77777777" w:rsidR="00121412" w:rsidRPr="0054775B" w:rsidRDefault="00121412" w:rsidP="009E6F7F"/>
    <w:p w14:paraId="6C77DBA4" w14:textId="77777777" w:rsidR="00121412" w:rsidRPr="0054775B" w:rsidRDefault="00121412" w:rsidP="009E6F7F"/>
    <w:p w14:paraId="04044073" w14:textId="77777777" w:rsidR="00121412" w:rsidRPr="0054775B" w:rsidRDefault="00121412" w:rsidP="009E6F7F"/>
    <w:p w14:paraId="0B36DCDE" w14:textId="77777777" w:rsidR="00415B08" w:rsidRPr="0054775B" w:rsidRDefault="00415B08" w:rsidP="009E6F7F"/>
    <w:p w14:paraId="63072FE9" w14:textId="77777777" w:rsidR="004708C2" w:rsidRPr="0054775B" w:rsidRDefault="004708C2" w:rsidP="001057D1">
      <w:pPr>
        <w:pStyle w:val="2024TABLEFOOTER"/>
      </w:pPr>
    </w:p>
    <w:p w14:paraId="5152B10A" w14:textId="2E0D54A0" w:rsidR="00360A83" w:rsidRPr="0054775B" w:rsidRDefault="00360A83" w:rsidP="001057D1">
      <w:pPr>
        <w:pStyle w:val="2024TABLEFOOTER"/>
      </w:pPr>
      <w:r w:rsidRPr="0054775B">
        <w:t>^Where reviews only presented comparisons of different strains, these were excluded at full-text review and listed as “</w:t>
      </w:r>
      <w:r w:rsidR="00F1016A">
        <w:rPr>
          <w:color w:val="000000"/>
          <w:szCs w:val="16"/>
        </w:rPr>
        <w:t>Comparison of different probiotic strains only</w:t>
      </w:r>
      <w:r w:rsidRPr="0054775B">
        <w:t>” as reason for exclusion.</w:t>
      </w:r>
      <w:r w:rsidR="00335D6B" w:rsidRPr="0054775B">
        <w:t xml:space="preserve"> Further details are listed in Appendix </w:t>
      </w:r>
      <w:r w:rsidR="00B22C74">
        <w:t>G</w:t>
      </w:r>
      <w:r w:rsidR="00335D6B" w:rsidRPr="0054775B">
        <w:t xml:space="preserve">: </w:t>
      </w:r>
      <w:r w:rsidR="007B1A99" w:rsidRPr="0054775B">
        <w:t>Differences between protocol and review.</w:t>
      </w:r>
    </w:p>
    <w:p w14:paraId="232A9B76" w14:textId="59CE6F21" w:rsidR="008308E9" w:rsidRPr="0054775B" w:rsidRDefault="008308E9" w:rsidP="009E6F7F">
      <w:pPr>
        <w:pStyle w:val="2024HEADER3"/>
        <w:rPr>
          <w:rFonts w:ascii="Aptos" w:hAnsi="Aptos"/>
        </w:rPr>
      </w:pPr>
      <w:r w:rsidRPr="0054775B">
        <w:rPr>
          <w:rFonts w:ascii="Aptos" w:hAnsi="Aptos"/>
        </w:rPr>
        <w:t>Description of included reviews</w:t>
      </w:r>
    </w:p>
    <w:p w14:paraId="1A207887" w14:textId="00A82579" w:rsidR="00494FF1" w:rsidRPr="0054775B" w:rsidRDefault="003C5BBC" w:rsidP="009E6F7F">
      <w:r w:rsidRPr="0054775B">
        <w:t>Thirty-</w:t>
      </w:r>
      <w:r w:rsidR="00C46CD6" w:rsidRPr="0054775B">
        <w:t>one</w:t>
      </w:r>
      <w:r w:rsidR="00494FF1" w:rsidRPr="0054775B">
        <w:t xml:space="preserve"> reviews were identified as eligible for inclusion (conducted </w:t>
      </w:r>
      <w:r w:rsidRPr="0054775B">
        <w:t>between</w:t>
      </w:r>
      <w:r w:rsidR="00494FF1" w:rsidRPr="0054775B">
        <w:t xml:space="preserve"> 20</w:t>
      </w:r>
      <w:r w:rsidR="00E35D35" w:rsidRPr="0054775B">
        <w:t>0</w:t>
      </w:r>
      <w:r w:rsidR="00494FF1" w:rsidRPr="0054775B">
        <w:t>8 and 2023)</w:t>
      </w:r>
      <w:r w:rsidR="00D65A64" w:rsidRPr="0054775B">
        <w:t xml:space="preserve"> </w:t>
      </w:r>
      <w:r w:rsidR="00A61385">
        <w:rPr>
          <w:noProof/>
        </w:rPr>
        <w:t>(38-68)</w:t>
      </w:r>
      <w:r w:rsidR="00494FF1" w:rsidRPr="0054775B">
        <w:t xml:space="preserve">. </w:t>
      </w:r>
      <w:r w:rsidR="0041074B">
        <w:t>Most of the</w:t>
      </w:r>
      <w:r w:rsidR="00582021" w:rsidRPr="0054775B">
        <w:t xml:space="preserve"> reviews (n</w:t>
      </w:r>
      <w:r w:rsidR="00045EC6">
        <w:t xml:space="preserve"> </w:t>
      </w:r>
      <w:r w:rsidR="00582021" w:rsidRPr="0054775B">
        <w:t>=</w:t>
      </w:r>
      <w:r w:rsidR="00045EC6">
        <w:t xml:space="preserve"> </w:t>
      </w:r>
      <w:r w:rsidR="005F7E5C" w:rsidRPr="0054775B">
        <w:t>29</w:t>
      </w:r>
      <w:r w:rsidR="00582021" w:rsidRPr="0054775B">
        <w:t>) only included randomised controlled trials</w:t>
      </w:r>
      <w:r w:rsidR="00F446DD">
        <w:t>, and most included a meta-analysis (</w:t>
      </w:r>
      <w:r w:rsidR="00020F7B">
        <w:t>n=2</w:t>
      </w:r>
      <w:r w:rsidR="00613164">
        <w:t>4</w:t>
      </w:r>
      <w:r w:rsidR="00020F7B">
        <w:t>)</w:t>
      </w:r>
      <w:r w:rsidR="00582021" w:rsidRPr="0054775B">
        <w:t>.</w:t>
      </w:r>
      <w:r w:rsidR="00286ECF" w:rsidRPr="0054775B">
        <w:t xml:space="preserve"> </w:t>
      </w:r>
      <w:r w:rsidR="00494FF1" w:rsidRPr="0054775B">
        <w:t xml:space="preserve">A detailed summary of characteristics of the included reviews are reported in Appendix </w:t>
      </w:r>
      <w:r w:rsidR="00B22C74">
        <w:t>D</w:t>
      </w:r>
      <w:r w:rsidR="00494FF1" w:rsidRPr="0054775B">
        <w:t>.</w:t>
      </w:r>
      <w:r w:rsidR="00494FF1" w:rsidRPr="0054775B">
        <w:rPr>
          <w:highlight w:val="yellow"/>
        </w:rPr>
        <w:t xml:space="preserve"> </w:t>
      </w:r>
    </w:p>
    <w:p w14:paraId="0A5B10F1" w14:textId="1DA498CB" w:rsidR="00286ECF" w:rsidRPr="0054775B" w:rsidRDefault="00286ECF" w:rsidP="009E6F7F">
      <w:r w:rsidRPr="0054775B">
        <w:t xml:space="preserve">Most reviews aimed to </w:t>
      </w:r>
      <w:r w:rsidR="008A61D8" w:rsidRPr="0054775B">
        <w:t xml:space="preserve">measure the efficacy and/or </w:t>
      </w:r>
      <w:r w:rsidR="002E5A45" w:rsidRPr="0054775B">
        <w:t>safety of probiotics</w:t>
      </w:r>
      <w:r w:rsidR="005722B3" w:rsidRPr="0054775B">
        <w:t xml:space="preserve"> alone</w:t>
      </w:r>
      <w:r w:rsidR="002E5A45" w:rsidRPr="0054775B">
        <w:t xml:space="preserve"> for treatment of irritable bowel syndrome</w:t>
      </w:r>
      <w:r w:rsidR="006C0D23" w:rsidRPr="0054775B">
        <w:t xml:space="preserve">, aligning directly with the </w:t>
      </w:r>
      <w:r w:rsidR="00912F03" w:rsidRPr="0054775B">
        <w:t>overview</w:t>
      </w:r>
      <w:r w:rsidR="006C0D23" w:rsidRPr="0054775B">
        <w:t>’s PICO</w:t>
      </w:r>
      <w:r w:rsidR="005722B3" w:rsidRPr="0054775B">
        <w:t xml:space="preserve"> (n</w:t>
      </w:r>
      <w:r w:rsidR="00045EC6">
        <w:t xml:space="preserve"> </w:t>
      </w:r>
      <w:r w:rsidR="005722B3" w:rsidRPr="0054775B">
        <w:t>=</w:t>
      </w:r>
      <w:r w:rsidR="00045EC6">
        <w:t xml:space="preserve"> </w:t>
      </w:r>
      <w:r w:rsidR="005722B3" w:rsidRPr="0054775B">
        <w:t>3</w:t>
      </w:r>
      <w:r w:rsidR="005F7E5C" w:rsidRPr="0054775B">
        <w:t>0</w:t>
      </w:r>
      <w:r w:rsidR="005722B3" w:rsidRPr="0054775B">
        <w:t>)</w:t>
      </w:r>
      <w:r w:rsidR="002E5A45" w:rsidRPr="0054775B">
        <w:t xml:space="preserve">. </w:t>
      </w:r>
      <w:r w:rsidR="005722B3" w:rsidRPr="0054775B">
        <w:t>Only one review examined the</w:t>
      </w:r>
      <w:r w:rsidR="005722B3" w:rsidRPr="0054775B" w:rsidDel="008F5D40">
        <w:t xml:space="preserve"> </w:t>
      </w:r>
      <w:r w:rsidR="008F5D40">
        <w:t>effect</w:t>
      </w:r>
      <w:r w:rsidR="008F5D40" w:rsidRPr="0054775B">
        <w:t xml:space="preserve"> </w:t>
      </w:r>
      <w:r w:rsidR="005722B3" w:rsidRPr="0054775B">
        <w:t xml:space="preserve">of </w:t>
      </w:r>
      <w:r w:rsidR="00D65A64" w:rsidRPr="0054775B">
        <w:t xml:space="preserve">co-supplementation </w:t>
      </w:r>
      <w:r w:rsidR="005722B3" w:rsidRPr="0054775B">
        <w:t xml:space="preserve">of probiotics (with Vitamin D) </w:t>
      </w:r>
      <w:r w:rsidR="00A61385">
        <w:rPr>
          <w:noProof/>
        </w:rPr>
        <w:t>(68)</w:t>
      </w:r>
      <w:r w:rsidR="005722B3" w:rsidRPr="0054775B">
        <w:t xml:space="preserve">. </w:t>
      </w:r>
      <w:r w:rsidR="00D65A64" w:rsidRPr="0054775B">
        <w:t>R</w:t>
      </w:r>
      <w:r w:rsidR="002E5A45" w:rsidRPr="0054775B">
        <w:t xml:space="preserve">eviews </w:t>
      </w:r>
      <w:r w:rsidR="00637167" w:rsidRPr="0054775B">
        <w:t xml:space="preserve">examined </w:t>
      </w:r>
      <w:r w:rsidR="00D65A64" w:rsidRPr="0054775B">
        <w:t xml:space="preserve">a variety of </w:t>
      </w:r>
      <w:r w:rsidR="00DA4531" w:rsidRPr="0054775B">
        <w:t xml:space="preserve">probiotic formulas, including </w:t>
      </w:r>
      <w:r w:rsidR="00637167" w:rsidRPr="0054775B">
        <w:t>specific strains or combinations of strains</w:t>
      </w:r>
      <w:r w:rsidR="005722B3" w:rsidRPr="0054775B">
        <w:t xml:space="preserve"> of probiotics</w:t>
      </w:r>
      <w:r w:rsidR="00DA4531" w:rsidRPr="0054775B">
        <w:t>. Some specifically reported strains evaluated</w:t>
      </w:r>
      <w:r w:rsidR="005722B3" w:rsidRPr="0054775B">
        <w:t xml:space="preserve">, where others </w:t>
      </w:r>
      <w:r w:rsidR="00427821" w:rsidRPr="0054775B">
        <w:t>did not specify</w:t>
      </w:r>
      <w:r w:rsidR="00DA4531" w:rsidRPr="0054775B">
        <w:t xml:space="preserve"> and termed “probiotics” as a general intervention</w:t>
      </w:r>
      <w:r w:rsidR="00427821" w:rsidRPr="0054775B">
        <w:t>. Where a review reported</w:t>
      </w:r>
      <w:r w:rsidR="00427821" w:rsidRPr="0054775B" w:rsidDel="00DB7C0E">
        <w:t xml:space="preserve"> </w:t>
      </w:r>
      <w:r w:rsidR="00427821" w:rsidRPr="0054775B">
        <w:t xml:space="preserve">results for </w:t>
      </w:r>
      <w:r w:rsidR="00DB7C0E">
        <w:t xml:space="preserve">both </w:t>
      </w:r>
      <w:r w:rsidR="00427821" w:rsidRPr="0054775B">
        <w:t>probiotics</w:t>
      </w:r>
      <w:r w:rsidR="00DA4531" w:rsidRPr="0054775B">
        <w:t xml:space="preserve"> as a general intervention</w:t>
      </w:r>
      <w:r w:rsidR="00BB1DA6" w:rsidRPr="0054775B">
        <w:t xml:space="preserve"> and</w:t>
      </w:r>
      <w:r w:rsidR="00427821" w:rsidRPr="0054775B">
        <w:t xml:space="preserve"> specific strains</w:t>
      </w:r>
      <w:r w:rsidR="00DA4531" w:rsidRPr="0054775B">
        <w:t>/formulas</w:t>
      </w:r>
      <w:r w:rsidR="00DB7C0E">
        <w:t xml:space="preserve"> of probiotics</w:t>
      </w:r>
      <w:r w:rsidR="00427821" w:rsidRPr="0054775B">
        <w:t xml:space="preserve">, only </w:t>
      </w:r>
      <w:r w:rsidR="00DA4531" w:rsidRPr="0054775B">
        <w:t>general</w:t>
      </w:r>
      <w:r w:rsidR="00D65A64" w:rsidRPr="0054775B">
        <w:t xml:space="preserve"> results were extracted</w:t>
      </w:r>
      <w:r w:rsidR="00BB1DA6" w:rsidRPr="0054775B">
        <w:t xml:space="preserve"> (as</w:t>
      </w:r>
      <w:r w:rsidR="00D65A64" w:rsidRPr="0054775B">
        <w:t xml:space="preserve"> </w:t>
      </w:r>
      <w:r w:rsidR="004A25BD" w:rsidRPr="0054775B">
        <w:t>per protocol</w:t>
      </w:r>
      <w:r w:rsidR="00D65A64" w:rsidRPr="0054775B">
        <w:t xml:space="preserve"> evaluating the comparative efficacy of probiotic strains is out of scope of this </w:t>
      </w:r>
      <w:r w:rsidR="00912F03" w:rsidRPr="0054775B">
        <w:t>overview</w:t>
      </w:r>
      <w:r w:rsidR="00BB1DA6" w:rsidRPr="0054775B">
        <w:t>)</w:t>
      </w:r>
      <w:r w:rsidR="00D65A64" w:rsidRPr="0054775B">
        <w:t xml:space="preserve">. </w:t>
      </w:r>
    </w:p>
    <w:p w14:paraId="357BBAA0" w14:textId="5A6F126B" w:rsidR="008E4806" w:rsidRPr="0054775B" w:rsidRDefault="002374C6" w:rsidP="009E6F7F">
      <w:r w:rsidRPr="0054775B">
        <w:t xml:space="preserve">Most reviews specified the population as adult patients with IBS. </w:t>
      </w:r>
      <w:r w:rsidR="0097771D" w:rsidRPr="0054775B">
        <w:t>Many</w:t>
      </w:r>
      <w:r w:rsidR="00DD5A58" w:rsidRPr="0054775B">
        <w:t xml:space="preserve"> specified that IBS diagnosis needed to be based on meeting specific diagnostic criteria (e.g. </w:t>
      </w:r>
      <w:r w:rsidR="00B9235B" w:rsidRPr="0054775B">
        <w:t xml:space="preserve">Manning or </w:t>
      </w:r>
      <w:r w:rsidR="00DD5A58" w:rsidRPr="0054775B">
        <w:t xml:space="preserve">Rome I, II, </w:t>
      </w:r>
      <w:r w:rsidR="00DD5A58" w:rsidRPr="0054775B">
        <w:lastRenderedPageBreak/>
        <w:t>III, IV).</w:t>
      </w:r>
      <w:r w:rsidR="002532B3" w:rsidRPr="0054775B">
        <w:t xml:space="preserve"> </w:t>
      </w:r>
      <w:r w:rsidR="0097771D" w:rsidRPr="0054775B">
        <w:t>Three reviews looked at specific types of IBS</w:t>
      </w:r>
      <w:r w:rsidR="00DB7C0E">
        <w:t>:</w:t>
      </w:r>
      <w:r w:rsidR="0097771D" w:rsidRPr="0054775B">
        <w:t xml:space="preserve"> two examined </w:t>
      </w:r>
      <w:r w:rsidR="00E4169C" w:rsidRPr="0054775B">
        <w:t xml:space="preserve">IBS-C </w:t>
      </w:r>
      <w:r w:rsidR="00A61385">
        <w:rPr>
          <w:noProof/>
        </w:rPr>
        <w:t>(41, 44)</w:t>
      </w:r>
      <w:r w:rsidR="00DB7C0E">
        <w:rPr>
          <w:noProof/>
        </w:rPr>
        <w:t xml:space="preserve"> and </w:t>
      </w:r>
      <w:r w:rsidR="0097771D" w:rsidRPr="0054775B">
        <w:t xml:space="preserve">one examined </w:t>
      </w:r>
      <w:r w:rsidR="00E70E49" w:rsidRPr="0054775B">
        <w:t>IBS-D</w:t>
      </w:r>
      <w:r w:rsidR="0097771D" w:rsidRPr="0054775B" w:rsidDel="00DB7C0E">
        <w:t xml:space="preserve"> </w:t>
      </w:r>
      <w:r w:rsidR="00A61385">
        <w:rPr>
          <w:noProof/>
        </w:rPr>
        <w:t>(42)</w:t>
      </w:r>
      <w:r w:rsidR="0097771D" w:rsidRPr="0054775B">
        <w:t xml:space="preserve">. </w:t>
      </w:r>
      <w:r w:rsidR="00334757" w:rsidRPr="0054775B">
        <w:t>Five</w:t>
      </w:r>
      <w:r w:rsidR="002A471D" w:rsidRPr="0054775B">
        <w:t xml:space="preserve"> reviews included a range of gastrointestinal disorders</w:t>
      </w:r>
      <w:r w:rsidR="0094018B" w:rsidRPr="0054775B">
        <w:t xml:space="preserve"> or symptoms</w:t>
      </w:r>
      <w:r w:rsidR="002A471D" w:rsidRPr="0054775B">
        <w:t>, and examined IBS as a subpopulation</w:t>
      </w:r>
      <w:r w:rsidR="008F38A0" w:rsidRPr="0054775B">
        <w:t xml:space="preserve"> </w:t>
      </w:r>
      <w:r w:rsidR="00A61385">
        <w:rPr>
          <w:noProof/>
        </w:rPr>
        <w:t>(45, 56, 58, 61, 64)</w:t>
      </w:r>
      <w:r w:rsidR="00DB7C0E">
        <w:rPr>
          <w:noProof/>
        </w:rPr>
        <w:t>.</w:t>
      </w:r>
    </w:p>
    <w:p w14:paraId="33E1147E" w14:textId="3198F98B" w:rsidR="005636EF" w:rsidRPr="0054775B" w:rsidRDefault="00DB7C0E" w:rsidP="009E6F7F">
      <w:r>
        <w:t>Most</w:t>
      </w:r>
      <w:r w:rsidR="009D21DB" w:rsidRPr="0054775B">
        <w:t xml:space="preserve"> </w:t>
      </w:r>
      <w:r w:rsidR="005A395B" w:rsidRPr="0054775B">
        <w:t>reviews</w:t>
      </w:r>
      <w:r w:rsidR="009D21DB" w:rsidRPr="0054775B">
        <w:t xml:space="preserve"> (n</w:t>
      </w:r>
      <w:r w:rsidR="00045EC6">
        <w:t xml:space="preserve"> </w:t>
      </w:r>
      <w:r w:rsidR="009D21DB" w:rsidRPr="0054775B">
        <w:t>=</w:t>
      </w:r>
      <w:r w:rsidR="00045EC6">
        <w:t xml:space="preserve"> </w:t>
      </w:r>
      <w:r w:rsidR="009D21DB" w:rsidRPr="0054775B">
        <w:t>1</w:t>
      </w:r>
      <w:r w:rsidR="005F7E5C" w:rsidRPr="0054775B">
        <w:t>8</w:t>
      </w:r>
      <w:r w:rsidR="009D21DB" w:rsidRPr="0054775B">
        <w:t xml:space="preserve">) limited </w:t>
      </w:r>
      <w:r w:rsidR="005A395B" w:rsidRPr="0054775B">
        <w:t xml:space="preserve">their </w:t>
      </w:r>
      <w:r w:rsidR="00FA4125" w:rsidRPr="0054775B">
        <w:t xml:space="preserve">included </w:t>
      </w:r>
      <w:r w:rsidR="005A395B" w:rsidRPr="0054775B">
        <w:t xml:space="preserve">population to adults, either </w:t>
      </w:r>
      <w:r w:rsidR="008E4806" w:rsidRPr="0054775B">
        <w:t>≥</w:t>
      </w:r>
      <w:r w:rsidR="00DC76C3" w:rsidRPr="0054775B">
        <w:t xml:space="preserve">15, </w:t>
      </w:r>
      <w:r w:rsidR="005A395B" w:rsidRPr="0054775B">
        <w:t xml:space="preserve">16 or 18 years of age. </w:t>
      </w:r>
      <w:r w:rsidR="00491AF5" w:rsidRPr="0054775B">
        <w:t>Six</w:t>
      </w:r>
      <w:r w:rsidR="002532B3" w:rsidRPr="0054775B">
        <w:t xml:space="preserve"> reviews examined </w:t>
      </w:r>
      <w:r w:rsidR="00CB380B" w:rsidRPr="0054775B">
        <w:t>paediatric</w:t>
      </w:r>
      <w:r w:rsidR="002532B3" w:rsidRPr="0054775B">
        <w:t xml:space="preserve"> </w:t>
      </w:r>
      <w:r w:rsidR="00306413" w:rsidRPr="0054775B">
        <w:t>populations</w:t>
      </w:r>
      <w:r w:rsidR="00CB380B" w:rsidRPr="0054775B">
        <w:t xml:space="preserve"> </w:t>
      </w:r>
      <w:r w:rsidR="00A61385">
        <w:rPr>
          <w:noProof/>
        </w:rPr>
        <w:t>(40, 56, 59, 61, 63, 64)</w:t>
      </w:r>
      <w:r w:rsidR="00306413" w:rsidRPr="0054775B">
        <w:t xml:space="preserve">. </w:t>
      </w:r>
      <w:r w:rsidR="009D21DB" w:rsidRPr="0054775B">
        <w:t>Seven</w:t>
      </w:r>
      <w:r w:rsidR="00306413" w:rsidRPr="0054775B">
        <w:t xml:space="preserve"> reviews </w:t>
      </w:r>
      <w:r w:rsidR="002F71ED" w:rsidRPr="0054775B">
        <w:t xml:space="preserve">included both adult and </w:t>
      </w:r>
      <w:r w:rsidR="005A395B" w:rsidRPr="0054775B">
        <w:t xml:space="preserve">paediatric </w:t>
      </w:r>
      <w:r w:rsidR="002F71ED" w:rsidRPr="0054775B">
        <w:t xml:space="preserve">populations </w:t>
      </w:r>
      <w:r w:rsidR="00A61385">
        <w:rPr>
          <w:noProof/>
        </w:rPr>
        <w:t>(38, 45, 49, 51, 60, 66, 68)</w:t>
      </w:r>
      <w:r w:rsidR="00361B89" w:rsidRPr="0054775B">
        <w:t>.</w:t>
      </w:r>
    </w:p>
    <w:p w14:paraId="349AC80C" w14:textId="77777777" w:rsidR="008308E9" w:rsidRPr="0054775B" w:rsidRDefault="008308E9" w:rsidP="009E6F7F">
      <w:pPr>
        <w:pStyle w:val="2024HEADER3"/>
        <w:rPr>
          <w:rFonts w:ascii="Aptos" w:hAnsi="Aptos"/>
        </w:rPr>
      </w:pPr>
      <w:r w:rsidRPr="0054775B">
        <w:rPr>
          <w:rFonts w:ascii="Aptos" w:hAnsi="Aptos"/>
        </w:rPr>
        <w:t>Assessment of risk of bias of included systematic reviews</w:t>
      </w:r>
    </w:p>
    <w:p w14:paraId="5FB81C1C" w14:textId="77A5C9E7" w:rsidR="00150E1C" w:rsidRPr="0054775B" w:rsidRDefault="00150E1C" w:rsidP="009E6F7F">
      <w:r w:rsidRPr="0054775B">
        <w:t xml:space="preserve">Risk </w:t>
      </w:r>
      <w:r w:rsidR="00D77620" w:rsidRPr="0054775B">
        <w:t xml:space="preserve">of bias assessments of the included reviews, as appraised using the ROBIS tool, are presented below. </w:t>
      </w:r>
      <w:r w:rsidR="006D3FE4" w:rsidRPr="0054775B">
        <w:t xml:space="preserve">Full assessments are reported in Appendix </w:t>
      </w:r>
      <w:r w:rsidR="00531DAA">
        <w:t>F</w:t>
      </w:r>
      <w:r w:rsidRPr="0054775B">
        <w:t>.</w:t>
      </w:r>
    </w:p>
    <w:p w14:paraId="0712F224" w14:textId="5ADA4FF5" w:rsidR="007C6975" w:rsidRPr="0054775B" w:rsidRDefault="007C6975" w:rsidP="00DC24F3">
      <w:pPr>
        <w:pStyle w:val="2024TABLECAPTION"/>
        <w:rPr>
          <w:rFonts w:ascii="Aptos" w:hAnsi="Aptos"/>
        </w:rPr>
      </w:pPr>
      <w:bookmarkStart w:id="68" w:name="_Toc185261587"/>
      <w:r w:rsidRPr="0054775B">
        <w:rPr>
          <w:rFonts w:ascii="Aptos" w:hAnsi="Aptos"/>
        </w:rPr>
        <w:t xml:space="preserve">Table </w:t>
      </w:r>
      <w:r w:rsidRPr="0054775B">
        <w:rPr>
          <w:rFonts w:ascii="Aptos" w:hAnsi="Aptos"/>
        </w:rPr>
        <w:fldChar w:fldCharType="begin"/>
      </w:r>
      <w:r w:rsidRPr="0054775B">
        <w:rPr>
          <w:rFonts w:ascii="Aptos" w:hAnsi="Aptos"/>
        </w:rPr>
        <w:instrText>SEQ Table \* ARABIC</w:instrText>
      </w:r>
      <w:r w:rsidRPr="0054775B">
        <w:rPr>
          <w:rFonts w:ascii="Aptos" w:hAnsi="Aptos"/>
        </w:rPr>
        <w:fldChar w:fldCharType="separate"/>
      </w:r>
      <w:r w:rsidR="00651E04">
        <w:rPr>
          <w:rFonts w:ascii="Aptos" w:hAnsi="Aptos"/>
          <w:noProof/>
        </w:rPr>
        <w:t>9</w:t>
      </w:r>
      <w:r w:rsidRPr="0054775B">
        <w:rPr>
          <w:rFonts w:ascii="Aptos" w:hAnsi="Aptos"/>
        </w:rPr>
        <w:fldChar w:fldCharType="end"/>
      </w:r>
      <w:r w:rsidRPr="0054775B">
        <w:rPr>
          <w:rFonts w:ascii="Aptos" w:hAnsi="Aptos"/>
        </w:rPr>
        <w:t xml:space="preserve">. Summary of ROBIS assessments – </w:t>
      </w:r>
      <w:r w:rsidR="00D634E8" w:rsidRPr="0054775B">
        <w:rPr>
          <w:rFonts w:ascii="Aptos" w:hAnsi="Aptos"/>
        </w:rPr>
        <w:t>IBS</w:t>
      </w:r>
      <w:r w:rsidRPr="0054775B">
        <w:rPr>
          <w:rFonts w:ascii="Aptos" w:hAnsi="Aptos"/>
        </w:rPr>
        <w:t>, probiotics</w:t>
      </w:r>
      <w:bookmarkEnd w:id="68"/>
    </w:p>
    <w:tbl>
      <w:tblPr>
        <w:tblW w:w="9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28" w:type="dxa"/>
        </w:tblCellMar>
        <w:tblLook w:val="04A0" w:firstRow="1" w:lastRow="0" w:firstColumn="1" w:lastColumn="0" w:noHBand="0" w:noVBand="1"/>
      </w:tblPr>
      <w:tblGrid>
        <w:gridCol w:w="2263"/>
        <w:gridCol w:w="1418"/>
        <w:gridCol w:w="1435"/>
        <w:gridCol w:w="1328"/>
        <w:gridCol w:w="1326"/>
        <w:gridCol w:w="1246"/>
      </w:tblGrid>
      <w:tr w:rsidR="00DB5924" w:rsidRPr="0054775B" w14:paraId="6F4D48A3" w14:textId="77777777" w:rsidTr="00643D2A">
        <w:trPr>
          <w:trHeight w:val="95"/>
        </w:trPr>
        <w:tc>
          <w:tcPr>
            <w:tcW w:w="2263" w:type="dxa"/>
            <w:vMerge w:val="restart"/>
            <w:shd w:val="clear" w:color="auto" w:fill="D9D9D9" w:themeFill="background1" w:themeFillShade="D9"/>
            <w:hideMark/>
          </w:tcPr>
          <w:p w14:paraId="6A9A5FC1" w14:textId="77777777" w:rsidR="008308E9" w:rsidRPr="0054775B" w:rsidRDefault="008308E9" w:rsidP="00D8533C">
            <w:pPr>
              <w:pStyle w:val="2024TABLEHEADER"/>
              <w:rPr>
                <w:color w:val="000000"/>
              </w:rPr>
            </w:pPr>
            <w:r w:rsidRPr="0054775B">
              <w:t>Review ID</w:t>
            </w:r>
          </w:p>
        </w:tc>
        <w:tc>
          <w:tcPr>
            <w:tcW w:w="5507" w:type="dxa"/>
            <w:gridSpan w:val="4"/>
            <w:shd w:val="clear" w:color="auto" w:fill="D9D9D9" w:themeFill="background1" w:themeFillShade="D9"/>
          </w:tcPr>
          <w:p w14:paraId="3F586859" w14:textId="77777777" w:rsidR="008308E9" w:rsidRPr="0054775B" w:rsidRDefault="008308E9" w:rsidP="00D8533C">
            <w:pPr>
              <w:pStyle w:val="2024TABLEHEADER"/>
            </w:pPr>
            <w:r w:rsidRPr="0054775B">
              <w:t>ROBIS Domains</w:t>
            </w:r>
          </w:p>
        </w:tc>
        <w:tc>
          <w:tcPr>
            <w:tcW w:w="1246" w:type="dxa"/>
            <w:vMerge w:val="restart"/>
            <w:shd w:val="clear" w:color="auto" w:fill="D9D9D9" w:themeFill="background1" w:themeFillShade="D9"/>
          </w:tcPr>
          <w:p w14:paraId="3DA7F420" w14:textId="77777777" w:rsidR="008308E9" w:rsidRPr="0054775B" w:rsidRDefault="008308E9" w:rsidP="00D8533C">
            <w:pPr>
              <w:pStyle w:val="2024TABLEHEADER"/>
            </w:pPr>
            <w:r w:rsidRPr="0054775B">
              <w:t>Overall risk of bias</w:t>
            </w:r>
          </w:p>
        </w:tc>
      </w:tr>
      <w:tr w:rsidR="00BF072C" w:rsidRPr="0054775B" w14:paraId="22B0F02C" w14:textId="77777777" w:rsidTr="00643D2A">
        <w:trPr>
          <w:trHeight w:val="95"/>
        </w:trPr>
        <w:tc>
          <w:tcPr>
            <w:tcW w:w="2263" w:type="dxa"/>
            <w:vMerge/>
            <w:shd w:val="clear" w:color="auto" w:fill="D9D9D9" w:themeFill="background1" w:themeFillShade="D9"/>
          </w:tcPr>
          <w:p w14:paraId="02E88D54" w14:textId="77777777" w:rsidR="008308E9" w:rsidRPr="0054775B" w:rsidRDefault="008308E9" w:rsidP="00D8533C">
            <w:pPr>
              <w:pStyle w:val="2024TABLETEXT"/>
              <w:framePr w:hSpace="0" w:wrap="auto" w:vAnchor="margin" w:yAlign="inline"/>
              <w:suppressOverlap w:val="0"/>
            </w:pPr>
          </w:p>
        </w:tc>
        <w:tc>
          <w:tcPr>
            <w:tcW w:w="1418" w:type="dxa"/>
            <w:shd w:val="clear" w:color="auto" w:fill="F2F2F2" w:themeFill="background1" w:themeFillShade="F2"/>
          </w:tcPr>
          <w:p w14:paraId="2E828996" w14:textId="77777777" w:rsidR="008308E9" w:rsidRPr="0054775B" w:rsidRDefault="008308E9" w:rsidP="00D8533C">
            <w:pPr>
              <w:pStyle w:val="2024TABLEHEADER"/>
            </w:pPr>
            <w:r w:rsidRPr="0054775B">
              <w:t>Domain 1: Study eligibility criteria</w:t>
            </w:r>
          </w:p>
        </w:tc>
        <w:tc>
          <w:tcPr>
            <w:tcW w:w="1435" w:type="dxa"/>
            <w:shd w:val="clear" w:color="auto" w:fill="F2F2F2" w:themeFill="background1" w:themeFillShade="F2"/>
          </w:tcPr>
          <w:p w14:paraId="60E51091" w14:textId="77777777" w:rsidR="008308E9" w:rsidRPr="0054775B" w:rsidRDefault="008308E9" w:rsidP="00D8533C">
            <w:pPr>
              <w:pStyle w:val="2024TABLEHEADER"/>
            </w:pPr>
            <w:r w:rsidRPr="0054775B">
              <w:t>Domain 2: Identification and selection of studies</w:t>
            </w:r>
          </w:p>
        </w:tc>
        <w:tc>
          <w:tcPr>
            <w:tcW w:w="1328" w:type="dxa"/>
            <w:shd w:val="clear" w:color="auto" w:fill="F2F2F2" w:themeFill="background1" w:themeFillShade="F2"/>
          </w:tcPr>
          <w:p w14:paraId="4EB969AF" w14:textId="77777777" w:rsidR="008308E9" w:rsidRPr="0054775B" w:rsidRDefault="008308E9" w:rsidP="00D8533C">
            <w:pPr>
              <w:pStyle w:val="2024TABLEHEADER"/>
            </w:pPr>
            <w:r w:rsidRPr="0054775B">
              <w:t>Domain 3: Data collection and study appraisal</w:t>
            </w:r>
          </w:p>
        </w:tc>
        <w:tc>
          <w:tcPr>
            <w:tcW w:w="1326" w:type="dxa"/>
            <w:shd w:val="clear" w:color="auto" w:fill="F2F2F2" w:themeFill="background1" w:themeFillShade="F2"/>
          </w:tcPr>
          <w:p w14:paraId="3A1844B4" w14:textId="77777777" w:rsidR="008308E9" w:rsidRPr="0054775B" w:rsidRDefault="008308E9" w:rsidP="00D8533C">
            <w:pPr>
              <w:pStyle w:val="2024TABLEHEADER"/>
            </w:pPr>
            <w:r w:rsidRPr="0054775B">
              <w:t>Domain 4: Synthesis and findings</w:t>
            </w:r>
          </w:p>
        </w:tc>
        <w:tc>
          <w:tcPr>
            <w:tcW w:w="1246" w:type="dxa"/>
            <w:vMerge/>
            <w:shd w:val="clear" w:color="auto" w:fill="D9D9D9" w:themeFill="background1" w:themeFillShade="D9"/>
          </w:tcPr>
          <w:p w14:paraId="501076F8" w14:textId="77777777" w:rsidR="008308E9" w:rsidRPr="0054775B" w:rsidRDefault="008308E9" w:rsidP="00D8533C">
            <w:pPr>
              <w:pStyle w:val="2024TABLEHEADER"/>
            </w:pPr>
          </w:p>
        </w:tc>
      </w:tr>
      <w:tr w:rsidR="00F21D56" w:rsidRPr="0054775B" w14:paraId="42EEA5C5" w14:textId="77777777" w:rsidTr="00C00706">
        <w:trPr>
          <w:trHeight w:val="95"/>
        </w:trPr>
        <w:tc>
          <w:tcPr>
            <w:tcW w:w="2263" w:type="dxa"/>
            <w:shd w:val="clear" w:color="auto" w:fill="auto"/>
          </w:tcPr>
          <w:p w14:paraId="78FA86EC" w14:textId="7F56CFFB" w:rsidR="00F21D56" w:rsidRPr="0054775B" w:rsidRDefault="00F21D56" w:rsidP="00D8533C">
            <w:pPr>
              <w:pStyle w:val="2024TABLETEXT"/>
              <w:framePr w:hSpace="0" w:wrap="auto" w:vAnchor="margin" w:yAlign="inline"/>
              <w:suppressOverlap w:val="0"/>
            </w:pPr>
            <w:r w:rsidRPr="0054775B">
              <w:t>Abboud 2020</w:t>
            </w:r>
          </w:p>
        </w:tc>
        <w:tc>
          <w:tcPr>
            <w:tcW w:w="1418" w:type="dxa"/>
            <w:shd w:val="clear" w:color="auto" w:fill="auto"/>
          </w:tcPr>
          <w:p w14:paraId="3E16FBC1" w14:textId="5296C0E2" w:rsidR="00F21D56" w:rsidRPr="0054775B" w:rsidRDefault="00F21D56" w:rsidP="00D8533C">
            <w:pPr>
              <w:pStyle w:val="2024TABLETEXT"/>
              <w:framePr w:hSpace="0" w:wrap="auto" w:vAnchor="margin" w:yAlign="inline"/>
              <w:suppressOverlap w:val="0"/>
              <w:rPr>
                <w:b/>
                <w:bCs/>
              </w:rPr>
            </w:pPr>
            <w:r w:rsidRPr="0054775B">
              <w:t>Low</w:t>
            </w:r>
          </w:p>
        </w:tc>
        <w:tc>
          <w:tcPr>
            <w:tcW w:w="1435" w:type="dxa"/>
            <w:shd w:val="clear" w:color="auto" w:fill="auto"/>
          </w:tcPr>
          <w:p w14:paraId="12C4E3DF" w14:textId="7C7285B9" w:rsidR="00F21D56" w:rsidRPr="0054775B" w:rsidRDefault="00F21D56" w:rsidP="00D8533C">
            <w:pPr>
              <w:pStyle w:val="2024TABLETEXT"/>
              <w:framePr w:hSpace="0" w:wrap="auto" w:vAnchor="margin" w:yAlign="inline"/>
              <w:suppressOverlap w:val="0"/>
              <w:rPr>
                <w:b/>
                <w:bCs/>
              </w:rPr>
            </w:pPr>
            <w:r w:rsidRPr="0054775B">
              <w:t>Low</w:t>
            </w:r>
          </w:p>
        </w:tc>
        <w:tc>
          <w:tcPr>
            <w:tcW w:w="1328" w:type="dxa"/>
            <w:shd w:val="clear" w:color="auto" w:fill="auto"/>
          </w:tcPr>
          <w:p w14:paraId="2666A3CD" w14:textId="5081126D" w:rsidR="00F21D56" w:rsidRPr="0054775B" w:rsidRDefault="00F21D56" w:rsidP="00D8533C">
            <w:pPr>
              <w:pStyle w:val="2024TABLETEXT"/>
              <w:framePr w:hSpace="0" w:wrap="auto" w:vAnchor="margin" w:yAlign="inline"/>
              <w:suppressOverlap w:val="0"/>
              <w:rPr>
                <w:b/>
                <w:bCs/>
              </w:rPr>
            </w:pPr>
            <w:r w:rsidRPr="0054775B">
              <w:t>Low</w:t>
            </w:r>
          </w:p>
        </w:tc>
        <w:tc>
          <w:tcPr>
            <w:tcW w:w="1326" w:type="dxa"/>
            <w:shd w:val="clear" w:color="auto" w:fill="auto"/>
          </w:tcPr>
          <w:p w14:paraId="4AA6B561" w14:textId="02ACC1FC" w:rsidR="00F21D56" w:rsidRPr="0054775B" w:rsidRDefault="00F21D56" w:rsidP="00D8533C">
            <w:pPr>
              <w:pStyle w:val="2024TABLETEXT"/>
              <w:framePr w:hSpace="0" w:wrap="auto" w:vAnchor="margin" w:yAlign="inline"/>
              <w:suppressOverlap w:val="0"/>
              <w:rPr>
                <w:b/>
                <w:bCs/>
              </w:rPr>
            </w:pPr>
            <w:r w:rsidRPr="0054775B">
              <w:t>Low</w:t>
            </w:r>
          </w:p>
        </w:tc>
        <w:tc>
          <w:tcPr>
            <w:tcW w:w="1246" w:type="dxa"/>
            <w:shd w:val="clear" w:color="auto" w:fill="auto"/>
          </w:tcPr>
          <w:p w14:paraId="78893622" w14:textId="389A809E" w:rsidR="00F21D56" w:rsidRPr="0054775B" w:rsidRDefault="00F21D56" w:rsidP="00D8533C">
            <w:pPr>
              <w:pStyle w:val="2024TABLETEXT"/>
              <w:framePr w:hSpace="0" w:wrap="auto" w:vAnchor="margin" w:yAlign="inline"/>
              <w:suppressOverlap w:val="0"/>
              <w:rPr>
                <w:b/>
                <w:bCs/>
              </w:rPr>
            </w:pPr>
            <w:r w:rsidRPr="0054775B">
              <w:t>Low risk</w:t>
            </w:r>
          </w:p>
        </w:tc>
      </w:tr>
      <w:tr w:rsidR="00532740" w:rsidRPr="0054775B" w14:paraId="03DE794E" w14:textId="77777777" w:rsidTr="00C00706">
        <w:trPr>
          <w:trHeight w:val="95"/>
        </w:trPr>
        <w:tc>
          <w:tcPr>
            <w:tcW w:w="2263" w:type="dxa"/>
            <w:shd w:val="clear" w:color="auto" w:fill="auto"/>
          </w:tcPr>
          <w:p w14:paraId="4D248DF4" w14:textId="4075C97E" w:rsidR="00532740" w:rsidRPr="0054775B" w:rsidRDefault="00532740" w:rsidP="00D8533C">
            <w:pPr>
              <w:pStyle w:val="2024TABLETEXT"/>
              <w:framePr w:hSpace="0" w:wrap="auto" w:vAnchor="margin" w:yAlign="inline"/>
              <w:suppressOverlap w:val="0"/>
            </w:pPr>
            <w:r w:rsidRPr="0054775B">
              <w:t>Asha 2020</w:t>
            </w:r>
          </w:p>
        </w:tc>
        <w:tc>
          <w:tcPr>
            <w:tcW w:w="1418" w:type="dxa"/>
            <w:shd w:val="clear" w:color="auto" w:fill="auto"/>
          </w:tcPr>
          <w:p w14:paraId="0E669F23" w14:textId="5C2168EA" w:rsidR="00532740" w:rsidRPr="0054775B" w:rsidRDefault="00772C23" w:rsidP="00D8533C">
            <w:pPr>
              <w:pStyle w:val="2024TABLETEXT"/>
              <w:framePr w:hSpace="0" w:wrap="auto" w:vAnchor="margin" w:yAlign="inline"/>
              <w:suppressOverlap w:val="0"/>
              <w:rPr>
                <w:b/>
                <w:bCs/>
              </w:rPr>
            </w:pPr>
            <w:r>
              <w:t>High</w:t>
            </w:r>
          </w:p>
        </w:tc>
        <w:tc>
          <w:tcPr>
            <w:tcW w:w="1435" w:type="dxa"/>
            <w:shd w:val="clear" w:color="auto" w:fill="auto"/>
          </w:tcPr>
          <w:p w14:paraId="11F3BEDC" w14:textId="2C2A9083" w:rsidR="00532740" w:rsidRPr="0054775B" w:rsidRDefault="00A215BA" w:rsidP="00D8533C">
            <w:pPr>
              <w:pStyle w:val="2024TABLETEXT"/>
              <w:framePr w:hSpace="0" w:wrap="auto" w:vAnchor="margin" w:yAlign="inline"/>
              <w:suppressOverlap w:val="0"/>
              <w:rPr>
                <w:b/>
                <w:bCs/>
              </w:rPr>
            </w:pPr>
            <w:r w:rsidRPr="0054775B">
              <w:t>Unclear</w:t>
            </w:r>
          </w:p>
        </w:tc>
        <w:tc>
          <w:tcPr>
            <w:tcW w:w="1328" w:type="dxa"/>
            <w:shd w:val="clear" w:color="auto" w:fill="auto"/>
          </w:tcPr>
          <w:p w14:paraId="4EEDB9CA" w14:textId="79E0C656" w:rsidR="00532740" w:rsidRPr="0054775B" w:rsidRDefault="00532740" w:rsidP="00D8533C">
            <w:pPr>
              <w:pStyle w:val="2024TABLETEXT"/>
              <w:framePr w:hSpace="0" w:wrap="auto" w:vAnchor="margin" w:yAlign="inline"/>
              <w:suppressOverlap w:val="0"/>
              <w:rPr>
                <w:b/>
                <w:bCs/>
              </w:rPr>
            </w:pPr>
            <w:r w:rsidRPr="0054775B">
              <w:t>Unclear</w:t>
            </w:r>
          </w:p>
        </w:tc>
        <w:tc>
          <w:tcPr>
            <w:tcW w:w="1326" w:type="dxa"/>
            <w:shd w:val="clear" w:color="auto" w:fill="auto"/>
          </w:tcPr>
          <w:p w14:paraId="10FD593F" w14:textId="728E82BC" w:rsidR="00532740" w:rsidRPr="0054775B" w:rsidRDefault="00772C23" w:rsidP="00D8533C">
            <w:pPr>
              <w:pStyle w:val="2024TABLETEXT"/>
              <w:framePr w:hSpace="0" w:wrap="auto" w:vAnchor="margin" w:yAlign="inline"/>
              <w:suppressOverlap w:val="0"/>
              <w:rPr>
                <w:b/>
                <w:bCs/>
              </w:rPr>
            </w:pPr>
            <w:r>
              <w:t>Unclear</w:t>
            </w:r>
          </w:p>
        </w:tc>
        <w:tc>
          <w:tcPr>
            <w:tcW w:w="1246" w:type="dxa"/>
            <w:shd w:val="clear" w:color="auto" w:fill="auto"/>
          </w:tcPr>
          <w:p w14:paraId="625577B6" w14:textId="7B0F00D1" w:rsidR="00532740" w:rsidRPr="0054775B" w:rsidRDefault="00772C23" w:rsidP="00D8533C">
            <w:pPr>
              <w:pStyle w:val="2024TABLETEXT"/>
              <w:framePr w:hSpace="0" w:wrap="auto" w:vAnchor="margin" w:yAlign="inline"/>
              <w:suppressOverlap w:val="0"/>
              <w:rPr>
                <w:b/>
                <w:bCs/>
              </w:rPr>
            </w:pPr>
            <w:r>
              <w:t>High</w:t>
            </w:r>
            <w:r w:rsidRPr="0054775B">
              <w:t xml:space="preserve"> </w:t>
            </w:r>
            <w:r w:rsidR="00532740" w:rsidRPr="0054775B">
              <w:t>risk</w:t>
            </w:r>
          </w:p>
        </w:tc>
      </w:tr>
      <w:tr w:rsidR="00532740" w:rsidRPr="0054775B" w14:paraId="06B6F623" w14:textId="77777777" w:rsidTr="00C00706">
        <w:trPr>
          <w:trHeight w:val="95"/>
        </w:trPr>
        <w:tc>
          <w:tcPr>
            <w:tcW w:w="2263" w:type="dxa"/>
            <w:shd w:val="clear" w:color="auto" w:fill="auto"/>
          </w:tcPr>
          <w:p w14:paraId="408BD05C" w14:textId="01BFC39D" w:rsidR="00532740" w:rsidRPr="0054775B" w:rsidRDefault="00532740" w:rsidP="00D8533C">
            <w:pPr>
              <w:pStyle w:val="2024TABLETEXT"/>
              <w:framePr w:hSpace="0" w:wrap="auto" w:vAnchor="margin" w:yAlign="inline"/>
              <w:suppressOverlap w:val="0"/>
            </w:pPr>
            <w:r w:rsidRPr="0054775B">
              <w:t>Connell 2018</w:t>
            </w:r>
          </w:p>
        </w:tc>
        <w:tc>
          <w:tcPr>
            <w:tcW w:w="1418" w:type="dxa"/>
            <w:shd w:val="clear" w:color="auto" w:fill="auto"/>
          </w:tcPr>
          <w:p w14:paraId="4EC53CB4" w14:textId="5422139F" w:rsidR="00532740" w:rsidRPr="0054775B" w:rsidRDefault="00532740" w:rsidP="00D8533C">
            <w:pPr>
              <w:pStyle w:val="2024TABLETEXT"/>
              <w:framePr w:hSpace="0" w:wrap="auto" w:vAnchor="margin" w:yAlign="inline"/>
              <w:suppressOverlap w:val="0"/>
              <w:rPr>
                <w:b/>
                <w:bCs/>
              </w:rPr>
            </w:pPr>
            <w:r w:rsidRPr="0054775B">
              <w:t>Low</w:t>
            </w:r>
          </w:p>
        </w:tc>
        <w:tc>
          <w:tcPr>
            <w:tcW w:w="1435" w:type="dxa"/>
            <w:shd w:val="clear" w:color="auto" w:fill="auto"/>
          </w:tcPr>
          <w:p w14:paraId="7FB692B7" w14:textId="2C255F48" w:rsidR="00532740" w:rsidRPr="0054775B" w:rsidRDefault="00A215BA" w:rsidP="00D8533C">
            <w:pPr>
              <w:pStyle w:val="2024TABLETEXT"/>
              <w:framePr w:hSpace="0" w:wrap="auto" w:vAnchor="margin" w:yAlign="inline"/>
              <w:suppressOverlap w:val="0"/>
              <w:rPr>
                <w:b/>
                <w:bCs/>
              </w:rPr>
            </w:pPr>
            <w:r w:rsidRPr="0054775B">
              <w:t>Unclear</w:t>
            </w:r>
          </w:p>
        </w:tc>
        <w:tc>
          <w:tcPr>
            <w:tcW w:w="1328" w:type="dxa"/>
            <w:shd w:val="clear" w:color="auto" w:fill="auto"/>
          </w:tcPr>
          <w:p w14:paraId="1A2761B5" w14:textId="50C0DD84" w:rsidR="00532740" w:rsidRPr="0054775B" w:rsidRDefault="00532740" w:rsidP="00D8533C">
            <w:pPr>
              <w:pStyle w:val="2024TABLETEXT"/>
              <w:framePr w:hSpace="0" w:wrap="auto" w:vAnchor="margin" w:yAlign="inline"/>
              <w:suppressOverlap w:val="0"/>
              <w:rPr>
                <w:b/>
                <w:bCs/>
              </w:rPr>
            </w:pPr>
            <w:r w:rsidRPr="0054775B">
              <w:t>Low</w:t>
            </w:r>
          </w:p>
        </w:tc>
        <w:tc>
          <w:tcPr>
            <w:tcW w:w="1326" w:type="dxa"/>
            <w:shd w:val="clear" w:color="auto" w:fill="auto"/>
          </w:tcPr>
          <w:p w14:paraId="73DC0D88" w14:textId="11FEF882" w:rsidR="00532740" w:rsidRPr="0054775B" w:rsidRDefault="00532740" w:rsidP="00D8533C">
            <w:pPr>
              <w:pStyle w:val="2024TABLETEXT"/>
              <w:framePr w:hSpace="0" w:wrap="auto" w:vAnchor="margin" w:yAlign="inline"/>
              <w:suppressOverlap w:val="0"/>
              <w:rPr>
                <w:b/>
                <w:bCs/>
              </w:rPr>
            </w:pPr>
            <w:r w:rsidRPr="0054775B">
              <w:t>Low</w:t>
            </w:r>
          </w:p>
        </w:tc>
        <w:tc>
          <w:tcPr>
            <w:tcW w:w="1246" w:type="dxa"/>
            <w:shd w:val="clear" w:color="auto" w:fill="auto"/>
          </w:tcPr>
          <w:p w14:paraId="5BFFFDC3" w14:textId="7D9047BF" w:rsidR="00532740" w:rsidRPr="0054775B" w:rsidRDefault="00532740" w:rsidP="00D8533C">
            <w:pPr>
              <w:pStyle w:val="2024TABLETEXT"/>
              <w:framePr w:hSpace="0" w:wrap="auto" w:vAnchor="margin" w:yAlign="inline"/>
              <w:suppressOverlap w:val="0"/>
              <w:rPr>
                <w:b/>
                <w:bCs/>
              </w:rPr>
            </w:pPr>
            <w:r w:rsidRPr="0054775B">
              <w:t>Low risk</w:t>
            </w:r>
          </w:p>
        </w:tc>
      </w:tr>
      <w:tr w:rsidR="00532740" w:rsidRPr="0054775B" w14:paraId="2921527A" w14:textId="77777777" w:rsidTr="00C00706">
        <w:trPr>
          <w:trHeight w:val="95"/>
        </w:trPr>
        <w:tc>
          <w:tcPr>
            <w:tcW w:w="2263" w:type="dxa"/>
            <w:shd w:val="clear" w:color="auto" w:fill="auto"/>
          </w:tcPr>
          <w:p w14:paraId="6115885E" w14:textId="34C01389" w:rsidR="00532740" w:rsidRPr="0054775B" w:rsidRDefault="00532740" w:rsidP="00D8533C">
            <w:pPr>
              <w:pStyle w:val="2024TABLETEXT"/>
              <w:framePr w:hSpace="0" w:wrap="auto" w:vAnchor="margin" w:yAlign="inline"/>
              <w:suppressOverlap w:val="0"/>
            </w:pPr>
            <w:r w:rsidRPr="0054775B">
              <w:t>Corbitt 2018</w:t>
            </w:r>
          </w:p>
        </w:tc>
        <w:tc>
          <w:tcPr>
            <w:tcW w:w="1418" w:type="dxa"/>
            <w:shd w:val="clear" w:color="auto" w:fill="auto"/>
          </w:tcPr>
          <w:p w14:paraId="121D6FD1" w14:textId="64B6F6F4" w:rsidR="00532740" w:rsidRPr="0054775B" w:rsidRDefault="00BF4FCF" w:rsidP="00D8533C">
            <w:pPr>
              <w:pStyle w:val="2024TABLETEXT"/>
              <w:framePr w:hSpace="0" w:wrap="auto" w:vAnchor="margin" w:yAlign="inline"/>
              <w:suppressOverlap w:val="0"/>
              <w:rPr>
                <w:b/>
                <w:bCs/>
              </w:rPr>
            </w:pPr>
            <w:r>
              <w:t>High</w:t>
            </w:r>
          </w:p>
        </w:tc>
        <w:tc>
          <w:tcPr>
            <w:tcW w:w="1435" w:type="dxa"/>
            <w:shd w:val="clear" w:color="auto" w:fill="auto"/>
          </w:tcPr>
          <w:p w14:paraId="0E576D76" w14:textId="1679CC56" w:rsidR="00532740" w:rsidRPr="0054775B" w:rsidRDefault="00532740" w:rsidP="00D8533C">
            <w:pPr>
              <w:pStyle w:val="2024TABLETEXT"/>
              <w:framePr w:hSpace="0" w:wrap="auto" w:vAnchor="margin" w:yAlign="inline"/>
              <w:suppressOverlap w:val="0"/>
              <w:rPr>
                <w:b/>
                <w:bCs/>
              </w:rPr>
            </w:pPr>
            <w:r w:rsidRPr="0054775B">
              <w:t>High</w:t>
            </w:r>
          </w:p>
        </w:tc>
        <w:tc>
          <w:tcPr>
            <w:tcW w:w="1328" w:type="dxa"/>
            <w:shd w:val="clear" w:color="auto" w:fill="auto"/>
          </w:tcPr>
          <w:p w14:paraId="4B0EF4C0" w14:textId="41AC3F67" w:rsidR="00532740" w:rsidRPr="0054775B" w:rsidRDefault="00532740" w:rsidP="00D8533C">
            <w:pPr>
              <w:pStyle w:val="2024TABLETEXT"/>
              <w:framePr w:hSpace="0" w:wrap="auto" w:vAnchor="margin" w:yAlign="inline"/>
              <w:suppressOverlap w:val="0"/>
              <w:rPr>
                <w:b/>
                <w:bCs/>
              </w:rPr>
            </w:pPr>
            <w:r w:rsidRPr="0054775B">
              <w:t>Unclear</w:t>
            </w:r>
          </w:p>
        </w:tc>
        <w:tc>
          <w:tcPr>
            <w:tcW w:w="1326" w:type="dxa"/>
            <w:shd w:val="clear" w:color="auto" w:fill="auto"/>
          </w:tcPr>
          <w:p w14:paraId="17D03C06" w14:textId="52ACF1C6" w:rsidR="00532740" w:rsidRPr="0054775B" w:rsidRDefault="00BF4FCF" w:rsidP="00D8533C">
            <w:pPr>
              <w:pStyle w:val="2024TABLETEXT"/>
              <w:framePr w:hSpace="0" w:wrap="auto" w:vAnchor="margin" w:yAlign="inline"/>
              <w:suppressOverlap w:val="0"/>
              <w:rPr>
                <w:b/>
                <w:bCs/>
              </w:rPr>
            </w:pPr>
            <w:r>
              <w:t>Unclear</w:t>
            </w:r>
          </w:p>
        </w:tc>
        <w:tc>
          <w:tcPr>
            <w:tcW w:w="1246" w:type="dxa"/>
            <w:shd w:val="clear" w:color="auto" w:fill="auto"/>
          </w:tcPr>
          <w:p w14:paraId="2A9B7697" w14:textId="54BDC060" w:rsidR="00532740" w:rsidRPr="0054775B" w:rsidRDefault="00BF4FCF" w:rsidP="00D8533C">
            <w:pPr>
              <w:pStyle w:val="2024TABLETEXT"/>
              <w:framePr w:hSpace="0" w:wrap="auto" w:vAnchor="margin" w:yAlign="inline"/>
              <w:suppressOverlap w:val="0"/>
              <w:rPr>
                <w:b/>
                <w:bCs/>
              </w:rPr>
            </w:pPr>
            <w:r>
              <w:t>High</w:t>
            </w:r>
            <w:r w:rsidRPr="0054775B">
              <w:t xml:space="preserve"> </w:t>
            </w:r>
            <w:r w:rsidR="00532740" w:rsidRPr="0054775B">
              <w:t>risk</w:t>
            </w:r>
          </w:p>
        </w:tc>
      </w:tr>
      <w:tr w:rsidR="00BF4FCF" w:rsidRPr="0054775B" w14:paraId="3B0F1107" w14:textId="77777777" w:rsidTr="00C00706">
        <w:trPr>
          <w:trHeight w:val="95"/>
        </w:trPr>
        <w:tc>
          <w:tcPr>
            <w:tcW w:w="2263" w:type="dxa"/>
            <w:shd w:val="clear" w:color="auto" w:fill="auto"/>
          </w:tcPr>
          <w:p w14:paraId="08F65165" w14:textId="47BA3CC6" w:rsidR="00BF4FCF" w:rsidRPr="0054775B" w:rsidRDefault="00BF4FCF" w:rsidP="00BF4FCF">
            <w:pPr>
              <w:pStyle w:val="2024TABLETEXT"/>
              <w:framePr w:hSpace="0" w:wrap="auto" w:vAnchor="margin" w:yAlign="inline"/>
              <w:suppressOverlap w:val="0"/>
            </w:pPr>
            <w:r w:rsidRPr="0054775B">
              <w:t>Ding 2019</w:t>
            </w:r>
          </w:p>
        </w:tc>
        <w:tc>
          <w:tcPr>
            <w:tcW w:w="1418" w:type="dxa"/>
            <w:shd w:val="clear" w:color="auto" w:fill="auto"/>
          </w:tcPr>
          <w:p w14:paraId="6C9D3B26" w14:textId="18150EF1" w:rsidR="00BF4FCF" w:rsidRPr="0054775B" w:rsidRDefault="00BF4FCF" w:rsidP="00BF4FCF">
            <w:pPr>
              <w:pStyle w:val="2024TABLETEXT"/>
              <w:framePr w:hSpace="0" w:wrap="auto" w:vAnchor="margin" w:yAlign="inline"/>
              <w:suppressOverlap w:val="0"/>
              <w:rPr>
                <w:b/>
                <w:bCs/>
              </w:rPr>
            </w:pPr>
            <w:r w:rsidRPr="0054775B">
              <w:t>Low</w:t>
            </w:r>
          </w:p>
        </w:tc>
        <w:tc>
          <w:tcPr>
            <w:tcW w:w="1435" w:type="dxa"/>
            <w:shd w:val="clear" w:color="auto" w:fill="auto"/>
          </w:tcPr>
          <w:p w14:paraId="66F30821" w14:textId="7AEAFC27" w:rsidR="00BF4FCF" w:rsidRPr="0054775B" w:rsidRDefault="00BF4FCF" w:rsidP="00BF4FCF">
            <w:pPr>
              <w:pStyle w:val="2024TABLETEXT"/>
              <w:framePr w:hSpace="0" w:wrap="auto" w:vAnchor="margin" w:yAlign="inline"/>
              <w:suppressOverlap w:val="0"/>
              <w:rPr>
                <w:b/>
                <w:bCs/>
              </w:rPr>
            </w:pPr>
            <w:r w:rsidRPr="0054775B">
              <w:t>High</w:t>
            </w:r>
          </w:p>
        </w:tc>
        <w:tc>
          <w:tcPr>
            <w:tcW w:w="1328" w:type="dxa"/>
            <w:shd w:val="clear" w:color="auto" w:fill="auto"/>
          </w:tcPr>
          <w:p w14:paraId="148BC66A" w14:textId="5DC6E587" w:rsidR="00BF4FCF" w:rsidRPr="0054775B" w:rsidRDefault="00BF4FCF" w:rsidP="00BF4FCF">
            <w:pPr>
              <w:pStyle w:val="2024TABLETEXT"/>
              <w:framePr w:hSpace="0" w:wrap="auto" w:vAnchor="margin" w:yAlign="inline"/>
              <w:suppressOverlap w:val="0"/>
              <w:rPr>
                <w:b/>
                <w:bCs/>
              </w:rPr>
            </w:pPr>
            <w:r w:rsidRPr="008D0E29">
              <w:t>Unclear</w:t>
            </w:r>
          </w:p>
        </w:tc>
        <w:tc>
          <w:tcPr>
            <w:tcW w:w="1326" w:type="dxa"/>
            <w:shd w:val="clear" w:color="auto" w:fill="auto"/>
          </w:tcPr>
          <w:p w14:paraId="51477D9D" w14:textId="6639B17D" w:rsidR="00BF4FCF" w:rsidRPr="0054775B" w:rsidRDefault="00BF4FCF" w:rsidP="00BF4FCF">
            <w:pPr>
              <w:pStyle w:val="2024TABLETEXT"/>
              <w:framePr w:hSpace="0" w:wrap="auto" w:vAnchor="margin" w:yAlign="inline"/>
              <w:suppressOverlap w:val="0"/>
              <w:rPr>
                <w:b/>
                <w:bCs/>
              </w:rPr>
            </w:pPr>
            <w:r w:rsidRPr="008D0E29">
              <w:t>Unclear</w:t>
            </w:r>
          </w:p>
        </w:tc>
        <w:tc>
          <w:tcPr>
            <w:tcW w:w="1246" w:type="dxa"/>
            <w:shd w:val="clear" w:color="auto" w:fill="auto"/>
          </w:tcPr>
          <w:p w14:paraId="3EAAD736" w14:textId="6CE2D315" w:rsidR="00BF4FCF" w:rsidRPr="0054775B" w:rsidRDefault="00BF4FCF" w:rsidP="00BF4FCF">
            <w:pPr>
              <w:pStyle w:val="2024TABLETEXT"/>
              <w:framePr w:hSpace="0" w:wrap="auto" w:vAnchor="margin" w:yAlign="inline"/>
              <w:suppressOverlap w:val="0"/>
              <w:rPr>
                <w:b/>
                <w:bCs/>
              </w:rPr>
            </w:pPr>
            <w:r>
              <w:t>High</w:t>
            </w:r>
            <w:r w:rsidRPr="0054775B">
              <w:t xml:space="preserve"> risk</w:t>
            </w:r>
          </w:p>
        </w:tc>
      </w:tr>
      <w:tr w:rsidR="00A751C8" w:rsidRPr="0054775B" w14:paraId="22E2EA67" w14:textId="77777777" w:rsidTr="00C00706">
        <w:trPr>
          <w:trHeight w:val="95"/>
        </w:trPr>
        <w:tc>
          <w:tcPr>
            <w:tcW w:w="2263" w:type="dxa"/>
            <w:shd w:val="clear" w:color="auto" w:fill="auto"/>
          </w:tcPr>
          <w:p w14:paraId="31408250" w14:textId="4EBA45C8" w:rsidR="00A751C8" w:rsidRPr="0054775B" w:rsidRDefault="00A751C8" w:rsidP="00D8533C">
            <w:pPr>
              <w:pStyle w:val="2024TABLETEXT"/>
              <w:framePr w:hSpace="0" w:wrap="auto" w:vAnchor="margin" w:yAlign="inline"/>
              <w:suppressOverlap w:val="0"/>
            </w:pPr>
            <w:r w:rsidRPr="0054775B">
              <w:t>Fatahi 2022</w:t>
            </w:r>
          </w:p>
        </w:tc>
        <w:tc>
          <w:tcPr>
            <w:tcW w:w="1418" w:type="dxa"/>
            <w:shd w:val="clear" w:color="auto" w:fill="auto"/>
          </w:tcPr>
          <w:p w14:paraId="12D413AD" w14:textId="0E54D21A" w:rsidR="00A751C8" w:rsidRPr="0054775B" w:rsidRDefault="00A751C8" w:rsidP="00D8533C">
            <w:pPr>
              <w:pStyle w:val="2024TABLETEXT"/>
              <w:framePr w:hSpace="0" w:wrap="auto" w:vAnchor="margin" w:yAlign="inline"/>
              <w:suppressOverlap w:val="0"/>
              <w:rPr>
                <w:b/>
                <w:bCs/>
              </w:rPr>
            </w:pPr>
            <w:r w:rsidRPr="0054775B">
              <w:t>Low</w:t>
            </w:r>
          </w:p>
        </w:tc>
        <w:tc>
          <w:tcPr>
            <w:tcW w:w="1435" w:type="dxa"/>
            <w:shd w:val="clear" w:color="auto" w:fill="auto"/>
          </w:tcPr>
          <w:p w14:paraId="6D039ACD" w14:textId="4BCD975E" w:rsidR="00A751C8" w:rsidRPr="0054775B" w:rsidRDefault="00CC59E3" w:rsidP="00D8533C">
            <w:pPr>
              <w:pStyle w:val="2024TABLETEXT"/>
              <w:framePr w:hSpace="0" w:wrap="auto" w:vAnchor="margin" w:yAlign="inline"/>
              <w:suppressOverlap w:val="0"/>
              <w:rPr>
                <w:b/>
                <w:bCs/>
              </w:rPr>
            </w:pPr>
            <w:r>
              <w:t>Low</w:t>
            </w:r>
          </w:p>
        </w:tc>
        <w:tc>
          <w:tcPr>
            <w:tcW w:w="1328" w:type="dxa"/>
            <w:shd w:val="clear" w:color="auto" w:fill="auto"/>
          </w:tcPr>
          <w:p w14:paraId="3E56AB33" w14:textId="762D9519" w:rsidR="00A751C8" w:rsidRPr="0054775B" w:rsidRDefault="00A751C8" w:rsidP="00D8533C">
            <w:pPr>
              <w:pStyle w:val="2024TABLETEXT"/>
              <w:framePr w:hSpace="0" w:wrap="auto" w:vAnchor="margin" w:yAlign="inline"/>
              <w:suppressOverlap w:val="0"/>
              <w:rPr>
                <w:b/>
                <w:bCs/>
              </w:rPr>
            </w:pPr>
            <w:r w:rsidRPr="0054775B">
              <w:t>Low</w:t>
            </w:r>
          </w:p>
        </w:tc>
        <w:tc>
          <w:tcPr>
            <w:tcW w:w="1326" w:type="dxa"/>
            <w:shd w:val="clear" w:color="auto" w:fill="auto"/>
          </w:tcPr>
          <w:p w14:paraId="1DF29F9E" w14:textId="4DBDE501" w:rsidR="00A751C8" w:rsidRPr="0054775B" w:rsidRDefault="00A751C8" w:rsidP="00D8533C">
            <w:pPr>
              <w:pStyle w:val="2024TABLETEXT"/>
              <w:framePr w:hSpace="0" w:wrap="auto" w:vAnchor="margin" w:yAlign="inline"/>
              <w:suppressOverlap w:val="0"/>
              <w:rPr>
                <w:b/>
                <w:bCs/>
              </w:rPr>
            </w:pPr>
            <w:r w:rsidRPr="0054775B">
              <w:t>Low</w:t>
            </w:r>
          </w:p>
        </w:tc>
        <w:tc>
          <w:tcPr>
            <w:tcW w:w="1246" w:type="dxa"/>
            <w:shd w:val="clear" w:color="auto" w:fill="auto"/>
          </w:tcPr>
          <w:p w14:paraId="7FE22CF0" w14:textId="09073A0C" w:rsidR="00A751C8" w:rsidRPr="0054775B" w:rsidRDefault="00A751C8" w:rsidP="00D8533C">
            <w:pPr>
              <w:pStyle w:val="2024TABLETEXT"/>
              <w:framePr w:hSpace="0" w:wrap="auto" w:vAnchor="margin" w:yAlign="inline"/>
              <w:suppressOverlap w:val="0"/>
              <w:rPr>
                <w:b/>
                <w:bCs/>
              </w:rPr>
            </w:pPr>
            <w:r w:rsidRPr="0054775B">
              <w:t>Low risk</w:t>
            </w:r>
          </w:p>
        </w:tc>
      </w:tr>
      <w:tr w:rsidR="00A751C8" w:rsidRPr="0054775B" w14:paraId="589A877A" w14:textId="77777777" w:rsidTr="00C00706">
        <w:trPr>
          <w:trHeight w:val="95"/>
        </w:trPr>
        <w:tc>
          <w:tcPr>
            <w:tcW w:w="2263" w:type="dxa"/>
            <w:shd w:val="clear" w:color="auto" w:fill="auto"/>
          </w:tcPr>
          <w:p w14:paraId="431D7E34" w14:textId="5B13D8EE" w:rsidR="00A751C8" w:rsidRPr="0054775B" w:rsidRDefault="00A751C8" w:rsidP="00D8533C">
            <w:pPr>
              <w:pStyle w:val="2024TABLETEXT"/>
              <w:framePr w:hSpace="0" w:wrap="auto" w:vAnchor="margin" w:yAlign="inline"/>
              <w:suppressOverlap w:val="0"/>
            </w:pPr>
            <w:r w:rsidRPr="0054775B">
              <w:t>Ford 2014</w:t>
            </w:r>
          </w:p>
        </w:tc>
        <w:tc>
          <w:tcPr>
            <w:tcW w:w="1418" w:type="dxa"/>
            <w:shd w:val="clear" w:color="auto" w:fill="auto"/>
          </w:tcPr>
          <w:p w14:paraId="5D7F74C5" w14:textId="754A9A4D" w:rsidR="00A751C8" w:rsidRPr="0054775B" w:rsidRDefault="00A751C8" w:rsidP="00D8533C">
            <w:pPr>
              <w:pStyle w:val="2024TABLETEXT"/>
              <w:framePr w:hSpace="0" w:wrap="auto" w:vAnchor="margin" w:yAlign="inline"/>
              <w:suppressOverlap w:val="0"/>
              <w:rPr>
                <w:b/>
                <w:bCs/>
              </w:rPr>
            </w:pPr>
            <w:r w:rsidRPr="0054775B">
              <w:t>Low</w:t>
            </w:r>
          </w:p>
        </w:tc>
        <w:tc>
          <w:tcPr>
            <w:tcW w:w="1435" w:type="dxa"/>
            <w:shd w:val="clear" w:color="auto" w:fill="auto"/>
          </w:tcPr>
          <w:p w14:paraId="7DAF8846" w14:textId="4A0E61CD" w:rsidR="00A751C8" w:rsidRPr="0054775B" w:rsidRDefault="00A751C8" w:rsidP="00D8533C">
            <w:pPr>
              <w:pStyle w:val="2024TABLETEXT"/>
              <w:framePr w:hSpace="0" w:wrap="auto" w:vAnchor="margin" w:yAlign="inline"/>
              <w:suppressOverlap w:val="0"/>
              <w:rPr>
                <w:b/>
                <w:bCs/>
              </w:rPr>
            </w:pPr>
            <w:r w:rsidRPr="0054775B">
              <w:t>Low</w:t>
            </w:r>
          </w:p>
        </w:tc>
        <w:tc>
          <w:tcPr>
            <w:tcW w:w="1328" w:type="dxa"/>
            <w:shd w:val="clear" w:color="auto" w:fill="auto"/>
          </w:tcPr>
          <w:p w14:paraId="520BD60C" w14:textId="24CAC99E" w:rsidR="00A751C8" w:rsidRPr="0054775B" w:rsidRDefault="00A751C8" w:rsidP="00D8533C">
            <w:pPr>
              <w:pStyle w:val="2024TABLETEXT"/>
              <w:framePr w:hSpace="0" w:wrap="auto" w:vAnchor="margin" w:yAlign="inline"/>
              <w:suppressOverlap w:val="0"/>
              <w:rPr>
                <w:b/>
                <w:bCs/>
              </w:rPr>
            </w:pPr>
            <w:r w:rsidRPr="0054775B">
              <w:t>Low</w:t>
            </w:r>
          </w:p>
        </w:tc>
        <w:tc>
          <w:tcPr>
            <w:tcW w:w="1326" w:type="dxa"/>
            <w:shd w:val="clear" w:color="auto" w:fill="auto"/>
          </w:tcPr>
          <w:p w14:paraId="2B1F6480" w14:textId="12A58B91" w:rsidR="00A751C8" w:rsidRPr="0054775B" w:rsidRDefault="00A751C8" w:rsidP="00D8533C">
            <w:pPr>
              <w:pStyle w:val="2024TABLETEXT"/>
              <w:framePr w:hSpace="0" w:wrap="auto" w:vAnchor="margin" w:yAlign="inline"/>
              <w:suppressOverlap w:val="0"/>
              <w:rPr>
                <w:b/>
                <w:bCs/>
              </w:rPr>
            </w:pPr>
            <w:r w:rsidRPr="0054775B">
              <w:t>Low</w:t>
            </w:r>
          </w:p>
        </w:tc>
        <w:tc>
          <w:tcPr>
            <w:tcW w:w="1246" w:type="dxa"/>
            <w:shd w:val="clear" w:color="auto" w:fill="auto"/>
          </w:tcPr>
          <w:p w14:paraId="6E5F49AE" w14:textId="73E7F2FE" w:rsidR="00A751C8" w:rsidRPr="0054775B" w:rsidRDefault="00A751C8" w:rsidP="00D8533C">
            <w:pPr>
              <w:pStyle w:val="2024TABLETEXT"/>
              <w:framePr w:hSpace="0" w:wrap="auto" w:vAnchor="margin" w:yAlign="inline"/>
              <w:suppressOverlap w:val="0"/>
              <w:rPr>
                <w:b/>
                <w:bCs/>
              </w:rPr>
            </w:pPr>
            <w:r w:rsidRPr="0054775B">
              <w:t>Low risk</w:t>
            </w:r>
          </w:p>
        </w:tc>
      </w:tr>
      <w:tr w:rsidR="00A751C8" w:rsidRPr="0054775B" w14:paraId="6D4C3B6E" w14:textId="77777777" w:rsidTr="00C00706">
        <w:trPr>
          <w:trHeight w:val="95"/>
        </w:trPr>
        <w:tc>
          <w:tcPr>
            <w:tcW w:w="2263" w:type="dxa"/>
            <w:shd w:val="clear" w:color="auto" w:fill="auto"/>
          </w:tcPr>
          <w:p w14:paraId="0E433286" w14:textId="015F9C02" w:rsidR="00A751C8" w:rsidRPr="0054775B" w:rsidRDefault="00A751C8" w:rsidP="00D8533C">
            <w:pPr>
              <w:pStyle w:val="2024TABLETEXT"/>
              <w:framePr w:hSpace="0" w:wrap="auto" w:vAnchor="margin" w:yAlign="inline"/>
              <w:suppressOverlap w:val="0"/>
            </w:pPr>
            <w:r w:rsidRPr="0054775B">
              <w:t>Horvath 2011</w:t>
            </w:r>
          </w:p>
        </w:tc>
        <w:tc>
          <w:tcPr>
            <w:tcW w:w="1418" w:type="dxa"/>
            <w:shd w:val="clear" w:color="auto" w:fill="auto"/>
          </w:tcPr>
          <w:p w14:paraId="42F5EEA2" w14:textId="37BE6D1A" w:rsidR="00A751C8" w:rsidRPr="0054775B" w:rsidRDefault="00A751C8" w:rsidP="00D8533C">
            <w:pPr>
              <w:pStyle w:val="2024TABLETEXT"/>
              <w:framePr w:hSpace="0" w:wrap="auto" w:vAnchor="margin" w:yAlign="inline"/>
              <w:suppressOverlap w:val="0"/>
              <w:rPr>
                <w:b/>
                <w:bCs/>
              </w:rPr>
            </w:pPr>
            <w:r w:rsidRPr="0054775B">
              <w:t>Low</w:t>
            </w:r>
          </w:p>
        </w:tc>
        <w:tc>
          <w:tcPr>
            <w:tcW w:w="1435" w:type="dxa"/>
            <w:shd w:val="clear" w:color="auto" w:fill="auto"/>
          </w:tcPr>
          <w:p w14:paraId="6FD0A047" w14:textId="1F6C5A9C" w:rsidR="00A751C8" w:rsidRPr="0054775B" w:rsidRDefault="00A751C8" w:rsidP="00D8533C">
            <w:pPr>
              <w:pStyle w:val="2024TABLETEXT"/>
              <w:framePr w:hSpace="0" w:wrap="auto" w:vAnchor="margin" w:yAlign="inline"/>
              <w:suppressOverlap w:val="0"/>
              <w:rPr>
                <w:b/>
                <w:bCs/>
              </w:rPr>
            </w:pPr>
            <w:r w:rsidRPr="0054775B">
              <w:t>Low</w:t>
            </w:r>
          </w:p>
        </w:tc>
        <w:tc>
          <w:tcPr>
            <w:tcW w:w="1328" w:type="dxa"/>
            <w:shd w:val="clear" w:color="auto" w:fill="auto"/>
          </w:tcPr>
          <w:p w14:paraId="31A1C56C" w14:textId="1ADCD62F" w:rsidR="00A751C8" w:rsidRPr="0054775B" w:rsidRDefault="00A751C8" w:rsidP="00D8533C">
            <w:pPr>
              <w:pStyle w:val="2024TABLETEXT"/>
              <w:framePr w:hSpace="0" w:wrap="auto" w:vAnchor="margin" w:yAlign="inline"/>
              <w:suppressOverlap w:val="0"/>
              <w:rPr>
                <w:b/>
                <w:bCs/>
              </w:rPr>
            </w:pPr>
            <w:r w:rsidRPr="0054775B">
              <w:t>Low</w:t>
            </w:r>
          </w:p>
        </w:tc>
        <w:tc>
          <w:tcPr>
            <w:tcW w:w="1326" w:type="dxa"/>
            <w:shd w:val="clear" w:color="auto" w:fill="auto"/>
          </w:tcPr>
          <w:p w14:paraId="261F7CDA" w14:textId="63220034" w:rsidR="00A751C8" w:rsidRPr="0054775B" w:rsidRDefault="00982A5C" w:rsidP="00D8533C">
            <w:pPr>
              <w:pStyle w:val="2024TABLETEXT"/>
              <w:framePr w:hSpace="0" w:wrap="auto" w:vAnchor="margin" w:yAlign="inline"/>
              <w:suppressOverlap w:val="0"/>
              <w:rPr>
                <w:b/>
                <w:bCs/>
              </w:rPr>
            </w:pPr>
            <w:r>
              <w:t>Unclear</w:t>
            </w:r>
          </w:p>
        </w:tc>
        <w:tc>
          <w:tcPr>
            <w:tcW w:w="1246" w:type="dxa"/>
            <w:shd w:val="clear" w:color="auto" w:fill="auto"/>
          </w:tcPr>
          <w:p w14:paraId="21058F03" w14:textId="72ABBC98" w:rsidR="00A751C8" w:rsidRPr="0054775B" w:rsidRDefault="00982A5C" w:rsidP="00D8533C">
            <w:pPr>
              <w:pStyle w:val="2024TABLETEXT"/>
              <w:framePr w:hSpace="0" w:wrap="auto" w:vAnchor="margin" w:yAlign="inline"/>
              <w:suppressOverlap w:val="0"/>
              <w:rPr>
                <w:b/>
                <w:bCs/>
              </w:rPr>
            </w:pPr>
            <w:r>
              <w:t>Unclear</w:t>
            </w:r>
            <w:r w:rsidRPr="0054775B" w:rsidDel="00982A5C">
              <w:t xml:space="preserve"> </w:t>
            </w:r>
            <w:r w:rsidR="00A751C8" w:rsidRPr="0054775B">
              <w:t>risk</w:t>
            </w:r>
          </w:p>
        </w:tc>
      </w:tr>
      <w:tr w:rsidR="00A751C8" w:rsidRPr="0054775B" w14:paraId="7BF7AB85" w14:textId="77777777" w:rsidTr="00C00706">
        <w:trPr>
          <w:trHeight w:val="95"/>
        </w:trPr>
        <w:tc>
          <w:tcPr>
            <w:tcW w:w="2263" w:type="dxa"/>
            <w:shd w:val="clear" w:color="auto" w:fill="auto"/>
          </w:tcPr>
          <w:p w14:paraId="563F569E" w14:textId="4BF0B87D" w:rsidR="00A751C8" w:rsidRPr="0054775B" w:rsidRDefault="00A751C8" w:rsidP="00D8533C">
            <w:pPr>
              <w:pStyle w:val="2024TABLETEXT"/>
              <w:framePr w:hSpace="0" w:wrap="auto" w:vAnchor="margin" w:yAlign="inline"/>
              <w:suppressOverlap w:val="0"/>
            </w:pPr>
            <w:r w:rsidRPr="0054775B">
              <w:t>Hoveyda 2009</w:t>
            </w:r>
          </w:p>
        </w:tc>
        <w:tc>
          <w:tcPr>
            <w:tcW w:w="1418" w:type="dxa"/>
            <w:shd w:val="clear" w:color="auto" w:fill="auto"/>
          </w:tcPr>
          <w:p w14:paraId="56EACD1B" w14:textId="6F147A76" w:rsidR="00A751C8" w:rsidRPr="0054775B" w:rsidRDefault="00A751C8" w:rsidP="00D8533C">
            <w:pPr>
              <w:pStyle w:val="2024TABLETEXT"/>
              <w:framePr w:hSpace="0" w:wrap="auto" w:vAnchor="margin" w:yAlign="inline"/>
              <w:suppressOverlap w:val="0"/>
              <w:rPr>
                <w:b/>
                <w:bCs/>
              </w:rPr>
            </w:pPr>
            <w:r w:rsidRPr="0054775B">
              <w:t>Low</w:t>
            </w:r>
          </w:p>
        </w:tc>
        <w:tc>
          <w:tcPr>
            <w:tcW w:w="1435" w:type="dxa"/>
            <w:shd w:val="clear" w:color="auto" w:fill="auto"/>
          </w:tcPr>
          <w:p w14:paraId="08CB5942" w14:textId="1E9F754B" w:rsidR="00A751C8" w:rsidRPr="0054775B" w:rsidRDefault="00A751C8" w:rsidP="00D8533C">
            <w:pPr>
              <w:pStyle w:val="2024TABLETEXT"/>
              <w:framePr w:hSpace="0" w:wrap="auto" w:vAnchor="margin" w:yAlign="inline"/>
              <w:suppressOverlap w:val="0"/>
              <w:rPr>
                <w:b/>
                <w:bCs/>
              </w:rPr>
            </w:pPr>
            <w:r w:rsidRPr="0054775B">
              <w:t>Unclear</w:t>
            </w:r>
          </w:p>
        </w:tc>
        <w:tc>
          <w:tcPr>
            <w:tcW w:w="1328" w:type="dxa"/>
            <w:shd w:val="clear" w:color="auto" w:fill="auto"/>
          </w:tcPr>
          <w:p w14:paraId="7C2BE149" w14:textId="5B4144B8" w:rsidR="00A751C8" w:rsidRPr="0054775B" w:rsidRDefault="00A751C8" w:rsidP="00D8533C">
            <w:pPr>
              <w:pStyle w:val="2024TABLETEXT"/>
              <w:framePr w:hSpace="0" w:wrap="auto" w:vAnchor="margin" w:yAlign="inline"/>
              <w:suppressOverlap w:val="0"/>
              <w:rPr>
                <w:b/>
                <w:bCs/>
              </w:rPr>
            </w:pPr>
            <w:r w:rsidRPr="0054775B">
              <w:t>Low</w:t>
            </w:r>
          </w:p>
        </w:tc>
        <w:tc>
          <w:tcPr>
            <w:tcW w:w="1326" w:type="dxa"/>
            <w:shd w:val="clear" w:color="auto" w:fill="auto"/>
          </w:tcPr>
          <w:p w14:paraId="3A6EA315" w14:textId="71F637E8" w:rsidR="00A751C8" w:rsidRPr="0054775B" w:rsidRDefault="00A751C8" w:rsidP="00D8533C">
            <w:pPr>
              <w:pStyle w:val="2024TABLETEXT"/>
              <w:framePr w:hSpace="0" w:wrap="auto" w:vAnchor="margin" w:yAlign="inline"/>
              <w:suppressOverlap w:val="0"/>
              <w:rPr>
                <w:b/>
                <w:bCs/>
              </w:rPr>
            </w:pPr>
            <w:r w:rsidRPr="0054775B">
              <w:t>Low</w:t>
            </w:r>
          </w:p>
        </w:tc>
        <w:tc>
          <w:tcPr>
            <w:tcW w:w="1246" w:type="dxa"/>
            <w:shd w:val="clear" w:color="auto" w:fill="auto"/>
          </w:tcPr>
          <w:p w14:paraId="41733651" w14:textId="6DF10545" w:rsidR="00A751C8" w:rsidRPr="0054775B" w:rsidRDefault="00982A5C" w:rsidP="00D8533C">
            <w:pPr>
              <w:pStyle w:val="2024TABLETEXT"/>
              <w:framePr w:hSpace="0" w:wrap="auto" w:vAnchor="margin" w:yAlign="inline"/>
              <w:suppressOverlap w:val="0"/>
              <w:rPr>
                <w:b/>
                <w:bCs/>
              </w:rPr>
            </w:pPr>
            <w:r>
              <w:t>Unclear</w:t>
            </w:r>
            <w:r w:rsidRPr="0054775B">
              <w:t xml:space="preserve"> </w:t>
            </w:r>
            <w:r w:rsidR="00A751C8" w:rsidRPr="0054775B">
              <w:t>risk</w:t>
            </w:r>
          </w:p>
        </w:tc>
      </w:tr>
      <w:tr w:rsidR="0019536C" w:rsidRPr="0054775B" w14:paraId="2A52C4B5" w14:textId="77777777" w:rsidTr="00C00706">
        <w:trPr>
          <w:trHeight w:val="95"/>
        </w:trPr>
        <w:tc>
          <w:tcPr>
            <w:tcW w:w="2263" w:type="dxa"/>
            <w:shd w:val="clear" w:color="auto" w:fill="auto"/>
          </w:tcPr>
          <w:p w14:paraId="5CD9BD34" w14:textId="6CE2835A" w:rsidR="0019536C" w:rsidRPr="0054775B" w:rsidRDefault="0019536C" w:rsidP="00D8533C">
            <w:pPr>
              <w:pStyle w:val="2024TABLETEXT"/>
              <w:framePr w:hSpace="0" w:wrap="auto" w:vAnchor="margin" w:yAlign="inline"/>
              <w:suppressOverlap w:val="0"/>
            </w:pPr>
            <w:r w:rsidRPr="0054775B">
              <w:t>Huertas-Ceballos 2009</w:t>
            </w:r>
          </w:p>
        </w:tc>
        <w:tc>
          <w:tcPr>
            <w:tcW w:w="1418" w:type="dxa"/>
            <w:shd w:val="clear" w:color="auto" w:fill="auto"/>
          </w:tcPr>
          <w:p w14:paraId="283C547A" w14:textId="6CB3EC8C" w:rsidR="0019536C" w:rsidRPr="0054775B" w:rsidRDefault="0019536C" w:rsidP="00D8533C">
            <w:pPr>
              <w:pStyle w:val="2024TABLETEXT"/>
              <w:framePr w:hSpace="0" w:wrap="auto" w:vAnchor="margin" w:yAlign="inline"/>
              <w:suppressOverlap w:val="0"/>
              <w:rPr>
                <w:b/>
                <w:bCs/>
              </w:rPr>
            </w:pPr>
            <w:r w:rsidRPr="0054775B">
              <w:t>Low</w:t>
            </w:r>
          </w:p>
        </w:tc>
        <w:tc>
          <w:tcPr>
            <w:tcW w:w="1435" w:type="dxa"/>
            <w:shd w:val="clear" w:color="auto" w:fill="auto"/>
          </w:tcPr>
          <w:p w14:paraId="2D8184F8" w14:textId="4D86A18F" w:rsidR="0019536C" w:rsidRPr="0054775B" w:rsidRDefault="0019536C" w:rsidP="00D8533C">
            <w:pPr>
              <w:pStyle w:val="2024TABLETEXT"/>
              <w:framePr w:hSpace="0" w:wrap="auto" w:vAnchor="margin" w:yAlign="inline"/>
              <w:suppressOverlap w:val="0"/>
              <w:rPr>
                <w:b/>
                <w:bCs/>
              </w:rPr>
            </w:pPr>
            <w:r w:rsidRPr="0054775B">
              <w:t>Low</w:t>
            </w:r>
          </w:p>
        </w:tc>
        <w:tc>
          <w:tcPr>
            <w:tcW w:w="1328" w:type="dxa"/>
            <w:shd w:val="clear" w:color="auto" w:fill="auto"/>
          </w:tcPr>
          <w:p w14:paraId="5CD6DDDB" w14:textId="40F0B79A" w:rsidR="0019536C" w:rsidRPr="0054775B" w:rsidRDefault="0019536C" w:rsidP="00D8533C">
            <w:pPr>
              <w:pStyle w:val="2024TABLETEXT"/>
              <w:framePr w:hSpace="0" w:wrap="auto" w:vAnchor="margin" w:yAlign="inline"/>
              <w:suppressOverlap w:val="0"/>
              <w:rPr>
                <w:b/>
                <w:bCs/>
              </w:rPr>
            </w:pPr>
            <w:r w:rsidRPr="0054775B">
              <w:t>Low</w:t>
            </w:r>
          </w:p>
        </w:tc>
        <w:tc>
          <w:tcPr>
            <w:tcW w:w="1326" w:type="dxa"/>
            <w:shd w:val="clear" w:color="auto" w:fill="auto"/>
          </w:tcPr>
          <w:p w14:paraId="3A0A0A81" w14:textId="4757425A" w:rsidR="0019536C" w:rsidRPr="0054775B" w:rsidRDefault="00982A5C" w:rsidP="00D8533C">
            <w:pPr>
              <w:pStyle w:val="2024TABLETEXT"/>
              <w:framePr w:hSpace="0" w:wrap="auto" w:vAnchor="margin" w:yAlign="inline"/>
              <w:suppressOverlap w:val="0"/>
              <w:rPr>
                <w:b/>
                <w:bCs/>
              </w:rPr>
            </w:pPr>
            <w:r>
              <w:t>High</w:t>
            </w:r>
          </w:p>
        </w:tc>
        <w:tc>
          <w:tcPr>
            <w:tcW w:w="1246" w:type="dxa"/>
            <w:shd w:val="clear" w:color="auto" w:fill="auto"/>
          </w:tcPr>
          <w:p w14:paraId="2E41B894" w14:textId="12E8DF3E" w:rsidR="0019536C" w:rsidRPr="0054775B" w:rsidRDefault="00982A5C" w:rsidP="00D8533C">
            <w:pPr>
              <w:pStyle w:val="2024TABLETEXT"/>
              <w:framePr w:hSpace="0" w:wrap="auto" w:vAnchor="margin" w:yAlign="inline"/>
              <w:suppressOverlap w:val="0"/>
              <w:rPr>
                <w:b/>
                <w:bCs/>
              </w:rPr>
            </w:pPr>
            <w:r>
              <w:t>High</w:t>
            </w:r>
            <w:r w:rsidRPr="0054775B">
              <w:t xml:space="preserve"> </w:t>
            </w:r>
            <w:r w:rsidR="0019536C" w:rsidRPr="0054775B">
              <w:t>risk</w:t>
            </w:r>
          </w:p>
        </w:tc>
      </w:tr>
      <w:tr w:rsidR="0019536C" w:rsidRPr="0054775B" w14:paraId="73498002" w14:textId="77777777" w:rsidTr="00C00706">
        <w:trPr>
          <w:trHeight w:val="95"/>
        </w:trPr>
        <w:tc>
          <w:tcPr>
            <w:tcW w:w="2263" w:type="dxa"/>
            <w:shd w:val="clear" w:color="auto" w:fill="auto"/>
          </w:tcPr>
          <w:p w14:paraId="468E41EF" w14:textId="48D6073C" w:rsidR="0019536C" w:rsidRPr="0054775B" w:rsidRDefault="0019536C" w:rsidP="00D8533C">
            <w:pPr>
              <w:pStyle w:val="2024TABLETEXT"/>
              <w:framePr w:hSpace="0" w:wrap="auto" w:vAnchor="margin" w:yAlign="inline"/>
              <w:suppressOverlap w:val="0"/>
            </w:pPr>
            <w:r w:rsidRPr="0054775B">
              <w:t>Hungin 2018</w:t>
            </w:r>
          </w:p>
        </w:tc>
        <w:tc>
          <w:tcPr>
            <w:tcW w:w="1418" w:type="dxa"/>
            <w:shd w:val="clear" w:color="auto" w:fill="auto"/>
          </w:tcPr>
          <w:p w14:paraId="5A843B26" w14:textId="2833AA77" w:rsidR="0019536C" w:rsidRPr="0054775B" w:rsidRDefault="0019536C" w:rsidP="00D8533C">
            <w:pPr>
              <w:pStyle w:val="2024TABLETEXT"/>
              <w:framePr w:hSpace="0" w:wrap="auto" w:vAnchor="margin" w:yAlign="inline"/>
              <w:suppressOverlap w:val="0"/>
              <w:rPr>
                <w:b/>
                <w:bCs/>
              </w:rPr>
            </w:pPr>
            <w:r w:rsidRPr="0054775B">
              <w:t>Low</w:t>
            </w:r>
          </w:p>
        </w:tc>
        <w:tc>
          <w:tcPr>
            <w:tcW w:w="1435" w:type="dxa"/>
            <w:shd w:val="clear" w:color="auto" w:fill="auto"/>
          </w:tcPr>
          <w:p w14:paraId="1DDE0C08" w14:textId="5ABDBE51" w:rsidR="0019536C" w:rsidRPr="0054775B" w:rsidRDefault="0019536C" w:rsidP="00D8533C">
            <w:pPr>
              <w:pStyle w:val="2024TABLETEXT"/>
              <w:framePr w:hSpace="0" w:wrap="auto" w:vAnchor="margin" w:yAlign="inline"/>
              <w:suppressOverlap w:val="0"/>
              <w:rPr>
                <w:b/>
                <w:bCs/>
              </w:rPr>
            </w:pPr>
            <w:r w:rsidRPr="0054775B">
              <w:t>Unclear</w:t>
            </w:r>
          </w:p>
        </w:tc>
        <w:tc>
          <w:tcPr>
            <w:tcW w:w="1328" w:type="dxa"/>
            <w:shd w:val="clear" w:color="auto" w:fill="auto"/>
          </w:tcPr>
          <w:p w14:paraId="6A803F9B" w14:textId="09D2244C" w:rsidR="0019536C" w:rsidRPr="0054775B" w:rsidRDefault="0019536C" w:rsidP="00D8533C">
            <w:pPr>
              <w:pStyle w:val="2024TABLETEXT"/>
              <w:framePr w:hSpace="0" w:wrap="auto" w:vAnchor="margin" w:yAlign="inline"/>
              <w:suppressOverlap w:val="0"/>
              <w:rPr>
                <w:b/>
                <w:bCs/>
              </w:rPr>
            </w:pPr>
            <w:r w:rsidRPr="0054775B">
              <w:t>Unclear</w:t>
            </w:r>
          </w:p>
        </w:tc>
        <w:tc>
          <w:tcPr>
            <w:tcW w:w="1326" w:type="dxa"/>
            <w:shd w:val="clear" w:color="auto" w:fill="auto"/>
          </w:tcPr>
          <w:p w14:paraId="5515200F" w14:textId="6467742E" w:rsidR="0019536C" w:rsidRPr="0054775B" w:rsidRDefault="00DD39AD" w:rsidP="00D8533C">
            <w:pPr>
              <w:pStyle w:val="2024TABLETEXT"/>
              <w:framePr w:hSpace="0" w:wrap="auto" w:vAnchor="margin" w:yAlign="inline"/>
              <w:suppressOverlap w:val="0"/>
              <w:rPr>
                <w:b/>
                <w:bCs/>
              </w:rPr>
            </w:pPr>
            <w:r>
              <w:t>High</w:t>
            </w:r>
          </w:p>
        </w:tc>
        <w:tc>
          <w:tcPr>
            <w:tcW w:w="1246" w:type="dxa"/>
            <w:shd w:val="clear" w:color="auto" w:fill="auto"/>
          </w:tcPr>
          <w:p w14:paraId="267BB7DE" w14:textId="342A988A" w:rsidR="0019536C" w:rsidRPr="0054775B" w:rsidRDefault="00DD39AD" w:rsidP="00D8533C">
            <w:pPr>
              <w:pStyle w:val="2024TABLETEXT"/>
              <w:framePr w:hSpace="0" w:wrap="auto" w:vAnchor="margin" w:yAlign="inline"/>
              <w:suppressOverlap w:val="0"/>
              <w:rPr>
                <w:b/>
                <w:bCs/>
              </w:rPr>
            </w:pPr>
            <w:r>
              <w:t>High</w:t>
            </w:r>
            <w:r w:rsidRPr="0054775B">
              <w:t xml:space="preserve"> </w:t>
            </w:r>
            <w:r w:rsidR="0019536C" w:rsidRPr="0054775B">
              <w:t>risk</w:t>
            </w:r>
          </w:p>
        </w:tc>
      </w:tr>
      <w:tr w:rsidR="0019536C" w:rsidRPr="0054775B" w14:paraId="045DBB4B" w14:textId="77777777" w:rsidTr="00C00706">
        <w:trPr>
          <w:trHeight w:val="95"/>
        </w:trPr>
        <w:tc>
          <w:tcPr>
            <w:tcW w:w="2263" w:type="dxa"/>
            <w:shd w:val="clear" w:color="auto" w:fill="auto"/>
          </w:tcPr>
          <w:p w14:paraId="1805ADCF" w14:textId="55E06615" w:rsidR="0019536C" w:rsidRPr="0054775B" w:rsidRDefault="0019536C" w:rsidP="00D8533C">
            <w:pPr>
              <w:pStyle w:val="2024TABLETEXT"/>
              <w:framePr w:hSpace="0" w:wrap="auto" w:vAnchor="margin" w:yAlign="inline"/>
              <w:suppressOverlap w:val="0"/>
            </w:pPr>
            <w:r w:rsidRPr="0054775B">
              <w:t>Konstantis 2023</w:t>
            </w:r>
          </w:p>
        </w:tc>
        <w:tc>
          <w:tcPr>
            <w:tcW w:w="1418" w:type="dxa"/>
            <w:shd w:val="clear" w:color="auto" w:fill="auto"/>
          </w:tcPr>
          <w:p w14:paraId="2CE990C7" w14:textId="0B75D401" w:rsidR="0019536C" w:rsidRPr="0054775B" w:rsidRDefault="0019536C" w:rsidP="00D8533C">
            <w:pPr>
              <w:pStyle w:val="2024TABLETEXT"/>
              <w:framePr w:hSpace="0" w:wrap="auto" w:vAnchor="margin" w:yAlign="inline"/>
              <w:suppressOverlap w:val="0"/>
              <w:rPr>
                <w:b/>
                <w:bCs/>
              </w:rPr>
            </w:pPr>
            <w:r w:rsidRPr="0054775B">
              <w:t>Low</w:t>
            </w:r>
          </w:p>
        </w:tc>
        <w:tc>
          <w:tcPr>
            <w:tcW w:w="1435" w:type="dxa"/>
            <w:shd w:val="clear" w:color="auto" w:fill="auto"/>
          </w:tcPr>
          <w:p w14:paraId="1763ED13" w14:textId="4252E4E2" w:rsidR="0019536C" w:rsidRPr="0054775B" w:rsidRDefault="0019536C" w:rsidP="00D8533C">
            <w:pPr>
              <w:pStyle w:val="2024TABLETEXT"/>
              <w:framePr w:hSpace="0" w:wrap="auto" w:vAnchor="margin" w:yAlign="inline"/>
              <w:suppressOverlap w:val="0"/>
              <w:rPr>
                <w:b/>
                <w:bCs/>
              </w:rPr>
            </w:pPr>
            <w:r w:rsidRPr="0054775B">
              <w:t>Low</w:t>
            </w:r>
          </w:p>
        </w:tc>
        <w:tc>
          <w:tcPr>
            <w:tcW w:w="1328" w:type="dxa"/>
            <w:shd w:val="clear" w:color="auto" w:fill="auto"/>
          </w:tcPr>
          <w:p w14:paraId="6F8AB004" w14:textId="012386A0" w:rsidR="0019536C" w:rsidRPr="0054775B" w:rsidRDefault="0019536C" w:rsidP="00D8533C">
            <w:pPr>
              <w:pStyle w:val="2024TABLETEXT"/>
              <w:framePr w:hSpace="0" w:wrap="auto" w:vAnchor="margin" w:yAlign="inline"/>
              <w:suppressOverlap w:val="0"/>
              <w:rPr>
                <w:b/>
                <w:bCs/>
              </w:rPr>
            </w:pPr>
            <w:r w:rsidRPr="0054775B">
              <w:t>Low</w:t>
            </w:r>
          </w:p>
        </w:tc>
        <w:tc>
          <w:tcPr>
            <w:tcW w:w="1326" w:type="dxa"/>
            <w:shd w:val="clear" w:color="auto" w:fill="auto"/>
          </w:tcPr>
          <w:p w14:paraId="368F798C" w14:textId="4AF05768" w:rsidR="0019536C" w:rsidRPr="0054775B" w:rsidRDefault="0019536C" w:rsidP="00D8533C">
            <w:pPr>
              <w:pStyle w:val="2024TABLETEXT"/>
              <w:framePr w:hSpace="0" w:wrap="auto" w:vAnchor="margin" w:yAlign="inline"/>
              <w:suppressOverlap w:val="0"/>
              <w:rPr>
                <w:b/>
                <w:bCs/>
              </w:rPr>
            </w:pPr>
            <w:r w:rsidRPr="0054775B">
              <w:t>Low</w:t>
            </w:r>
          </w:p>
        </w:tc>
        <w:tc>
          <w:tcPr>
            <w:tcW w:w="1246" w:type="dxa"/>
            <w:shd w:val="clear" w:color="auto" w:fill="auto"/>
          </w:tcPr>
          <w:p w14:paraId="3936BF82" w14:textId="0155FBDD" w:rsidR="0019536C" w:rsidRPr="0054775B" w:rsidRDefault="0019536C" w:rsidP="00D8533C">
            <w:pPr>
              <w:pStyle w:val="2024TABLETEXT"/>
              <w:framePr w:hSpace="0" w:wrap="auto" w:vAnchor="margin" w:yAlign="inline"/>
              <w:suppressOverlap w:val="0"/>
              <w:rPr>
                <w:b/>
                <w:bCs/>
              </w:rPr>
            </w:pPr>
            <w:r w:rsidRPr="0054775B">
              <w:t>Low risk</w:t>
            </w:r>
          </w:p>
        </w:tc>
      </w:tr>
      <w:tr w:rsidR="0019536C" w:rsidRPr="0054775B" w14:paraId="2C583F9D" w14:textId="77777777" w:rsidTr="00C00706">
        <w:trPr>
          <w:trHeight w:val="95"/>
        </w:trPr>
        <w:tc>
          <w:tcPr>
            <w:tcW w:w="2263" w:type="dxa"/>
            <w:shd w:val="clear" w:color="auto" w:fill="auto"/>
          </w:tcPr>
          <w:p w14:paraId="7E8F917E" w14:textId="1CB912F1" w:rsidR="0019536C" w:rsidRPr="0054775B" w:rsidRDefault="0019536C" w:rsidP="00D8533C">
            <w:pPr>
              <w:pStyle w:val="2024TABLETEXT"/>
              <w:framePr w:hSpace="0" w:wrap="auto" w:vAnchor="margin" w:yAlign="inline"/>
              <w:suppressOverlap w:val="0"/>
            </w:pPr>
            <w:r w:rsidRPr="0054775B">
              <w:t>Korterink 2014</w:t>
            </w:r>
          </w:p>
        </w:tc>
        <w:tc>
          <w:tcPr>
            <w:tcW w:w="1418" w:type="dxa"/>
            <w:shd w:val="clear" w:color="auto" w:fill="auto"/>
          </w:tcPr>
          <w:p w14:paraId="64CD786C" w14:textId="52FE157C" w:rsidR="0019536C" w:rsidRPr="0054775B" w:rsidRDefault="0019536C" w:rsidP="00D8533C">
            <w:pPr>
              <w:pStyle w:val="2024TABLETEXT"/>
              <w:framePr w:hSpace="0" w:wrap="auto" w:vAnchor="margin" w:yAlign="inline"/>
              <w:suppressOverlap w:val="0"/>
              <w:rPr>
                <w:b/>
                <w:bCs/>
              </w:rPr>
            </w:pPr>
            <w:r w:rsidRPr="0054775B">
              <w:t>Low</w:t>
            </w:r>
          </w:p>
        </w:tc>
        <w:tc>
          <w:tcPr>
            <w:tcW w:w="1435" w:type="dxa"/>
            <w:shd w:val="clear" w:color="auto" w:fill="auto"/>
          </w:tcPr>
          <w:p w14:paraId="3991A56C" w14:textId="788B0F6F" w:rsidR="0019536C" w:rsidRPr="0054775B" w:rsidRDefault="0019536C" w:rsidP="00D8533C">
            <w:pPr>
              <w:pStyle w:val="2024TABLETEXT"/>
              <w:framePr w:hSpace="0" w:wrap="auto" w:vAnchor="margin" w:yAlign="inline"/>
              <w:suppressOverlap w:val="0"/>
              <w:rPr>
                <w:b/>
                <w:bCs/>
              </w:rPr>
            </w:pPr>
            <w:r w:rsidRPr="0054775B">
              <w:t>Low</w:t>
            </w:r>
          </w:p>
        </w:tc>
        <w:tc>
          <w:tcPr>
            <w:tcW w:w="1328" w:type="dxa"/>
            <w:shd w:val="clear" w:color="auto" w:fill="auto"/>
          </w:tcPr>
          <w:p w14:paraId="2383E013" w14:textId="09DC09EB" w:rsidR="0019536C" w:rsidRPr="0054775B" w:rsidRDefault="0019536C" w:rsidP="00D8533C">
            <w:pPr>
              <w:pStyle w:val="2024TABLETEXT"/>
              <w:framePr w:hSpace="0" w:wrap="auto" w:vAnchor="margin" w:yAlign="inline"/>
              <w:suppressOverlap w:val="0"/>
              <w:rPr>
                <w:b/>
                <w:bCs/>
              </w:rPr>
            </w:pPr>
            <w:r w:rsidRPr="0054775B">
              <w:t>Low</w:t>
            </w:r>
          </w:p>
        </w:tc>
        <w:tc>
          <w:tcPr>
            <w:tcW w:w="1326" w:type="dxa"/>
            <w:shd w:val="clear" w:color="auto" w:fill="auto"/>
          </w:tcPr>
          <w:p w14:paraId="15380974" w14:textId="6B9E724C" w:rsidR="0019536C" w:rsidRPr="0054775B" w:rsidRDefault="00DD39AD" w:rsidP="00D8533C">
            <w:pPr>
              <w:pStyle w:val="2024TABLETEXT"/>
              <w:framePr w:hSpace="0" w:wrap="auto" w:vAnchor="margin" w:yAlign="inline"/>
              <w:suppressOverlap w:val="0"/>
              <w:rPr>
                <w:b/>
                <w:bCs/>
              </w:rPr>
            </w:pPr>
            <w:r>
              <w:t>High</w:t>
            </w:r>
          </w:p>
        </w:tc>
        <w:tc>
          <w:tcPr>
            <w:tcW w:w="1246" w:type="dxa"/>
            <w:shd w:val="clear" w:color="auto" w:fill="auto"/>
          </w:tcPr>
          <w:p w14:paraId="21CF64BC" w14:textId="1DF4DDD1" w:rsidR="0019536C" w:rsidRPr="0054775B" w:rsidRDefault="00DD39AD" w:rsidP="00D8533C">
            <w:pPr>
              <w:pStyle w:val="2024TABLETEXT"/>
              <w:framePr w:hSpace="0" w:wrap="auto" w:vAnchor="margin" w:yAlign="inline"/>
              <w:suppressOverlap w:val="0"/>
              <w:rPr>
                <w:b/>
                <w:bCs/>
              </w:rPr>
            </w:pPr>
            <w:r>
              <w:t>High</w:t>
            </w:r>
            <w:r w:rsidRPr="0054775B">
              <w:t xml:space="preserve"> </w:t>
            </w:r>
            <w:r w:rsidR="0019536C" w:rsidRPr="0054775B">
              <w:t>risk</w:t>
            </w:r>
          </w:p>
        </w:tc>
      </w:tr>
      <w:tr w:rsidR="00D05C46" w:rsidRPr="0054775B" w14:paraId="3B1841D6" w14:textId="77777777" w:rsidTr="00C00706">
        <w:trPr>
          <w:trHeight w:val="95"/>
        </w:trPr>
        <w:tc>
          <w:tcPr>
            <w:tcW w:w="2263" w:type="dxa"/>
            <w:shd w:val="clear" w:color="auto" w:fill="auto"/>
          </w:tcPr>
          <w:p w14:paraId="21D34080" w14:textId="24C565E6" w:rsidR="00D05C46" w:rsidRPr="0054775B" w:rsidRDefault="00D05C46" w:rsidP="00D05C46">
            <w:pPr>
              <w:pStyle w:val="2024TABLETEXT"/>
              <w:framePr w:hSpace="0" w:wrap="auto" w:vAnchor="margin" w:yAlign="inline"/>
              <w:suppressOverlap w:val="0"/>
            </w:pPr>
            <w:r w:rsidRPr="0054775B">
              <w:t>Le Morvan 2021</w:t>
            </w:r>
          </w:p>
        </w:tc>
        <w:tc>
          <w:tcPr>
            <w:tcW w:w="1418" w:type="dxa"/>
            <w:shd w:val="clear" w:color="auto" w:fill="auto"/>
          </w:tcPr>
          <w:p w14:paraId="405E3801" w14:textId="71762CB2" w:rsidR="00D05C46" w:rsidRPr="0054775B" w:rsidRDefault="00D05C46" w:rsidP="00D05C46">
            <w:pPr>
              <w:pStyle w:val="2024TABLETEXT"/>
              <w:framePr w:hSpace="0" w:wrap="auto" w:vAnchor="margin" w:yAlign="inline"/>
              <w:suppressOverlap w:val="0"/>
              <w:rPr>
                <w:b/>
                <w:bCs/>
              </w:rPr>
            </w:pPr>
            <w:r w:rsidRPr="0054775B">
              <w:t>Low</w:t>
            </w:r>
          </w:p>
        </w:tc>
        <w:tc>
          <w:tcPr>
            <w:tcW w:w="1435" w:type="dxa"/>
            <w:shd w:val="clear" w:color="auto" w:fill="auto"/>
          </w:tcPr>
          <w:p w14:paraId="79975F78" w14:textId="030B2DEB" w:rsidR="00D05C46" w:rsidRPr="0054775B" w:rsidRDefault="00D05C46" w:rsidP="00D05C46">
            <w:pPr>
              <w:pStyle w:val="2024TABLETEXT"/>
              <w:framePr w:hSpace="0" w:wrap="auto" w:vAnchor="margin" w:yAlign="inline"/>
              <w:suppressOverlap w:val="0"/>
              <w:rPr>
                <w:b/>
                <w:bCs/>
              </w:rPr>
            </w:pPr>
            <w:r w:rsidRPr="0054775B">
              <w:t>Low</w:t>
            </w:r>
          </w:p>
        </w:tc>
        <w:tc>
          <w:tcPr>
            <w:tcW w:w="1328" w:type="dxa"/>
            <w:shd w:val="clear" w:color="auto" w:fill="auto"/>
          </w:tcPr>
          <w:p w14:paraId="3F366805" w14:textId="4FA9C97F" w:rsidR="00D05C46" w:rsidRPr="0054775B" w:rsidRDefault="00D05C46" w:rsidP="00D05C46">
            <w:pPr>
              <w:pStyle w:val="2024TABLETEXT"/>
              <w:framePr w:hSpace="0" w:wrap="auto" w:vAnchor="margin" w:yAlign="inline"/>
              <w:suppressOverlap w:val="0"/>
              <w:rPr>
                <w:b/>
                <w:bCs/>
              </w:rPr>
            </w:pPr>
            <w:r w:rsidRPr="0054775B">
              <w:t>Unclear</w:t>
            </w:r>
          </w:p>
        </w:tc>
        <w:tc>
          <w:tcPr>
            <w:tcW w:w="1326" w:type="dxa"/>
            <w:shd w:val="clear" w:color="auto" w:fill="auto"/>
          </w:tcPr>
          <w:p w14:paraId="2541512C" w14:textId="330EE675" w:rsidR="00D05C46" w:rsidRPr="0054775B" w:rsidRDefault="00DD39AD" w:rsidP="00D05C46">
            <w:pPr>
              <w:pStyle w:val="2024TABLETEXT"/>
              <w:framePr w:hSpace="0" w:wrap="auto" w:vAnchor="margin" w:yAlign="inline"/>
              <w:suppressOverlap w:val="0"/>
              <w:rPr>
                <w:b/>
                <w:bCs/>
              </w:rPr>
            </w:pPr>
            <w:r>
              <w:t>Unclear</w:t>
            </w:r>
          </w:p>
        </w:tc>
        <w:tc>
          <w:tcPr>
            <w:tcW w:w="1246" w:type="dxa"/>
            <w:shd w:val="clear" w:color="auto" w:fill="auto"/>
          </w:tcPr>
          <w:p w14:paraId="55D3D827" w14:textId="15073A61" w:rsidR="00D05C46" w:rsidRPr="0054775B" w:rsidRDefault="00DD39AD" w:rsidP="00D05C46">
            <w:pPr>
              <w:pStyle w:val="2024TABLETEXT"/>
              <w:framePr w:hSpace="0" w:wrap="auto" w:vAnchor="margin" w:yAlign="inline"/>
              <w:suppressOverlap w:val="0"/>
              <w:rPr>
                <w:b/>
                <w:bCs/>
              </w:rPr>
            </w:pPr>
            <w:r>
              <w:t>Unclear</w:t>
            </w:r>
            <w:r w:rsidRPr="0054775B">
              <w:t xml:space="preserve"> </w:t>
            </w:r>
            <w:r w:rsidR="00D05C46" w:rsidRPr="0054775B">
              <w:t>risk</w:t>
            </w:r>
          </w:p>
        </w:tc>
      </w:tr>
      <w:tr w:rsidR="00F81084" w:rsidRPr="0054775B" w14:paraId="40B4D267" w14:textId="77777777" w:rsidTr="00C00706">
        <w:trPr>
          <w:trHeight w:val="95"/>
        </w:trPr>
        <w:tc>
          <w:tcPr>
            <w:tcW w:w="2263" w:type="dxa"/>
            <w:shd w:val="clear" w:color="auto" w:fill="auto"/>
          </w:tcPr>
          <w:p w14:paraId="385B0B1E" w14:textId="58ADEA1C" w:rsidR="00F81084" w:rsidRPr="0054775B" w:rsidRDefault="00F81084" w:rsidP="00D8533C">
            <w:pPr>
              <w:pStyle w:val="2024TABLETEXT"/>
              <w:framePr w:hSpace="0" w:wrap="auto" w:vAnchor="margin" w:yAlign="inline"/>
              <w:suppressOverlap w:val="0"/>
            </w:pPr>
            <w:r w:rsidRPr="0054775B">
              <w:t>Li 2020</w:t>
            </w:r>
          </w:p>
        </w:tc>
        <w:tc>
          <w:tcPr>
            <w:tcW w:w="1418" w:type="dxa"/>
            <w:shd w:val="clear" w:color="auto" w:fill="auto"/>
          </w:tcPr>
          <w:p w14:paraId="17C65365" w14:textId="2D76F2EE" w:rsidR="00F81084" w:rsidRPr="0054775B" w:rsidRDefault="00F81084" w:rsidP="00D8533C">
            <w:pPr>
              <w:pStyle w:val="2024TABLETEXT"/>
              <w:framePr w:hSpace="0" w:wrap="auto" w:vAnchor="margin" w:yAlign="inline"/>
              <w:suppressOverlap w:val="0"/>
              <w:rPr>
                <w:b/>
                <w:bCs/>
              </w:rPr>
            </w:pPr>
            <w:r w:rsidRPr="0054775B">
              <w:t>Low</w:t>
            </w:r>
          </w:p>
        </w:tc>
        <w:tc>
          <w:tcPr>
            <w:tcW w:w="1435" w:type="dxa"/>
            <w:shd w:val="clear" w:color="auto" w:fill="auto"/>
          </w:tcPr>
          <w:p w14:paraId="2E7A06D6" w14:textId="4CE8C346" w:rsidR="00F81084" w:rsidRPr="0054775B" w:rsidRDefault="00E41E23" w:rsidP="00D8533C">
            <w:pPr>
              <w:pStyle w:val="2024TABLETEXT"/>
              <w:framePr w:hSpace="0" w:wrap="auto" w:vAnchor="margin" w:yAlign="inline"/>
              <w:suppressOverlap w:val="0"/>
              <w:rPr>
                <w:b/>
                <w:bCs/>
              </w:rPr>
            </w:pPr>
            <w:r>
              <w:t>Unclear</w:t>
            </w:r>
          </w:p>
        </w:tc>
        <w:tc>
          <w:tcPr>
            <w:tcW w:w="1328" w:type="dxa"/>
            <w:shd w:val="clear" w:color="auto" w:fill="auto"/>
          </w:tcPr>
          <w:p w14:paraId="1A64FB9D" w14:textId="3EF421F1" w:rsidR="00F81084" w:rsidRPr="0054775B" w:rsidRDefault="00F81084" w:rsidP="00D8533C">
            <w:pPr>
              <w:pStyle w:val="2024TABLETEXT"/>
              <w:framePr w:hSpace="0" w:wrap="auto" w:vAnchor="margin" w:yAlign="inline"/>
              <w:suppressOverlap w:val="0"/>
              <w:rPr>
                <w:b/>
                <w:bCs/>
              </w:rPr>
            </w:pPr>
            <w:r w:rsidRPr="0054775B">
              <w:t>Low</w:t>
            </w:r>
          </w:p>
        </w:tc>
        <w:tc>
          <w:tcPr>
            <w:tcW w:w="1326" w:type="dxa"/>
            <w:shd w:val="clear" w:color="auto" w:fill="auto"/>
          </w:tcPr>
          <w:p w14:paraId="2F156E88" w14:textId="36C6E21C" w:rsidR="00F81084" w:rsidRPr="0054775B" w:rsidRDefault="00F81084" w:rsidP="00D8533C">
            <w:pPr>
              <w:pStyle w:val="2024TABLETEXT"/>
              <w:framePr w:hSpace="0" w:wrap="auto" w:vAnchor="margin" w:yAlign="inline"/>
              <w:suppressOverlap w:val="0"/>
              <w:rPr>
                <w:b/>
                <w:bCs/>
              </w:rPr>
            </w:pPr>
            <w:r w:rsidRPr="0054775B">
              <w:t>Low</w:t>
            </w:r>
          </w:p>
        </w:tc>
        <w:tc>
          <w:tcPr>
            <w:tcW w:w="1246" w:type="dxa"/>
            <w:shd w:val="clear" w:color="auto" w:fill="auto"/>
          </w:tcPr>
          <w:p w14:paraId="643E2F98" w14:textId="06DD118F" w:rsidR="00F81084" w:rsidRPr="0054775B" w:rsidRDefault="00F81084" w:rsidP="00D8533C">
            <w:pPr>
              <w:pStyle w:val="2024TABLETEXT"/>
              <w:framePr w:hSpace="0" w:wrap="auto" w:vAnchor="margin" w:yAlign="inline"/>
              <w:suppressOverlap w:val="0"/>
              <w:rPr>
                <w:b/>
                <w:bCs/>
              </w:rPr>
            </w:pPr>
            <w:r w:rsidRPr="0054775B">
              <w:t>Low risk</w:t>
            </w:r>
          </w:p>
        </w:tc>
      </w:tr>
      <w:tr w:rsidR="00F81084" w:rsidRPr="0054775B" w14:paraId="73DC39A8" w14:textId="77777777" w:rsidTr="00C00706">
        <w:trPr>
          <w:trHeight w:val="95"/>
        </w:trPr>
        <w:tc>
          <w:tcPr>
            <w:tcW w:w="2263" w:type="dxa"/>
            <w:shd w:val="clear" w:color="auto" w:fill="auto"/>
          </w:tcPr>
          <w:p w14:paraId="1AA0257F" w14:textId="22FB1DC0" w:rsidR="00F81084" w:rsidRPr="0054775B" w:rsidRDefault="00F81084" w:rsidP="00D8533C">
            <w:pPr>
              <w:pStyle w:val="2024TABLETEXT"/>
              <w:framePr w:hSpace="0" w:wrap="auto" w:vAnchor="margin" w:yAlign="inline"/>
              <w:suppressOverlap w:val="0"/>
            </w:pPr>
            <w:r w:rsidRPr="0054775B">
              <w:t>Liang 2019</w:t>
            </w:r>
          </w:p>
        </w:tc>
        <w:tc>
          <w:tcPr>
            <w:tcW w:w="1418" w:type="dxa"/>
            <w:shd w:val="clear" w:color="auto" w:fill="auto"/>
          </w:tcPr>
          <w:p w14:paraId="0CCB35FB" w14:textId="69F75611" w:rsidR="00F81084" w:rsidRPr="0054775B" w:rsidRDefault="00F81084" w:rsidP="00D8533C">
            <w:pPr>
              <w:pStyle w:val="2024TABLETEXT"/>
              <w:framePr w:hSpace="0" w:wrap="auto" w:vAnchor="margin" w:yAlign="inline"/>
              <w:suppressOverlap w:val="0"/>
              <w:rPr>
                <w:b/>
                <w:bCs/>
              </w:rPr>
            </w:pPr>
            <w:r w:rsidRPr="0054775B">
              <w:t>Low</w:t>
            </w:r>
          </w:p>
        </w:tc>
        <w:tc>
          <w:tcPr>
            <w:tcW w:w="1435" w:type="dxa"/>
            <w:shd w:val="clear" w:color="auto" w:fill="auto"/>
          </w:tcPr>
          <w:p w14:paraId="6AE2A48A" w14:textId="0F919990" w:rsidR="00F81084" w:rsidRPr="0054775B" w:rsidRDefault="00E41E23" w:rsidP="00D8533C">
            <w:pPr>
              <w:pStyle w:val="2024TABLETEXT"/>
              <w:framePr w:hSpace="0" w:wrap="auto" w:vAnchor="margin" w:yAlign="inline"/>
              <w:suppressOverlap w:val="0"/>
              <w:rPr>
                <w:b/>
                <w:bCs/>
              </w:rPr>
            </w:pPr>
            <w:r>
              <w:t>Unclear</w:t>
            </w:r>
          </w:p>
        </w:tc>
        <w:tc>
          <w:tcPr>
            <w:tcW w:w="1328" w:type="dxa"/>
            <w:shd w:val="clear" w:color="auto" w:fill="auto"/>
          </w:tcPr>
          <w:p w14:paraId="13CF317B" w14:textId="3248CA4E" w:rsidR="00F81084" w:rsidRPr="0054775B" w:rsidRDefault="00F81084" w:rsidP="00D8533C">
            <w:pPr>
              <w:pStyle w:val="2024TABLETEXT"/>
              <w:framePr w:hSpace="0" w:wrap="auto" w:vAnchor="margin" w:yAlign="inline"/>
              <w:suppressOverlap w:val="0"/>
              <w:rPr>
                <w:b/>
                <w:bCs/>
              </w:rPr>
            </w:pPr>
            <w:r w:rsidRPr="0054775B">
              <w:t>Low</w:t>
            </w:r>
          </w:p>
        </w:tc>
        <w:tc>
          <w:tcPr>
            <w:tcW w:w="1326" w:type="dxa"/>
            <w:shd w:val="clear" w:color="auto" w:fill="auto"/>
          </w:tcPr>
          <w:p w14:paraId="0EA9EC04" w14:textId="2D85E06A" w:rsidR="00F81084" w:rsidRPr="0054775B" w:rsidRDefault="00F81084" w:rsidP="00D8533C">
            <w:pPr>
              <w:pStyle w:val="2024TABLETEXT"/>
              <w:framePr w:hSpace="0" w:wrap="auto" w:vAnchor="margin" w:yAlign="inline"/>
              <w:suppressOverlap w:val="0"/>
              <w:rPr>
                <w:b/>
                <w:bCs/>
              </w:rPr>
            </w:pPr>
            <w:r w:rsidRPr="0054775B">
              <w:t>Low</w:t>
            </w:r>
          </w:p>
        </w:tc>
        <w:tc>
          <w:tcPr>
            <w:tcW w:w="1246" w:type="dxa"/>
            <w:shd w:val="clear" w:color="auto" w:fill="auto"/>
          </w:tcPr>
          <w:p w14:paraId="27D00F00" w14:textId="03FF0054" w:rsidR="00F81084" w:rsidRPr="0054775B" w:rsidRDefault="00F81084" w:rsidP="00D8533C">
            <w:pPr>
              <w:pStyle w:val="2024TABLETEXT"/>
              <w:framePr w:hSpace="0" w:wrap="auto" w:vAnchor="margin" w:yAlign="inline"/>
              <w:suppressOverlap w:val="0"/>
              <w:rPr>
                <w:b/>
                <w:bCs/>
              </w:rPr>
            </w:pPr>
            <w:r w:rsidRPr="0054775B">
              <w:t>Low risk</w:t>
            </w:r>
          </w:p>
        </w:tc>
      </w:tr>
      <w:tr w:rsidR="00F81084" w:rsidRPr="0054775B" w14:paraId="1FE573B5" w14:textId="77777777" w:rsidTr="00C00706">
        <w:trPr>
          <w:trHeight w:val="95"/>
        </w:trPr>
        <w:tc>
          <w:tcPr>
            <w:tcW w:w="2263" w:type="dxa"/>
            <w:shd w:val="clear" w:color="auto" w:fill="auto"/>
          </w:tcPr>
          <w:p w14:paraId="218BE7BB" w14:textId="16B1169C" w:rsidR="00F81084" w:rsidRPr="0054775B" w:rsidRDefault="00F81084" w:rsidP="00D8533C">
            <w:pPr>
              <w:pStyle w:val="2024TABLETEXT"/>
              <w:framePr w:hSpace="0" w:wrap="auto" w:vAnchor="margin" w:yAlign="inline"/>
              <w:suppressOverlap w:val="0"/>
            </w:pPr>
            <w:r w:rsidRPr="0054775B">
              <w:t>McFarland 2008</w:t>
            </w:r>
          </w:p>
        </w:tc>
        <w:tc>
          <w:tcPr>
            <w:tcW w:w="1418" w:type="dxa"/>
            <w:shd w:val="clear" w:color="auto" w:fill="auto"/>
          </w:tcPr>
          <w:p w14:paraId="0F45B366" w14:textId="68BC445F" w:rsidR="00F81084" w:rsidRPr="0054775B" w:rsidRDefault="00F81084" w:rsidP="00D8533C">
            <w:pPr>
              <w:pStyle w:val="2024TABLETEXT"/>
              <w:framePr w:hSpace="0" w:wrap="auto" w:vAnchor="margin" w:yAlign="inline"/>
              <w:suppressOverlap w:val="0"/>
              <w:rPr>
                <w:b/>
                <w:bCs/>
              </w:rPr>
            </w:pPr>
            <w:r w:rsidRPr="0054775B">
              <w:t>Low</w:t>
            </w:r>
          </w:p>
        </w:tc>
        <w:tc>
          <w:tcPr>
            <w:tcW w:w="1435" w:type="dxa"/>
            <w:shd w:val="clear" w:color="auto" w:fill="auto"/>
          </w:tcPr>
          <w:p w14:paraId="000007F5" w14:textId="1997D0A6" w:rsidR="00F81084" w:rsidRPr="0054775B" w:rsidRDefault="00F81084" w:rsidP="00D8533C">
            <w:pPr>
              <w:pStyle w:val="2024TABLETEXT"/>
              <w:framePr w:hSpace="0" w:wrap="auto" w:vAnchor="margin" w:yAlign="inline"/>
              <w:suppressOverlap w:val="0"/>
              <w:rPr>
                <w:b/>
                <w:bCs/>
              </w:rPr>
            </w:pPr>
            <w:r w:rsidRPr="0054775B">
              <w:t>Low</w:t>
            </w:r>
          </w:p>
        </w:tc>
        <w:tc>
          <w:tcPr>
            <w:tcW w:w="1328" w:type="dxa"/>
            <w:shd w:val="clear" w:color="auto" w:fill="auto"/>
          </w:tcPr>
          <w:p w14:paraId="1C3DE273" w14:textId="702C2580" w:rsidR="00F81084" w:rsidRPr="0054775B" w:rsidRDefault="00F81084" w:rsidP="00D8533C">
            <w:pPr>
              <w:pStyle w:val="2024TABLETEXT"/>
              <w:framePr w:hSpace="0" w:wrap="auto" w:vAnchor="margin" w:yAlign="inline"/>
              <w:suppressOverlap w:val="0"/>
              <w:rPr>
                <w:b/>
                <w:bCs/>
              </w:rPr>
            </w:pPr>
            <w:r w:rsidRPr="0054775B">
              <w:t>Low</w:t>
            </w:r>
          </w:p>
        </w:tc>
        <w:tc>
          <w:tcPr>
            <w:tcW w:w="1326" w:type="dxa"/>
            <w:shd w:val="clear" w:color="auto" w:fill="auto"/>
          </w:tcPr>
          <w:p w14:paraId="0D252236" w14:textId="68A79E5A" w:rsidR="00F81084" w:rsidRPr="0054775B" w:rsidRDefault="00F81084" w:rsidP="00D8533C">
            <w:pPr>
              <w:pStyle w:val="2024TABLETEXT"/>
              <w:framePr w:hSpace="0" w:wrap="auto" w:vAnchor="margin" w:yAlign="inline"/>
              <w:suppressOverlap w:val="0"/>
              <w:rPr>
                <w:b/>
                <w:bCs/>
              </w:rPr>
            </w:pPr>
            <w:r w:rsidRPr="0054775B">
              <w:t>Low</w:t>
            </w:r>
          </w:p>
        </w:tc>
        <w:tc>
          <w:tcPr>
            <w:tcW w:w="1246" w:type="dxa"/>
            <w:shd w:val="clear" w:color="auto" w:fill="auto"/>
          </w:tcPr>
          <w:p w14:paraId="649E1701" w14:textId="0172D078" w:rsidR="00F81084" w:rsidRPr="0054775B" w:rsidRDefault="00F81084" w:rsidP="00D8533C">
            <w:pPr>
              <w:pStyle w:val="2024TABLETEXT"/>
              <w:framePr w:hSpace="0" w:wrap="auto" w:vAnchor="margin" w:yAlign="inline"/>
              <w:suppressOverlap w:val="0"/>
              <w:rPr>
                <w:b/>
                <w:bCs/>
              </w:rPr>
            </w:pPr>
            <w:r w:rsidRPr="0054775B">
              <w:t>Low risk</w:t>
            </w:r>
          </w:p>
        </w:tc>
      </w:tr>
      <w:tr w:rsidR="00093C2E" w:rsidRPr="0054775B" w14:paraId="0BE402CD" w14:textId="77777777" w:rsidTr="00C00706">
        <w:trPr>
          <w:trHeight w:val="95"/>
        </w:trPr>
        <w:tc>
          <w:tcPr>
            <w:tcW w:w="2263" w:type="dxa"/>
            <w:shd w:val="clear" w:color="auto" w:fill="auto"/>
          </w:tcPr>
          <w:p w14:paraId="0DEB9688" w14:textId="22BD1991" w:rsidR="00093C2E" w:rsidRPr="0054775B" w:rsidRDefault="00093C2E" w:rsidP="00093C2E">
            <w:pPr>
              <w:pStyle w:val="2024TABLETEXT"/>
              <w:framePr w:hSpace="0" w:wrap="auto" w:vAnchor="margin" w:yAlign="inline"/>
              <w:suppressOverlap w:val="0"/>
            </w:pPr>
            <w:r w:rsidRPr="0054775B">
              <w:t>McFarland 2021</w:t>
            </w:r>
          </w:p>
        </w:tc>
        <w:tc>
          <w:tcPr>
            <w:tcW w:w="1418" w:type="dxa"/>
            <w:shd w:val="clear" w:color="auto" w:fill="auto"/>
          </w:tcPr>
          <w:p w14:paraId="21FA8805" w14:textId="73683CB9" w:rsidR="00093C2E" w:rsidRPr="0054775B" w:rsidRDefault="00093C2E" w:rsidP="00093C2E">
            <w:pPr>
              <w:pStyle w:val="2024TABLETEXT"/>
              <w:framePr w:hSpace="0" w:wrap="auto" w:vAnchor="margin" w:yAlign="inline"/>
              <w:suppressOverlap w:val="0"/>
              <w:rPr>
                <w:b/>
                <w:bCs/>
              </w:rPr>
            </w:pPr>
            <w:r w:rsidRPr="0054775B">
              <w:t>Low</w:t>
            </w:r>
          </w:p>
        </w:tc>
        <w:tc>
          <w:tcPr>
            <w:tcW w:w="1435" w:type="dxa"/>
            <w:shd w:val="clear" w:color="auto" w:fill="auto"/>
          </w:tcPr>
          <w:p w14:paraId="2340EC87" w14:textId="00EE7E5F" w:rsidR="00093C2E" w:rsidRPr="0054775B" w:rsidRDefault="00093C2E" w:rsidP="00093C2E">
            <w:pPr>
              <w:pStyle w:val="2024TABLETEXT"/>
              <w:framePr w:hSpace="0" w:wrap="auto" w:vAnchor="margin" w:yAlign="inline"/>
              <w:suppressOverlap w:val="0"/>
              <w:rPr>
                <w:b/>
                <w:bCs/>
              </w:rPr>
            </w:pPr>
            <w:r w:rsidRPr="0054775B">
              <w:t>Low</w:t>
            </w:r>
          </w:p>
        </w:tc>
        <w:tc>
          <w:tcPr>
            <w:tcW w:w="1328" w:type="dxa"/>
            <w:shd w:val="clear" w:color="auto" w:fill="auto"/>
          </w:tcPr>
          <w:p w14:paraId="0CBEC02D" w14:textId="5872AB0C" w:rsidR="00093C2E" w:rsidRPr="0054775B" w:rsidRDefault="00093C2E" w:rsidP="00093C2E">
            <w:pPr>
              <w:pStyle w:val="2024TABLETEXT"/>
              <w:framePr w:hSpace="0" w:wrap="auto" w:vAnchor="margin" w:yAlign="inline"/>
              <w:suppressOverlap w:val="0"/>
              <w:rPr>
                <w:b/>
                <w:bCs/>
              </w:rPr>
            </w:pPr>
            <w:r w:rsidRPr="0054775B">
              <w:t>Low</w:t>
            </w:r>
          </w:p>
        </w:tc>
        <w:tc>
          <w:tcPr>
            <w:tcW w:w="1326" w:type="dxa"/>
            <w:shd w:val="clear" w:color="auto" w:fill="auto"/>
          </w:tcPr>
          <w:p w14:paraId="0CDF3C9E" w14:textId="31AA1D81" w:rsidR="00093C2E" w:rsidRPr="0054775B" w:rsidRDefault="00093C2E" w:rsidP="00093C2E">
            <w:pPr>
              <w:pStyle w:val="2024TABLETEXT"/>
              <w:framePr w:hSpace="0" w:wrap="auto" w:vAnchor="margin" w:yAlign="inline"/>
              <w:suppressOverlap w:val="0"/>
              <w:rPr>
                <w:b/>
                <w:bCs/>
              </w:rPr>
            </w:pPr>
            <w:r>
              <w:t>Unclear</w:t>
            </w:r>
          </w:p>
        </w:tc>
        <w:tc>
          <w:tcPr>
            <w:tcW w:w="1246" w:type="dxa"/>
            <w:shd w:val="clear" w:color="auto" w:fill="auto"/>
          </w:tcPr>
          <w:p w14:paraId="6B252AB3" w14:textId="43F5E00B" w:rsidR="00093C2E" w:rsidRPr="0054775B" w:rsidRDefault="00093C2E" w:rsidP="00093C2E">
            <w:pPr>
              <w:pStyle w:val="2024TABLETEXT"/>
              <w:framePr w:hSpace="0" w:wrap="auto" w:vAnchor="margin" w:yAlign="inline"/>
              <w:suppressOverlap w:val="0"/>
              <w:rPr>
                <w:b/>
                <w:bCs/>
              </w:rPr>
            </w:pPr>
            <w:r>
              <w:t>Unclear</w:t>
            </w:r>
            <w:r w:rsidRPr="0054775B" w:rsidDel="00982A5C">
              <w:t xml:space="preserve"> </w:t>
            </w:r>
            <w:r w:rsidRPr="0054775B" w:rsidDel="00DD322D">
              <w:t>risk</w:t>
            </w:r>
          </w:p>
        </w:tc>
      </w:tr>
      <w:tr w:rsidR="00093C2E" w:rsidRPr="0054775B" w14:paraId="3B4C1B2E" w14:textId="77777777" w:rsidTr="00C00706">
        <w:trPr>
          <w:trHeight w:val="95"/>
        </w:trPr>
        <w:tc>
          <w:tcPr>
            <w:tcW w:w="2263" w:type="dxa"/>
            <w:shd w:val="clear" w:color="auto" w:fill="auto"/>
          </w:tcPr>
          <w:p w14:paraId="20B7B552" w14:textId="4B8AA0AC" w:rsidR="00093C2E" w:rsidRPr="0054775B" w:rsidRDefault="00093C2E" w:rsidP="00093C2E">
            <w:pPr>
              <w:pStyle w:val="2024TABLETEXT"/>
              <w:framePr w:hSpace="0" w:wrap="auto" w:vAnchor="margin" w:yAlign="inline"/>
              <w:suppressOverlap w:val="0"/>
            </w:pPr>
            <w:r w:rsidRPr="0054775B">
              <w:t>Moayyedi 2010</w:t>
            </w:r>
          </w:p>
        </w:tc>
        <w:tc>
          <w:tcPr>
            <w:tcW w:w="1418" w:type="dxa"/>
            <w:shd w:val="clear" w:color="auto" w:fill="auto"/>
          </w:tcPr>
          <w:p w14:paraId="42B3C130" w14:textId="2A518027" w:rsidR="00093C2E" w:rsidRPr="0054775B" w:rsidRDefault="00093C2E" w:rsidP="00093C2E">
            <w:pPr>
              <w:pStyle w:val="2024TABLETEXT"/>
              <w:framePr w:hSpace="0" w:wrap="auto" w:vAnchor="margin" w:yAlign="inline"/>
              <w:suppressOverlap w:val="0"/>
              <w:rPr>
                <w:b/>
                <w:bCs/>
              </w:rPr>
            </w:pPr>
            <w:r w:rsidRPr="0054775B">
              <w:t>Low</w:t>
            </w:r>
          </w:p>
        </w:tc>
        <w:tc>
          <w:tcPr>
            <w:tcW w:w="1435" w:type="dxa"/>
            <w:shd w:val="clear" w:color="auto" w:fill="auto"/>
          </w:tcPr>
          <w:p w14:paraId="05072356" w14:textId="13AE22A6" w:rsidR="00093C2E" w:rsidRPr="0054775B" w:rsidRDefault="00093C2E" w:rsidP="00093C2E">
            <w:pPr>
              <w:pStyle w:val="2024TABLETEXT"/>
              <w:framePr w:hSpace="0" w:wrap="auto" w:vAnchor="margin" w:yAlign="inline"/>
              <w:suppressOverlap w:val="0"/>
              <w:rPr>
                <w:b/>
                <w:bCs/>
              </w:rPr>
            </w:pPr>
            <w:r w:rsidRPr="0054775B">
              <w:t>Low</w:t>
            </w:r>
          </w:p>
        </w:tc>
        <w:tc>
          <w:tcPr>
            <w:tcW w:w="1328" w:type="dxa"/>
            <w:shd w:val="clear" w:color="auto" w:fill="auto"/>
          </w:tcPr>
          <w:p w14:paraId="7DE345FF" w14:textId="1A7402EA" w:rsidR="00093C2E" w:rsidRPr="0054775B" w:rsidRDefault="00093C2E" w:rsidP="00093C2E">
            <w:pPr>
              <w:pStyle w:val="2024TABLETEXT"/>
              <w:framePr w:hSpace="0" w:wrap="auto" w:vAnchor="margin" w:yAlign="inline"/>
              <w:suppressOverlap w:val="0"/>
              <w:rPr>
                <w:b/>
                <w:bCs/>
              </w:rPr>
            </w:pPr>
            <w:r w:rsidRPr="0054775B">
              <w:t>Low</w:t>
            </w:r>
          </w:p>
        </w:tc>
        <w:tc>
          <w:tcPr>
            <w:tcW w:w="1326" w:type="dxa"/>
            <w:shd w:val="clear" w:color="auto" w:fill="auto"/>
          </w:tcPr>
          <w:p w14:paraId="13014AD7" w14:textId="028B8825" w:rsidR="00093C2E" w:rsidRPr="0054775B" w:rsidRDefault="00093C2E" w:rsidP="00093C2E">
            <w:pPr>
              <w:pStyle w:val="2024TABLETEXT"/>
              <w:framePr w:hSpace="0" w:wrap="auto" w:vAnchor="margin" w:yAlign="inline"/>
              <w:suppressOverlap w:val="0"/>
              <w:rPr>
                <w:b/>
                <w:bCs/>
              </w:rPr>
            </w:pPr>
            <w:r>
              <w:t>Unclear</w:t>
            </w:r>
          </w:p>
        </w:tc>
        <w:tc>
          <w:tcPr>
            <w:tcW w:w="1246" w:type="dxa"/>
            <w:shd w:val="clear" w:color="auto" w:fill="auto"/>
          </w:tcPr>
          <w:p w14:paraId="33A0CFAE" w14:textId="0EEECB16" w:rsidR="00093C2E" w:rsidRPr="0054775B" w:rsidRDefault="00093C2E" w:rsidP="00093C2E">
            <w:pPr>
              <w:pStyle w:val="2024TABLETEXT"/>
              <w:framePr w:hSpace="0" w:wrap="auto" w:vAnchor="margin" w:yAlign="inline"/>
              <w:suppressOverlap w:val="0"/>
              <w:rPr>
                <w:b/>
                <w:bCs/>
              </w:rPr>
            </w:pPr>
            <w:r>
              <w:t>Unclear</w:t>
            </w:r>
            <w:r w:rsidRPr="0054775B" w:rsidDel="00982A5C">
              <w:t xml:space="preserve"> </w:t>
            </w:r>
            <w:r w:rsidRPr="0054775B" w:rsidDel="00DD322D">
              <w:t>risk</w:t>
            </w:r>
          </w:p>
        </w:tc>
      </w:tr>
      <w:tr w:rsidR="0074181B" w:rsidRPr="0054775B" w14:paraId="17CF815C" w14:textId="77777777" w:rsidTr="00C00706">
        <w:trPr>
          <w:trHeight w:val="95"/>
        </w:trPr>
        <w:tc>
          <w:tcPr>
            <w:tcW w:w="2263" w:type="dxa"/>
            <w:shd w:val="clear" w:color="auto" w:fill="auto"/>
          </w:tcPr>
          <w:p w14:paraId="4197E979" w14:textId="2042CDE3" w:rsidR="0074181B" w:rsidRPr="0054775B" w:rsidRDefault="0074181B" w:rsidP="00D8533C">
            <w:pPr>
              <w:pStyle w:val="2024TABLETEXT"/>
              <w:framePr w:hSpace="0" w:wrap="auto" w:vAnchor="margin" w:yAlign="inline"/>
              <w:suppressOverlap w:val="0"/>
            </w:pPr>
            <w:r w:rsidRPr="0054775B">
              <w:t>Nikfar 2008</w:t>
            </w:r>
          </w:p>
        </w:tc>
        <w:tc>
          <w:tcPr>
            <w:tcW w:w="1418" w:type="dxa"/>
            <w:shd w:val="clear" w:color="auto" w:fill="auto"/>
          </w:tcPr>
          <w:p w14:paraId="7BE48BBD" w14:textId="6A1D79C2" w:rsidR="0074181B" w:rsidRPr="0054775B" w:rsidRDefault="0074181B" w:rsidP="00D8533C">
            <w:pPr>
              <w:pStyle w:val="2024TABLETEXT"/>
              <w:framePr w:hSpace="0" w:wrap="auto" w:vAnchor="margin" w:yAlign="inline"/>
              <w:suppressOverlap w:val="0"/>
              <w:rPr>
                <w:b/>
                <w:bCs/>
              </w:rPr>
            </w:pPr>
            <w:r w:rsidRPr="0054775B">
              <w:t>Low</w:t>
            </w:r>
          </w:p>
        </w:tc>
        <w:tc>
          <w:tcPr>
            <w:tcW w:w="1435" w:type="dxa"/>
            <w:shd w:val="clear" w:color="auto" w:fill="auto"/>
          </w:tcPr>
          <w:p w14:paraId="09D1C820" w14:textId="07D504FC" w:rsidR="0074181B" w:rsidRPr="0054775B" w:rsidRDefault="0074181B" w:rsidP="00D8533C">
            <w:pPr>
              <w:pStyle w:val="2024TABLETEXT"/>
              <w:framePr w:hSpace="0" w:wrap="auto" w:vAnchor="margin" w:yAlign="inline"/>
              <w:suppressOverlap w:val="0"/>
              <w:rPr>
                <w:b/>
                <w:bCs/>
              </w:rPr>
            </w:pPr>
            <w:r w:rsidRPr="0054775B">
              <w:t>Low</w:t>
            </w:r>
          </w:p>
        </w:tc>
        <w:tc>
          <w:tcPr>
            <w:tcW w:w="1328" w:type="dxa"/>
            <w:shd w:val="clear" w:color="auto" w:fill="auto"/>
          </w:tcPr>
          <w:p w14:paraId="4FF72DD8" w14:textId="122CF48B" w:rsidR="0074181B" w:rsidRPr="0054775B" w:rsidRDefault="0074181B" w:rsidP="00D8533C">
            <w:pPr>
              <w:pStyle w:val="2024TABLETEXT"/>
              <w:framePr w:hSpace="0" w:wrap="auto" w:vAnchor="margin" w:yAlign="inline"/>
              <w:suppressOverlap w:val="0"/>
              <w:rPr>
                <w:b/>
                <w:bCs/>
              </w:rPr>
            </w:pPr>
            <w:r w:rsidRPr="0054775B">
              <w:t>Low</w:t>
            </w:r>
          </w:p>
        </w:tc>
        <w:tc>
          <w:tcPr>
            <w:tcW w:w="1326" w:type="dxa"/>
            <w:shd w:val="clear" w:color="auto" w:fill="auto"/>
          </w:tcPr>
          <w:p w14:paraId="58A6967A" w14:textId="61AE266D" w:rsidR="0074181B" w:rsidRPr="0054775B" w:rsidRDefault="0074181B" w:rsidP="00D8533C">
            <w:pPr>
              <w:pStyle w:val="2024TABLETEXT"/>
              <w:framePr w:hSpace="0" w:wrap="auto" w:vAnchor="margin" w:yAlign="inline"/>
              <w:suppressOverlap w:val="0"/>
              <w:rPr>
                <w:b/>
                <w:bCs/>
              </w:rPr>
            </w:pPr>
            <w:r w:rsidRPr="0054775B">
              <w:t>Low</w:t>
            </w:r>
          </w:p>
        </w:tc>
        <w:tc>
          <w:tcPr>
            <w:tcW w:w="1246" w:type="dxa"/>
            <w:shd w:val="clear" w:color="auto" w:fill="auto"/>
          </w:tcPr>
          <w:p w14:paraId="09E7AC74" w14:textId="71050AB2" w:rsidR="0074181B" w:rsidRPr="0054775B" w:rsidRDefault="0074181B" w:rsidP="00D8533C">
            <w:pPr>
              <w:pStyle w:val="2024TABLETEXT"/>
              <w:framePr w:hSpace="0" w:wrap="auto" w:vAnchor="margin" w:yAlign="inline"/>
              <w:suppressOverlap w:val="0"/>
              <w:rPr>
                <w:b/>
                <w:bCs/>
              </w:rPr>
            </w:pPr>
            <w:r w:rsidRPr="0054775B">
              <w:t>Low risk</w:t>
            </w:r>
          </w:p>
        </w:tc>
      </w:tr>
      <w:tr w:rsidR="0074181B" w:rsidRPr="0054775B" w14:paraId="16E728FA" w14:textId="77777777" w:rsidTr="00C00706">
        <w:trPr>
          <w:trHeight w:val="95"/>
        </w:trPr>
        <w:tc>
          <w:tcPr>
            <w:tcW w:w="2263" w:type="dxa"/>
            <w:shd w:val="clear" w:color="auto" w:fill="auto"/>
          </w:tcPr>
          <w:p w14:paraId="589D4D0D" w14:textId="3DE14A6B" w:rsidR="0074181B" w:rsidRPr="0054775B" w:rsidRDefault="0074181B" w:rsidP="00D8533C">
            <w:pPr>
              <w:pStyle w:val="2024TABLETEXT"/>
              <w:framePr w:hSpace="0" w:wrap="auto" w:vAnchor="margin" w:yAlign="inline"/>
              <w:suppressOverlap w:val="0"/>
            </w:pPr>
            <w:r w:rsidRPr="0054775B">
              <w:t>Niu 2020</w:t>
            </w:r>
          </w:p>
        </w:tc>
        <w:tc>
          <w:tcPr>
            <w:tcW w:w="1418" w:type="dxa"/>
            <w:shd w:val="clear" w:color="auto" w:fill="auto"/>
          </w:tcPr>
          <w:p w14:paraId="25A1DEAA" w14:textId="69784C77" w:rsidR="0074181B" w:rsidRPr="0054775B" w:rsidRDefault="0074181B" w:rsidP="00D8533C">
            <w:pPr>
              <w:pStyle w:val="2024TABLETEXT"/>
              <w:framePr w:hSpace="0" w:wrap="auto" w:vAnchor="margin" w:yAlign="inline"/>
              <w:suppressOverlap w:val="0"/>
              <w:rPr>
                <w:b/>
                <w:bCs/>
              </w:rPr>
            </w:pPr>
            <w:r w:rsidRPr="0054775B">
              <w:t>Low</w:t>
            </w:r>
          </w:p>
        </w:tc>
        <w:tc>
          <w:tcPr>
            <w:tcW w:w="1435" w:type="dxa"/>
            <w:shd w:val="clear" w:color="auto" w:fill="auto"/>
          </w:tcPr>
          <w:p w14:paraId="4DE7EBA9" w14:textId="46AB43D9" w:rsidR="0074181B" w:rsidRPr="0054775B" w:rsidRDefault="003243EB" w:rsidP="00D8533C">
            <w:pPr>
              <w:pStyle w:val="2024TABLETEXT"/>
              <w:framePr w:hSpace="0" w:wrap="auto" w:vAnchor="margin" w:yAlign="inline"/>
              <w:suppressOverlap w:val="0"/>
              <w:rPr>
                <w:b/>
                <w:bCs/>
              </w:rPr>
            </w:pPr>
            <w:r>
              <w:t>Unclear</w:t>
            </w:r>
          </w:p>
        </w:tc>
        <w:tc>
          <w:tcPr>
            <w:tcW w:w="1328" w:type="dxa"/>
            <w:shd w:val="clear" w:color="auto" w:fill="auto"/>
          </w:tcPr>
          <w:p w14:paraId="55488C4F" w14:textId="5C5C028C" w:rsidR="0074181B" w:rsidRPr="0054775B" w:rsidRDefault="0074181B" w:rsidP="00D8533C">
            <w:pPr>
              <w:pStyle w:val="2024TABLETEXT"/>
              <w:framePr w:hSpace="0" w:wrap="auto" w:vAnchor="margin" w:yAlign="inline"/>
              <w:suppressOverlap w:val="0"/>
              <w:rPr>
                <w:b/>
                <w:bCs/>
              </w:rPr>
            </w:pPr>
            <w:r w:rsidRPr="0054775B">
              <w:t>Low</w:t>
            </w:r>
          </w:p>
        </w:tc>
        <w:tc>
          <w:tcPr>
            <w:tcW w:w="1326" w:type="dxa"/>
            <w:shd w:val="clear" w:color="auto" w:fill="auto"/>
          </w:tcPr>
          <w:p w14:paraId="5B3B8B57" w14:textId="50DA9956" w:rsidR="0074181B" w:rsidRPr="0054775B" w:rsidRDefault="0074181B" w:rsidP="00D8533C">
            <w:pPr>
              <w:pStyle w:val="2024TABLETEXT"/>
              <w:framePr w:hSpace="0" w:wrap="auto" w:vAnchor="margin" w:yAlign="inline"/>
              <w:suppressOverlap w:val="0"/>
              <w:rPr>
                <w:b/>
                <w:bCs/>
              </w:rPr>
            </w:pPr>
            <w:r w:rsidRPr="0054775B">
              <w:t>Low</w:t>
            </w:r>
          </w:p>
        </w:tc>
        <w:tc>
          <w:tcPr>
            <w:tcW w:w="1246" w:type="dxa"/>
            <w:shd w:val="clear" w:color="auto" w:fill="auto"/>
          </w:tcPr>
          <w:p w14:paraId="165D5DE0" w14:textId="6D396855" w:rsidR="0074181B" w:rsidRPr="0054775B" w:rsidRDefault="0074181B" w:rsidP="00D8533C">
            <w:pPr>
              <w:pStyle w:val="2024TABLETEXT"/>
              <w:framePr w:hSpace="0" w:wrap="auto" w:vAnchor="margin" w:yAlign="inline"/>
              <w:suppressOverlap w:val="0"/>
              <w:rPr>
                <w:b/>
                <w:bCs/>
              </w:rPr>
            </w:pPr>
            <w:r w:rsidRPr="0054775B">
              <w:t>Low risk</w:t>
            </w:r>
          </w:p>
        </w:tc>
      </w:tr>
      <w:tr w:rsidR="0074181B" w:rsidRPr="0054775B" w14:paraId="7A8E4DB4" w14:textId="77777777" w:rsidTr="00C00706">
        <w:trPr>
          <w:trHeight w:val="95"/>
        </w:trPr>
        <w:tc>
          <w:tcPr>
            <w:tcW w:w="2263" w:type="dxa"/>
            <w:shd w:val="clear" w:color="auto" w:fill="auto"/>
          </w:tcPr>
          <w:p w14:paraId="03551C75" w14:textId="06F0B341" w:rsidR="0074181B" w:rsidRPr="0054775B" w:rsidRDefault="0074181B" w:rsidP="00D8533C">
            <w:pPr>
              <w:pStyle w:val="2024TABLETEXT"/>
              <w:framePr w:hSpace="0" w:wrap="auto" w:vAnchor="margin" w:yAlign="inline"/>
              <w:suppressOverlap w:val="0"/>
            </w:pPr>
            <w:r w:rsidRPr="0054775B">
              <w:t>Ortiz-Lucas 2013</w:t>
            </w:r>
          </w:p>
        </w:tc>
        <w:tc>
          <w:tcPr>
            <w:tcW w:w="1418" w:type="dxa"/>
            <w:shd w:val="clear" w:color="auto" w:fill="auto"/>
          </w:tcPr>
          <w:p w14:paraId="73315D56" w14:textId="4D2FFA38" w:rsidR="0074181B" w:rsidRPr="0054775B" w:rsidRDefault="0074181B" w:rsidP="00D8533C">
            <w:pPr>
              <w:pStyle w:val="2024TABLETEXT"/>
              <w:framePr w:hSpace="0" w:wrap="auto" w:vAnchor="margin" w:yAlign="inline"/>
              <w:suppressOverlap w:val="0"/>
              <w:rPr>
                <w:b/>
                <w:bCs/>
              </w:rPr>
            </w:pPr>
            <w:r w:rsidRPr="0054775B">
              <w:t>Low</w:t>
            </w:r>
          </w:p>
        </w:tc>
        <w:tc>
          <w:tcPr>
            <w:tcW w:w="1435" w:type="dxa"/>
            <w:shd w:val="clear" w:color="auto" w:fill="auto"/>
          </w:tcPr>
          <w:p w14:paraId="47D6AC39" w14:textId="449F2157" w:rsidR="0074181B" w:rsidRPr="0054775B" w:rsidRDefault="0074181B" w:rsidP="00D8533C">
            <w:pPr>
              <w:pStyle w:val="2024TABLETEXT"/>
              <w:framePr w:hSpace="0" w:wrap="auto" w:vAnchor="margin" w:yAlign="inline"/>
              <w:suppressOverlap w:val="0"/>
              <w:rPr>
                <w:b/>
                <w:bCs/>
              </w:rPr>
            </w:pPr>
            <w:r w:rsidRPr="0054775B">
              <w:t>Unclear</w:t>
            </w:r>
          </w:p>
        </w:tc>
        <w:tc>
          <w:tcPr>
            <w:tcW w:w="1328" w:type="dxa"/>
            <w:shd w:val="clear" w:color="auto" w:fill="auto"/>
          </w:tcPr>
          <w:p w14:paraId="1199DA68" w14:textId="27CEEF22" w:rsidR="0074181B" w:rsidRPr="0054775B" w:rsidRDefault="0074181B" w:rsidP="00D8533C">
            <w:pPr>
              <w:pStyle w:val="2024TABLETEXT"/>
              <w:framePr w:hSpace="0" w:wrap="auto" w:vAnchor="margin" w:yAlign="inline"/>
              <w:suppressOverlap w:val="0"/>
              <w:rPr>
                <w:b/>
                <w:bCs/>
              </w:rPr>
            </w:pPr>
            <w:r w:rsidRPr="0054775B">
              <w:t>Unclear</w:t>
            </w:r>
          </w:p>
        </w:tc>
        <w:tc>
          <w:tcPr>
            <w:tcW w:w="1326" w:type="dxa"/>
            <w:shd w:val="clear" w:color="auto" w:fill="auto"/>
          </w:tcPr>
          <w:p w14:paraId="565C7723" w14:textId="6C26F84E" w:rsidR="0074181B" w:rsidRPr="0054775B" w:rsidRDefault="00093C2E" w:rsidP="00D8533C">
            <w:pPr>
              <w:pStyle w:val="2024TABLETEXT"/>
              <w:framePr w:hSpace="0" w:wrap="auto" w:vAnchor="margin" w:yAlign="inline"/>
              <w:suppressOverlap w:val="0"/>
              <w:rPr>
                <w:b/>
                <w:bCs/>
              </w:rPr>
            </w:pPr>
            <w:r>
              <w:t>Hig</w:t>
            </w:r>
            <w:r w:rsidR="001F3CA5">
              <w:t>h</w:t>
            </w:r>
          </w:p>
        </w:tc>
        <w:tc>
          <w:tcPr>
            <w:tcW w:w="1246" w:type="dxa"/>
            <w:shd w:val="clear" w:color="auto" w:fill="auto"/>
          </w:tcPr>
          <w:p w14:paraId="34534BC3" w14:textId="0969150B" w:rsidR="0074181B" w:rsidRPr="0054775B" w:rsidRDefault="00093C2E" w:rsidP="00D8533C">
            <w:pPr>
              <w:pStyle w:val="2024TABLETEXT"/>
              <w:framePr w:hSpace="0" w:wrap="auto" w:vAnchor="margin" w:yAlign="inline"/>
              <w:suppressOverlap w:val="0"/>
              <w:rPr>
                <w:b/>
                <w:bCs/>
              </w:rPr>
            </w:pPr>
            <w:r>
              <w:t>High</w:t>
            </w:r>
            <w:r w:rsidRPr="0054775B">
              <w:t xml:space="preserve"> </w:t>
            </w:r>
            <w:r w:rsidR="0074181B" w:rsidRPr="0054775B">
              <w:t>risk</w:t>
            </w:r>
          </w:p>
        </w:tc>
      </w:tr>
      <w:tr w:rsidR="0074181B" w:rsidRPr="0054775B" w14:paraId="6F724473" w14:textId="77777777" w:rsidTr="00C00706">
        <w:trPr>
          <w:trHeight w:val="95"/>
        </w:trPr>
        <w:tc>
          <w:tcPr>
            <w:tcW w:w="2263" w:type="dxa"/>
            <w:shd w:val="clear" w:color="auto" w:fill="auto"/>
          </w:tcPr>
          <w:p w14:paraId="45F908A9" w14:textId="5B1989EC" w:rsidR="0074181B" w:rsidRPr="0054775B" w:rsidRDefault="0074181B" w:rsidP="00D8533C">
            <w:pPr>
              <w:pStyle w:val="2024TABLETEXT"/>
              <w:framePr w:hSpace="0" w:wrap="auto" w:vAnchor="margin" w:yAlign="inline"/>
              <w:suppressOverlap w:val="0"/>
            </w:pPr>
            <w:r w:rsidRPr="0054775B">
              <w:t>Pratt 2020</w:t>
            </w:r>
          </w:p>
        </w:tc>
        <w:tc>
          <w:tcPr>
            <w:tcW w:w="1418" w:type="dxa"/>
            <w:shd w:val="clear" w:color="auto" w:fill="auto"/>
          </w:tcPr>
          <w:p w14:paraId="7DCE1FB8" w14:textId="053B5589" w:rsidR="0074181B" w:rsidRPr="0054775B" w:rsidRDefault="0074181B" w:rsidP="00D8533C">
            <w:pPr>
              <w:pStyle w:val="2024TABLETEXT"/>
              <w:framePr w:hSpace="0" w:wrap="auto" w:vAnchor="margin" w:yAlign="inline"/>
              <w:suppressOverlap w:val="0"/>
              <w:rPr>
                <w:b/>
                <w:bCs/>
              </w:rPr>
            </w:pPr>
            <w:r w:rsidRPr="0054775B">
              <w:t>Low</w:t>
            </w:r>
          </w:p>
        </w:tc>
        <w:tc>
          <w:tcPr>
            <w:tcW w:w="1435" w:type="dxa"/>
            <w:shd w:val="clear" w:color="auto" w:fill="auto"/>
          </w:tcPr>
          <w:p w14:paraId="67A3DE5C" w14:textId="504D2EFA" w:rsidR="0074181B" w:rsidRPr="0054775B" w:rsidRDefault="0074181B" w:rsidP="00D8533C">
            <w:pPr>
              <w:pStyle w:val="2024TABLETEXT"/>
              <w:framePr w:hSpace="0" w:wrap="auto" w:vAnchor="margin" w:yAlign="inline"/>
              <w:suppressOverlap w:val="0"/>
              <w:rPr>
                <w:b/>
                <w:bCs/>
              </w:rPr>
            </w:pPr>
            <w:r w:rsidRPr="0054775B">
              <w:t>Low</w:t>
            </w:r>
          </w:p>
        </w:tc>
        <w:tc>
          <w:tcPr>
            <w:tcW w:w="1328" w:type="dxa"/>
            <w:shd w:val="clear" w:color="auto" w:fill="auto"/>
          </w:tcPr>
          <w:p w14:paraId="14966DAE" w14:textId="3C100E3A" w:rsidR="0074181B" w:rsidRPr="0054775B" w:rsidRDefault="0074181B" w:rsidP="00D8533C">
            <w:pPr>
              <w:pStyle w:val="2024TABLETEXT"/>
              <w:framePr w:hSpace="0" w:wrap="auto" w:vAnchor="margin" w:yAlign="inline"/>
              <w:suppressOverlap w:val="0"/>
              <w:rPr>
                <w:b/>
                <w:bCs/>
              </w:rPr>
            </w:pPr>
            <w:r w:rsidRPr="0054775B">
              <w:t>Low</w:t>
            </w:r>
          </w:p>
        </w:tc>
        <w:tc>
          <w:tcPr>
            <w:tcW w:w="1326" w:type="dxa"/>
            <w:shd w:val="clear" w:color="auto" w:fill="auto"/>
          </w:tcPr>
          <w:p w14:paraId="69FA6228" w14:textId="38AA8DB1" w:rsidR="0074181B" w:rsidRPr="0054775B" w:rsidRDefault="00841515" w:rsidP="00D8533C">
            <w:pPr>
              <w:pStyle w:val="2024TABLETEXT"/>
              <w:framePr w:hSpace="0" w:wrap="auto" w:vAnchor="margin" w:yAlign="inline"/>
              <w:suppressOverlap w:val="0"/>
              <w:rPr>
                <w:b/>
                <w:bCs/>
              </w:rPr>
            </w:pPr>
            <w:r>
              <w:t>High</w:t>
            </w:r>
          </w:p>
        </w:tc>
        <w:tc>
          <w:tcPr>
            <w:tcW w:w="1246" w:type="dxa"/>
            <w:shd w:val="clear" w:color="auto" w:fill="auto"/>
          </w:tcPr>
          <w:p w14:paraId="45949057" w14:textId="7A34CE33" w:rsidR="0074181B" w:rsidRPr="0054775B" w:rsidRDefault="00841515" w:rsidP="00D8533C">
            <w:pPr>
              <w:pStyle w:val="2024TABLETEXT"/>
              <w:framePr w:hSpace="0" w:wrap="auto" w:vAnchor="margin" w:yAlign="inline"/>
              <w:suppressOverlap w:val="0"/>
              <w:rPr>
                <w:b/>
                <w:bCs/>
              </w:rPr>
            </w:pPr>
            <w:r>
              <w:t>High</w:t>
            </w:r>
            <w:r w:rsidRPr="0054775B">
              <w:t xml:space="preserve"> </w:t>
            </w:r>
            <w:r w:rsidR="0074181B" w:rsidRPr="0054775B">
              <w:t>risk</w:t>
            </w:r>
          </w:p>
        </w:tc>
      </w:tr>
      <w:tr w:rsidR="0074181B" w:rsidRPr="0054775B" w14:paraId="125BC2E2" w14:textId="77777777" w:rsidTr="00C00706">
        <w:trPr>
          <w:trHeight w:val="95"/>
        </w:trPr>
        <w:tc>
          <w:tcPr>
            <w:tcW w:w="2263" w:type="dxa"/>
            <w:shd w:val="clear" w:color="auto" w:fill="auto"/>
          </w:tcPr>
          <w:p w14:paraId="0E7B2C36" w14:textId="7DCCFD3F" w:rsidR="0074181B" w:rsidRPr="0054775B" w:rsidRDefault="0074181B" w:rsidP="00D8533C">
            <w:pPr>
              <w:pStyle w:val="2024TABLETEXT"/>
              <w:framePr w:hSpace="0" w:wrap="auto" w:vAnchor="margin" w:yAlign="inline"/>
              <w:suppressOverlap w:val="0"/>
            </w:pPr>
            <w:r w:rsidRPr="0054775B">
              <w:t>Ritchie 2012</w:t>
            </w:r>
          </w:p>
        </w:tc>
        <w:tc>
          <w:tcPr>
            <w:tcW w:w="1418" w:type="dxa"/>
            <w:shd w:val="clear" w:color="auto" w:fill="auto"/>
          </w:tcPr>
          <w:p w14:paraId="265BD362" w14:textId="7B180E9A" w:rsidR="0074181B" w:rsidRPr="0054775B" w:rsidRDefault="0074181B" w:rsidP="00D8533C">
            <w:pPr>
              <w:pStyle w:val="2024TABLETEXT"/>
              <w:framePr w:hSpace="0" w:wrap="auto" w:vAnchor="margin" w:yAlign="inline"/>
              <w:suppressOverlap w:val="0"/>
              <w:rPr>
                <w:b/>
                <w:bCs/>
              </w:rPr>
            </w:pPr>
            <w:r w:rsidRPr="0054775B">
              <w:t>Low</w:t>
            </w:r>
          </w:p>
        </w:tc>
        <w:tc>
          <w:tcPr>
            <w:tcW w:w="1435" w:type="dxa"/>
            <w:shd w:val="clear" w:color="auto" w:fill="auto"/>
          </w:tcPr>
          <w:p w14:paraId="2BC9202F" w14:textId="63052577" w:rsidR="0074181B" w:rsidRPr="0054775B" w:rsidRDefault="00841515" w:rsidP="00D8533C">
            <w:pPr>
              <w:pStyle w:val="2024TABLETEXT"/>
              <w:framePr w:hSpace="0" w:wrap="auto" w:vAnchor="margin" w:yAlign="inline"/>
              <w:suppressOverlap w:val="0"/>
              <w:rPr>
                <w:b/>
                <w:bCs/>
              </w:rPr>
            </w:pPr>
            <w:r>
              <w:t>Unclear</w:t>
            </w:r>
          </w:p>
        </w:tc>
        <w:tc>
          <w:tcPr>
            <w:tcW w:w="1328" w:type="dxa"/>
            <w:shd w:val="clear" w:color="auto" w:fill="auto"/>
          </w:tcPr>
          <w:p w14:paraId="5DE46CC9" w14:textId="2A4AFD67" w:rsidR="0074181B" w:rsidRPr="0054775B" w:rsidRDefault="0074181B" w:rsidP="00D8533C">
            <w:pPr>
              <w:pStyle w:val="2024TABLETEXT"/>
              <w:framePr w:hSpace="0" w:wrap="auto" w:vAnchor="margin" w:yAlign="inline"/>
              <w:suppressOverlap w:val="0"/>
              <w:rPr>
                <w:b/>
                <w:bCs/>
              </w:rPr>
            </w:pPr>
            <w:r w:rsidRPr="0054775B">
              <w:t>Unclear</w:t>
            </w:r>
          </w:p>
        </w:tc>
        <w:tc>
          <w:tcPr>
            <w:tcW w:w="1326" w:type="dxa"/>
            <w:shd w:val="clear" w:color="auto" w:fill="auto"/>
          </w:tcPr>
          <w:p w14:paraId="1F2E4053" w14:textId="19E82CF1" w:rsidR="0074181B" w:rsidRPr="0054775B" w:rsidRDefault="0074181B" w:rsidP="00D8533C">
            <w:pPr>
              <w:pStyle w:val="2024TABLETEXT"/>
              <w:framePr w:hSpace="0" w:wrap="auto" w:vAnchor="margin" w:yAlign="inline"/>
              <w:suppressOverlap w:val="0"/>
              <w:rPr>
                <w:b/>
                <w:bCs/>
              </w:rPr>
            </w:pPr>
            <w:r w:rsidRPr="0054775B">
              <w:t>Low</w:t>
            </w:r>
          </w:p>
        </w:tc>
        <w:tc>
          <w:tcPr>
            <w:tcW w:w="1246" w:type="dxa"/>
            <w:shd w:val="clear" w:color="auto" w:fill="auto"/>
          </w:tcPr>
          <w:p w14:paraId="4C6679CE" w14:textId="6BD312AF" w:rsidR="0074181B" w:rsidRPr="0054775B" w:rsidRDefault="00841515" w:rsidP="00D8533C">
            <w:pPr>
              <w:pStyle w:val="2024TABLETEXT"/>
              <w:framePr w:hSpace="0" w:wrap="auto" w:vAnchor="margin" w:yAlign="inline"/>
              <w:suppressOverlap w:val="0"/>
              <w:rPr>
                <w:b/>
                <w:bCs/>
              </w:rPr>
            </w:pPr>
            <w:r>
              <w:t>Unclear</w:t>
            </w:r>
            <w:r w:rsidRPr="0054775B">
              <w:t xml:space="preserve"> </w:t>
            </w:r>
            <w:r w:rsidR="0074181B" w:rsidRPr="0054775B">
              <w:t>risk</w:t>
            </w:r>
          </w:p>
        </w:tc>
      </w:tr>
      <w:tr w:rsidR="00EA33C2" w:rsidRPr="0054775B" w14:paraId="716CC0A7" w14:textId="77777777" w:rsidTr="00C00706">
        <w:trPr>
          <w:trHeight w:val="95"/>
        </w:trPr>
        <w:tc>
          <w:tcPr>
            <w:tcW w:w="2263" w:type="dxa"/>
            <w:shd w:val="clear" w:color="auto" w:fill="auto"/>
          </w:tcPr>
          <w:p w14:paraId="2BE1F8D6" w14:textId="3C1C43E9" w:rsidR="00EA33C2" w:rsidRPr="0054775B" w:rsidRDefault="00EA33C2" w:rsidP="00D8533C">
            <w:pPr>
              <w:pStyle w:val="2024TABLETEXT"/>
              <w:framePr w:hSpace="0" w:wrap="auto" w:vAnchor="margin" w:yAlign="inline"/>
              <w:suppressOverlap w:val="0"/>
            </w:pPr>
            <w:r w:rsidRPr="0054775B">
              <w:t>Shang 2022</w:t>
            </w:r>
          </w:p>
        </w:tc>
        <w:tc>
          <w:tcPr>
            <w:tcW w:w="1418" w:type="dxa"/>
            <w:shd w:val="clear" w:color="auto" w:fill="auto"/>
          </w:tcPr>
          <w:p w14:paraId="1713FF03" w14:textId="048588C8" w:rsidR="00EA33C2" w:rsidRPr="0054775B" w:rsidRDefault="00EA33C2" w:rsidP="00D8533C">
            <w:pPr>
              <w:pStyle w:val="2024TABLETEXT"/>
              <w:framePr w:hSpace="0" w:wrap="auto" w:vAnchor="margin" w:yAlign="inline"/>
              <w:suppressOverlap w:val="0"/>
              <w:rPr>
                <w:b/>
                <w:bCs/>
              </w:rPr>
            </w:pPr>
            <w:r w:rsidRPr="0054775B">
              <w:t>Low</w:t>
            </w:r>
          </w:p>
        </w:tc>
        <w:tc>
          <w:tcPr>
            <w:tcW w:w="1435" w:type="dxa"/>
            <w:shd w:val="clear" w:color="auto" w:fill="auto"/>
          </w:tcPr>
          <w:p w14:paraId="752AE4B0" w14:textId="6B671195" w:rsidR="00EA33C2" w:rsidRPr="0054775B" w:rsidRDefault="003243EB" w:rsidP="00D8533C">
            <w:pPr>
              <w:pStyle w:val="2024TABLETEXT"/>
              <w:framePr w:hSpace="0" w:wrap="auto" w:vAnchor="margin" w:yAlign="inline"/>
              <w:suppressOverlap w:val="0"/>
              <w:rPr>
                <w:b/>
                <w:bCs/>
              </w:rPr>
            </w:pPr>
            <w:r>
              <w:t>Unclear</w:t>
            </w:r>
          </w:p>
        </w:tc>
        <w:tc>
          <w:tcPr>
            <w:tcW w:w="1328" w:type="dxa"/>
            <w:shd w:val="clear" w:color="auto" w:fill="auto"/>
          </w:tcPr>
          <w:p w14:paraId="09942289" w14:textId="676BC444" w:rsidR="00EA33C2" w:rsidRPr="0054775B" w:rsidRDefault="00EA33C2" w:rsidP="00D8533C">
            <w:pPr>
              <w:pStyle w:val="2024TABLETEXT"/>
              <w:framePr w:hSpace="0" w:wrap="auto" w:vAnchor="margin" w:yAlign="inline"/>
              <w:suppressOverlap w:val="0"/>
              <w:rPr>
                <w:b/>
                <w:bCs/>
              </w:rPr>
            </w:pPr>
            <w:r w:rsidRPr="0054775B">
              <w:t>Low</w:t>
            </w:r>
          </w:p>
        </w:tc>
        <w:tc>
          <w:tcPr>
            <w:tcW w:w="1326" w:type="dxa"/>
            <w:shd w:val="clear" w:color="auto" w:fill="auto"/>
          </w:tcPr>
          <w:p w14:paraId="12FD9925" w14:textId="2C555060" w:rsidR="00EA33C2" w:rsidRPr="0054775B" w:rsidRDefault="00EA33C2" w:rsidP="00D8533C">
            <w:pPr>
              <w:pStyle w:val="2024TABLETEXT"/>
              <w:framePr w:hSpace="0" w:wrap="auto" w:vAnchor="margin" w:yAlign="inline"/>
              <w:suppressOverlap w:val="0"/>
              <w:rPr>
                <w:b/>
                <w:bCs/>
              </w:rPr>
            </w:pPr>
            <w:r w:rsidRPr="0054775B">
              <w:t>Low</w:t>
            </w:r>
          </w:p>
        </w:tc>
        <w:tc>
          <w:tcPr>
            <w:tcW w:w="1246" w:type="dxa"/>
            <w:shd w:val="clear" w:color="auto" w:fill="auto"/>
          </w:tcPr>
          <w:p w14:paraId="25E8DCD6" w14:textId="5FF94D63" w:rsidR="00EA33C2" w:rsidRPr="0054775B" w:rsidRDefault="00EA33C2" w:rsidP="00D8533C">
            <w:pPr>
              <w:pStyle w:val="2024TABLETEXT"/>
              <w:framePr w:hSpace="0" w:wrap="auto" w:vAnchor="margin" w:yAlign="inline"/>
              <w:suppressOverlap w:val="0"/>
              <w:rPr>
                <w:b/>
                <w:bCs/>
              </w:rPr>
            </w:pPr>
            <w:r w:rsidRPr="0054775B">
              <w:t>Low risk</w:t>
            </w:r>
          </w:p>
        </w:tc>
      </w:tr>
      <w:tr w:rsidR="00EA33C2" w:rsidRPr="0054775B" w14:paraId="141260F7" w14:textId="77777777" w:rsidTr="00C00706">
        <w:trPr>
          <w:trHeight w:val="95"/>
        </w:trPr>
        <w:tc>
          <w:tcPr>
            <w:tcW w:w="2263" w:type="dxa"/>
            <w:shd w:val="clear" w:color="auto" w:fill="auto"/>
          </w:tcPr>
          <w:p w14:paraId="33C8FC87" w14:textId="23661C62" w:rsidR="00EA33C2" w:rsidRPr="0054775B" w:rsidRDefault="00EA33C2" w:rsidP="00D8533C">
            <w:pPr>
              <w:pStyle w:val="2024TABLETEXT"/>
              <w:framePr w:hSpace="0" w:wrap="auto" w:vAnchor="margin" w:yAlign="inline"/>
              <w:suppressOverlap w:val="0"/>
            </w:pPr>
            <w:r w:rsidRPr="0054775B">
              <w:t>Sun 2020</w:t>
            </w:r>
          </w:p>
        </w:tc>
        <w:tc>
          <w:tcPr>
            <w:tcW w:w="1418" w:type="dxa"/>
            <w:shd w:val="clear" w:color="auto" w:fill="auto"/>
          </w:tcPr>
          <w:p w14:paraId="408CA5E7" w14:textId="7A1AB8FC" w:rsidR="00EA33C2" w:rsidRPr="0054775B" w:rsidRDefault="00EA33C2" w:rsidP="00D8533C">
            <w:pPr>
              <w:pStyle w:val="2024TABLETEXT"/>
              <w:framePr w:hSpace="0" w:wrap="auto" w:vAnchor="margin" w:yAlign="inline"/>
              <w:suppressOverlap w:val="0"/>
              <w:rPr>
                <w:b/>
                <w:bCs/>
              </w:rPr>
            </w:pPr>
            <w:r w:rsidRPr="0054775B">
              <w:t>Low</w:t>
            </w:r>
          </w:p>
        </w:tc>
        <w:tc>
          <w:tcPr>
            <w:tcW w:w="1435" w:type="dxa"/>
            <w:shd w:val="clear" w:color="auto" w:fill="auto"/>
          </w:tcPr>
          <w:p w14:paraId="6EC5671B" w14:textId="6E379C92" w:rsidR="00EA33C2" w:rsidRPr="0054775B" w:rsidRDefault="00EA33C2" w:rsidP="00D8533C">
            <w:pPr>
              <w:pStyle w:val="2024TABLETEXT"/>
              <w:framePr w:hSpace="0" w:wrap="auto" w:vAnchor="margin" w:yAlign="inline"/>
              <w:suppressOverlap w:val="0"/>
              <w:rPr>
                <w:b/>
                <w:bCs/>
              </w:rPr>
            </w:pPr>
            <w:r w:rsidRPr="0054775B">
              <w:t>Low</w:t>
            </w:r>
          </w:p>
        </w:tc>
        <w:tc>
          <w:tcPr>
            <w:tcW w:w="1328" w:type="dxa"/>
            <w:shd w:val="clear" w:color="auto" w:fill="auto"/>
          </w:tcPr>
          <w:p w14:paraId="26116EFF" w14:textId="667E84FF" w:rsidR="00EA33C2" w:rsidRPr="0054775B" w:rsidRDefault="00EA33C2" w:rsidP="00D8533C">
            <w:pPr>
              <w:pStyle w:val="2024TABLETEXT"/>
              <w:framePr w:hSpace="0" w:wrap="auto" w:vAnchor="margin" w:yAlign="inline"/>
              <w:suppressOverlap w:val="0"/>
              <w:rPr>
                <w:b/>
                <w:bCs/>
              </w:rPr>
            </w:pPr>
            <w:r w:rsidRPr="0054775B">
              <w:t>Low</w:t>
            </w:r>
          </w:p>
        </w:tc>
        <w:tc>
          <w:tcPr>
            <w:tcW w:w="1326" w:type="dxa"/>
            <w:shd w:val="clear" w:color="auto" w:fill="auto"/>
          </w:tcPr>
          <w:p w14:paraId="05DBED9A" w14:textId="266448B1" w:rsidR="00EA33C2" w:rsidRPr="0054775B" w:rsidRDefault="00841515" w:rsidP="00D8533C">
            <w:pPr>
              <w:pStyle w:val="2024TABLETEXT"/>
              <w:framePr w:hSpace="0" w:wrap="auto" w:vAnchor="margin" w:yAlign="inline"/>
              <w:suppressOverlap w:val="0"/>
              <w:rPr>
                <w:b/>
                <w:bCs/>
              </w:rPr>
            </w:pPr>
            <w:r>
              <w:t>High</w:t>
            </w:r>
          </w:p>
        </w:tc>
        <w:tc>
          <w:tcPr>
            <w:tcW w:w="1246" w:type="dxa"/>
            <w:shd w:val="clear" w:color="auto" w:fill="auto"/>
          </w:tcPr>
          <w:p w14:paraId="6136F2ED" w14:textId="203B1597" w:rsidR="00EA33C2" w:rsidRPr="0054775B" w:rsidRDefault="00841515" w:rsidP="00D8533C">
            <w:pPr>
              <w:pStyle w:val="2024TABLETEXT"/>
              <w:framePr w:hSpace="0" w:wrap="auto" w:vAnchor="margin" w:yAlign="inline"/>
              <w:suppressOverlap w:val="0"/>
              <w:rPr>
                <w:b/>
                <w:bCs/>
              </w:rPr>
            </w:pPr>
            <w:r>
              <w:t>High</w:t>
            </w:r>
            <w:r w:rsidRPr="0054775B">
              <w:t xml:space="preserve"> </w:t>
            </w:r>
            <w:r w:rsidR="00EA33C2" w:rsidRPr="0054775B">
              <w:t>risk</w:t>
            </w:r>
          </w:p>
        </w:tc>
      </w:tr>
      <w:tr w:rsidR="00EA33C2" w:rsidRPr="0054775B" w14:paraId="30527C9A" w14:textId="77777777" w:rsidTr="00C00706">
        <w:trPr>
          <w:trHeight w:val="95"/>
        </w:trPr>
        <w:tc>
          <w:tcPr>
            <w:tcW w:w="2263" w:type="dxa"/>
            <w:shd w:val="clear" w:color="auto" w:fill="auto"/>
          </w:tcPr>
          <w:p w14:paraId="7A16C068" w14:textId="1F5BB42B" w:rsidR="00EA33C2" w:rsidRPr="0054775B" w:rsidRDefault="00EA33C2" w:rsidP="00D8533C">
            <w:pPr>
              <w:pStyle w:val="2024TABLETEXT"/>
              <w:framePr w:hSpace="0" w:wrap="auto" w:vAnchor="margin" w:yAlign="inline"/>
              <w:suppressOverlap w:val="0"/>
            </w:pPr>
            <w:r w:rsidRPr="0054775B">
              <w:t>Wang 2022</w:t>
            </w:r>
          </w:p>
        </w:tc>
        <w:tc>
          <w:tcPr>
            <w:tcW w:w="1418" w:type="dxa"/>
            <w:shd w:val="clear" w:color="auto" w:fill="auto"/>
          </w:tcPr>
          <w:p w14:paraId="55E052D6" w14:textId="0A946167" w:rsidR="00EA33C2" w:rsidRPr="0054775B" w:rsidRDefault="00EA33C2" w:rsidP="00D8533C">
            <w:pPr>
              <w:pStyle w:val="2024TABLETEXT"/>
              <w:framePr w:hSpace="0" w:wrap="auto" w:vAnchor="margin" w:yAlign="inline"/>
              <w:suppressOverlap w:val="0"/>
              <w:rPr>
                <w:b/>
                <w:bCs/>
              </w:rPr>
            </w:pPr>
            <w:r w:rsidRPr="0054775B">
              <w:t>Low</w:t>
            </w:r>
          </w:p>
        </w:tc>
        <w:tc>
          <w:tcPr>
            <w:tcW w:w="1435" w:type="dxa"/>
            <w:shd w:val="clear" w:color="auto" w:fill="auto"/>
          </w:tcPr>
          <w:p w14:paraId="19D6BBBA" w14:textId="79695600" w:rsidR="00EA33C2" w:rsidRPr="0054775B" w:rsidRDefault="00EA33C2" w:rsidP="00D8533C">
            <w:pPr>
              <w:pStyle w:val="2024TABLETEXT"/>
              <w:framePr w:hSpace="0" w:wrap="auto" w:vAnchor="margin" w:yAlign="inline"/>
              <w:suppressOverlap w:val="0"/>
              <w:rPr>
                <w:b/>
                <w:bCs/>
              </w:rPr>
            </w:pPr>
            <w:r w:rsidRPr="0054775B">
              <w:t>Low</w:t>
            </w:r>
          </w:p>
        </w:tc>
        <w:tc>
          <w:tcPr>
            <w:tcW w:w="1328" w:type="dxa"/>
            <w:shd w:val="clear" w:color="auto" w:fill="auto"/>
          </w:tcPr>
          <w:p w14:paraId="5DEC9C32" w14:textId="591536EF" w:rsidR="00EA33C2" w:rsidRPr="0054775B" w:rsidRDefault="00EA33C2" w:rsidP="00D8533C">
            <w:pPr>
              <w:pStyle w:val="2024TABLETEXT"/>
              <w:framePr w:hSpace="0" w:wrap="auto" w:vAnchor="margin" w:yAlign="inline"/>
              <w:suppressOverlap w:val="0"/>
              <w:rPr>
                <w:b/>
                <w:bCs/>
              </w:rPr>
            </w:pPr>
            <w:r w:rsidRPr="0054775B">
              <w:t>Low</w:t>
            </w:r>
          </w:p>
        </w:tc>
        <w:tc>
          <w:tcPr>
            <w:tcW w:w="1326" w:type="dxa"/>
            <w:shd w:val="clear" w:color="auto" w:fill="auto"/>
          </w:tcPr>
          <w:p w14:paraId="59310AE5" w14:textId="1DE94F1C" w:rsidR="00EA33C2" w:rsidRPr="0054775B" w:rsidRDefault="00EA33C2" w:rsidP="00D8533C">
            <w:pPr>
              <w:pStyle w:val="2024TABLETEXT"/>
              <w:framePr w:hSpace="0" w:wrap="auto" w:vAnchor="margin" w:yAlign="inline"/>
              <w:suppressOverlap w:val="0"/>
              <w:rPr>
                <w:b/>
                <w:bCs/>
              </w:rPr>
            </w:pPr>
            <w:r w:rsidRPr="0054775B">
              <w:t>Low</w:t>
            </w:r>
          </w:p>
        </w:tc>
        <w:tc>
          <w:tcPr>
            <w:tcW w:w="1246" w:type="dxa"/>
            <w:shd w:val="clear" w:color="auto" w:fill="auto"/>
          </w:tcPr>
          <w:p w14:paraId="497BE023" w14:textId="1A8CA84F" w:rsidR="00EA33C2" w:rsidRPr="0054775B" w:rsidRDefault="00EA33C2" w:rsidP="00D8533C">
            <w:pPr>
              <w:pStyle w:val="2024TABLETEXT"/>
              <w:framePr w:hSpace="0" w:wrap="auto" w:vAnchor="margin" w:yAlign="inline"/>
              <w:suppressOverlap w:val="0"/>
              <w:rPr>
                <w:b/>
                <w:bCs/>
              </w:rPr>
            </w:pPr>
            <w:r w:rsidRPr="0054775B">
              <w:t>Low risk</w:t>
            </w:r>
          </w:p>
        </w:tc>
      </w:tr>
      <w:tr w:rsidR="00EA33C2" w:rsidRPr="0054775B" w14:paraId="642AED94" w14:textId="77777777" w:rsidTr="00C00706">
        <w:trPr>
          <w:trHeight w:val="95"/>
        </w:trPr>
        <w:tc>
          <w:tcPr>
            <w:tcW w:w="2263" w:type="dxa"/>
            <w:shd w:val="clear" w:color="auto" w:fill="auto"/>
          </w:tcPr>
          <w:p w14:paraId="0C7CC6CC" w14:textId="1C1BA3EC" w:rsidR="00EA33C2" w:rsidRPr="0054775B" w:rsidRDefault="00EA33C2" w:rsidP="00D8533C">
            <w:pPr>
              <w:pStyle w:val="2024TABLETEXT"/>
              <w:framePr w:hSpace="0" w:wrap="auto" w:vAnchor="margin" w:yAlign="inline"/>
              <w:suppressOverlap w:val="0"/>
            </w:pPr>
            <w:r w:rsidRPr="0054775B">
              <w:t>Wen 2020</w:t>
            </w:r>
          </w:p>
        </w:tc>
        <w:tc>
          <w:tcPr>
            <w:tcW w:w="1418" w:type="dxa"/>
            <w:shd w:val="clear" w:color="auto" w:fill="auto"/>
          </w:tcPr>
          <w:p w14:paraId="29E32F04" w14:textId="2121AEF3" w:rsidR="00EA33C2" w:rsidRPr="0054775B" w:rsidRDefault="00EA33C2" w:rsidP="00D8533C">
            <w:pPr>
              <w:pStyle w:val="2024TABLETEXT"/>
              <w:framePr w:hSpace="0" w:wrap="auto" w:vAnchor="margin" w:yAlign="inline"/>
              <w:suppressOverlap w:val="0"/>
              <w:rPr>
                <w:b/>
                <w:bCs/>
              </w:rPr>
            </w:pPr>
            <w:r w:rsidRPr="0054775B">
              <w:t>Low</w:t>
            </w:r>
          </w:p>
        </w:tc>
        <w:tc>
          <w:tcPr>
            <w:tcW w:w="1435" w:type="dxa"/>
            <w:shd w:val="clear" w:color="auto" w:fill="auto"/>
          </w:tcPr>
          <w:p w14:paraId="0B8F7B0E" w14:textId="23BC2E1B" w:rsidR="00EA33C2" w:rsidRPr="0054775B" w:rsidRDefault="003243EB" w:rsidP="00D8533C">
            <w:pPr>
              <w:pStyle w:val="2024TABLETEXT"/>
              <w:framePr w:hSpace="0" w:wrap="auto" w:vAnchor="margin" w:yAlign="inline"/>
              <w:suppressOverlap w:val="0"/>
              <w:rPr>
                <w:b/>
                <w:bCs/>
              </w:rPr>
            </w:pPr>
            <w:r>
              <w:t>Unclear</w:t>
            </w:r>
          </w:p>
        </w:tc>
        <w:tc>
          <w:tcPr>
            <w:tcW w:w="1328" w:type="dxa"/>
            <w:shd w:val="clear" w:color="auto" w:fill="auto"/>
          </w:tcPr>
          <w:p w14:paraId="1A709052" w14:textId="7C4D6138" w:rsidR="00EA33C2" w:rsidRPr="0054775B" w:rsidRDefault="00EA33C2" w:rsidP="00D8533C">
            <w:pPr>
              <w:pStyle w:val="2024TABLETEXT"/>
              <w:framePr w:hSpace="0" w:wrap="auto" w:vAnchor="margin" w:yAlign="inline"/>
              <w:suppressOverlap w:val="0"/>
              <w:rPr>
                <w:b/>
                <w:bCs/>
              </w:rPr>
            </w:pPr>
            <w:r w:rsidRPr="0054775B">
              <w:t>Low</w:t>
            </w:r>
          </w:p>
        </w:tc>
        <w:tc>
          <w:tcPr>
            <w:tcW w:w="1326" w:type="dxa"/>
            <w:shd w:val="clear" w:color="auto" w:fill="auto"/>
          </w:tcPr>
          <w:p w14:paraId="6B5D5129" w14:textId="3F978C57" w:rsidR="00EA33C2" w:rsidRPr="0054775B" w:rsidRDefault="00EA33C2" w:rsidP="00D8533C">
            <w:pPr>
              <w:pStyle w:val="2024TABLETEXT"/>
              <w:framePr w:hSpace="0" w:wrap="auto" w:vAnchor="margin" w:yAlign="inline"/>
              <w:suppressOverlap w:val="0"/>
              <w:rPr>
                <w:b/>
                <w:bCs/>
              </w:rPr>
            </w:pPr>
            <w:r w:rsidRPr="0054775B">
              <w:t>Low</w:t>
            </w:r>
          </w:p>
        </w:tc>
        <w:tc>
          <w:tcPr>
            <w:tcW w:w="1246" w:type="dxa"/>
            <w:shd w:val="clear" w:color="auto" w:fill="auto"/>
          </w:tcPr>
          <w:p w14:paraId="75FF74A6" w14:textId="33EFCE22" w:rsidR="00EA33C2" w:rsidRPr="0054775B" w:rsidRDefault="00EA33C2" w:rsidP="00D8533C">
            <w:pPr>
              <w:pStyle w:val="2024TABLETEXT"/>
              <w:framePr w:hSpace="0" w:wrap="auto" w:vAnchor="margin" w:yAlign="inline"/>
              <w:suppressOverlap w:val="0"/>
              <w:rPr>
                <w:b/>
                <w:bCs/>
              </w:rPr>
            </w:pPr>
            <w:r w:rsidRPr="0054775B">
              <w:t>Low risk</w:t>
            </w:r>
          </w:p>
        </w:tc>
      </w:tr>
      <w:tr w:rsidR="00EA33C2" w:rsidRPr="0054775B" w14:paraId="254E95F9" w14:textId="77777777" w:rsidTr="00C00706">
        <w:trPr>
          <w:trHeight w:val="95"/>
        </w:trPr>
        <w:tc>
          <w:tcPr>
            <w:tcW w:w="2263" w:type="dxa"/>
            <w:shd w:val="clear" w:color="auto" w:fill="auto"/>
          </w:tcPr>
          <w:p w14:paraId="2D33B7C2" w14:textId="6B6C6774" w:rsidR="00EA33C2" w:rsidRPr="0054775B" w:rsidRDefault="00EA33C2" w:rsidP="00D8533C">
            <w:pPr>
              <w:pStyle w:val="2024TABLETEXT"/>
              <w:framePr w:hSpace="0" w:wrap="auto" w:vAnchor="margin" w:yAlign="inline"/>
              <w:suppressOverlap w:val="0"/>
            </w:pPr>
            <w:r w:rsidRPr="0054775B">
              <w:t>Xu 2021</w:t>
            </w:r>
          </w:p>
        </w:tc>
        <w:tc>
          <w:tcPr>
            <w:tcW w:w="1418" w:type="dxa"/>
            <w:shd w:val="clear" w:color="auto" w:fill="auto"/>
          </w:tcPr>
          <w:p w14:paraId="341D48F9" w14:textId="11C3B0BE" w:rsidR="00EA33C2" w:rsidRPr="0054775B" w:rsidRDefault="00EA33C2" w:rsidP="00D8533C">
            <w:pPr>
              <w:pStyle w:val="2024TABLETEXT"/>
              <w:framePr w:hSpace="0" w:wrap="auto" w:vAnchor="margin" w:yAlign="inline"/>
              <w:suppressOverlap w:val="0"/>
              <w:rPr>
                <w:b/>
                <w:bCs/>
              </w:rPr>
            </w:pPr>
            <w:r w:rsidRPr="0054775B">
              <w:t>Low</w:t>
            </w:r>
          </w:p>
        </w:tc>
        <w:tc>
          <w:tcPr>
            <w:tcW w:w="1435" w:type="dxa"/>
            <w:shd w:val="clear" w:color="auto" w:fill="auto"/>
          </w:tcPr>
          <w:p w14:paraId="62853FF9" w14:textId="28815D0B" w:rsidR="00EA33C2" w:rsidRPr="0054775B" w:rsidRDefault="003243EB" w:rsidP="00D8533C">
            <w:pPr>
              <w:pStyle w:val="2024TABLETEXT"/>
              <w:framePr w:hSpace="0" w:wrap="auto" w:vAnchor="margin" w:yAlign="inline"/>
              <w:suppressOverlap w:val="0"/>
              <w:rPr>
                <w:b/>
                <w:bCs/>
              </w:rPr>
            </w:pPr>
            <w:r>
              <w:t>Unclear</w:t>
            </w:r>
          </w:p>
        </w:tc>
        <w:tc>
          <w:tcPr>
            <w:tcW w:w="1328" w:type="dxa"/>
            <w:shd w:val="clear" w:color="auto" w:fill="auto"/>
          </w:tcPr>
          <w:p w14:paraId="2CF42EE7" w14:textId="50D07091" w:rsidR="00EA33C2" w:rsidRPr="0054775B" w:rsidRDefault="00EA33C2" w:rsidP="00D8533C">
            <w:pPr>
              <w:pStyle w:val="2024TABLETEXT"/>
              <w:framePr w:hSpace="0" w:wrap="auto" w:vAnchor="margin" w:yAlign="inline"/>
              <w:suppressOverlap w:val="0"/>
              <w:rPr>
                <w:b/>
                <w:bCs/>
              </w:rPr>
            </w:pPr>
            <w:r w:rsidRPr="0054775B">
              <w:t>Low</w:t>
            </w:r>
          </w:p>
        </w:tc>
        <w:tc>
          <w:tcPr>
            <w:tcW w:w="1326" w:type="dxa"/>
            <w:shd w:val="clear" w:color="auto" w:fill="auto"/>
          </w:tcPr>
          <w:p w14:paraId="2EB82451" w14:textId="2AF4A291" w:rsidR="00EA33C2" w:rsidRPr="0054775B" w:rsidRDefault="00841515" w:rsidP="00D8533C">
            <w:pPr>
              <w:pStyle w:val="2024TABLETEXT"/>
              <w:framePr w:hSpace="0" w:wrap="auto" w:vAnchor="margin" w:yAlign="inline"/>
              <w:suppressOverlap w:val="0"/>
              <w:rPr>
                <w:b/>
                <w:bCs/>
              </w:rPr>
            </w:pPr>
            <w:r>
              <w:t>Unclear</w:t>
            </w:r>
          </w:p>
        </w:tc>
        <w:tc>
          <w:tcPr>
            <w:tcW w:w="1246" w:type="dxa"/>
            <w:shd w:val="clear" w:color="auto" w:fill="auto"/>
          </w:tcPr>
          <w:p w14:paraId="69560D71" w14:textId="40864830" w:rsidR="00EA33C2" w:rsidRPr="0054775B" w:rsidRDefault="000945EE" w:rsidP="00D8533C">
            <w:pPr>
              <w:pStyle w:val="2024TABLETEXT"/>
              <w:framePr w:hSpace="0" w:wrap="auto" w:vAnchor="margin" w:yAlign="inline"/>
              <w:suppressOverlap w:val="0"/>
              <w:rPr>
                <w:b/>
                <w:bCs/>
              </w:rPr>
            </w:pPr>
            <w:r>
              <w:t>Unclear</w:t>
            </w:r>
            <w:r w:rsidRPr="0054775B">
              <w:t xml:space="preserve"> </w:t>
            </w:r>
            <w:r w:rsidR="00EA33C2" w:rsidRPr="0054775B">
              <w:t>risk</w:t>
            </w:r>
          </w:p>
        </w:tc>
      </w:tr>
      <w:tr w:rsidR="000945EE" w:rsidRPr="0054775B" w14:paraId="741FFDB0" w14:textId="77777777" w:rsidTr="00C00706">
        <w:trPr>
          <w:trHeight w:val="41"/>
        </w:trPr>
        <w:tc>
          <w:tcPr>
            <w:tcW w:w="2263" w:type="dxa"/>
            <w:shd w:val="clear" w:color="auto" w:fill="auto"/>
          </w:tcPr>
          <w:p w14:paraId="2DDF3881" w14:textId="194DC89B" w:rsidR="000945EE" w:rsidRPr="0054775B" w:rsidRDefault="000945EE" w:rsidP="000945EE">
            <w:pPr>
              <w:pStyle w:val="2024TABLETEXT"/>
              <w:framePr w:hSpace="0" w:wrap="auto" w:vAnchor="margin" w:yAlign="inline"/>
              <w:suppressOverlap w:val="0"/>
            </w:pPr>
            <w:r w:rsidRPr="0054775B">
              <w:t>Yuan 2017</w:t>
            </w:r>
          </w:p>
        </w:tc>
        <w:tc>
          <w:tcPr>
            <w:tcW w:w="1418" w:type="dxa"/>
            <w:shd w:val="clear" w:color="auto" w:fill="auto"/>
          </w:tcPr>
          <w:p w14:paraId="678766A2" w14:textId="520F1592" w:rsidR="000945EE" w:rsidRPr="0054775B" w:rsidRDefault="000945EE" w:rsidP="000945EE">
            <w:pPr>
              <w:pStyle w:val="2024TABLETEXT"/>
              <w:framePr w:hSpace="0" w:wrap="auto" w:vAnchor="margin" w:yAlign="inline"/>
              <w:suppressOverlap w:val="0"/>
              <w:rPr>
                <w:b/>
                <w:bCs/>
              </w:rPr>
            </w:pPr>
            <w:r w:rsidRPr="0054775B">
              <w:t>Low</w:t>
            </w:r>
          </w:p>
        </w:tc>
        <w:tc>
          <w:tcPr>
            <w:tcW w:w="1435" w:type="dxa"/>
            <w:shd w:val="clear" w:color="auto" w:fill="auto"/>
          </w:tcPr>
          <w:p w14:paraId="5079306A" w14:textId="047F3CF9" w:rsidR="000945EE" w:rsidRPr="0054775B" w:rsidRDefault="006C6073" w:rsidP="000945EE">
            <w:pPr>
              <w:pStyle w:val="2024TABLETEXT"/>
              <w:framePr w:hSpace="0" w:wrap="auto" w:vAnchor="margin" w:yAlign="inline"/>
              <w:suppressOverlap w:val="0"/>
              <w:rPr>
                <w:b/>
                <w:bCs/>
              </w:rPr>
            </w:pPr>
            <w:r>
              <w:t>Unclear</w:t>
            </w:r>
          </w:p>
        </w:tc>
        <w:tc>
          <w:tcPr>
            <w:tcW w:w="1328" w:type="dxa"/>
            <w:shd w:val="clear" w:color="auto" w:fill="auto"/>
          </w:tcPr>
          <w:p w14:paraId="54432AFF" w14:textId="5BC04164" w:rsidR="000945EE" w:rsidRPr="0054775B" w:rsidRDefault="000945EE" w:rsidP="000945EE">
            <w:pPr>
              <w:pStyle w:val="2024TABLETEXT"/>
              <w:framePr w:hSpace="0" w:wrap="auto" w:vAnchor="margin" w:yAlign="inline"/>
              <w:suppressOverlap w:val="0"/>
              <w:rPr>
                <w:b/>
                <w:bCs/>
              </w:rPr>
            </w:pPr>
            <w:r w:rsidRPr="0054775B">
              <w:t>Unclear</w:t>
            </w:r>
          </w:p>
        </w:tc>
        <w:tc>
          <w:tcPr>
            <w:tcW w:w="1326" w:type="dxa"/>
            <w:shd w:val="clear" w:color="auto" w:fill="auto"/>
          </w:tcPr>
          <w:p w14:paraId="2FD56655" w14:textId="208F17A1" w:rsidR="000945EE" w:rsidRPr="0054775B" w:rsidRDefault="000945EE" w:rsidP="000945EE">
            <w:pPr>
              <w:pStyle w:val="2024TABLETEXT"/>
              <w:framePr w:hSpace="0" w:wrap="auto" w:vAnchor="margin" w:yAlign="inline"/>
              <w:suppressOverlap w:val="0"/>
              <w:rPr>
                <w:b/>
                <w:bCs/>
              </w:rPr>
            </w:pPr>
            <w:r>
              <w:t>Unclear</w:t>
            </w:r>
          </w:p>
        </w:tc>
        <w:tc>
          <w:tcPr>
            <w:tcW w:w="1246" w:type="dxa"/>
            <w:shd w:val="clear" w:color="auto" w:fill="auto"/>
          </w:tcPr>
          <w:p w14:paraId="28C3A1B9" w14:textId="71BA8BD6" w:rsidR="000945EE" w:rsidRPr="0054775B" w:rsidRDefault="000945EE" w:rsidP="000945EE">
            <w:pPr>
              <w:pStyle w:val="2024TABLETEXT"/>
              <w:framePr w:hSpace="0" w:wrap="auto" w:vAnchor="margin" w:yAlign="inline"/>
              <w:suppressOverlap w:val="0"/>
              <w:rPr>
                <w:b/>
                <w:bCs/>
              </w:rPr>
            </w:pPr>
            <w:r>
              <w:t>Unclear</w:t>
            </w:r>
            <w:r w:rsidRPr="0054775B">
              <w:t xml:space="preserve"> </w:t>
            </w:r>
            <w:r w:rsidRPr="0054775B" w:rsidDel="00DD44BE">
              <w:t>risk</w:t>
            </w:r>
          </w:p>
        </w:tc>
      </w:tr>
      <w:tr w:rsidR="000945EE" w:rsidRPr="0054775B" w14:paraId="14858055" w14:textId="77777777" w:rsidTr="00C00706">
        <w:trPr>
          <w:trHeight w:val="95"/>
        </w:trPr>
        <w:tc>
          <w:tcPr>
            <w:tcW w:w="2263" w:type="dxa"/>
            <w:shd w:val="clear" w:color="auto" w:fill="auto"/>
          </w:tcPr>
          <w:p w14:paraId="29EAF723" w14:textId="5815A478" w:rsidR="000945EE" w:rsidRPr="0054775B" w:rsidRDefault="000945EE" w:rsidP="000945EE">
            <w:pPr>
              <w:pStyle w:val="2024TABLETEXT"/>
              <w:framePr w:hSpace="0" w:wrap="auto" w:vAnchor="margin" w:yAlign="inline"/>
              <w:suppressOverlap w:val="0"/>
            </w:pPr>
            <w:r w:rsidRPr="0054775B">
              <w:t>Zhang 2016</w:t>
            </w:r>
          </w:p>
        </w:tc>
        <w:tc>
          <w:tcPr>
            <w:tcW w:w="1418" w:type="dxa"/>
            <w:shd w:val="clear" w:color="auto" w:fill="auto"/>
          </w:tcPr>
          <w:p w14:paraId="3617CFA9" w14:textId="4BD58DDD" w:rsidR="000945EE" w:rsidRPr="0054775B" w:rsidRDefault="000945EE" w:rsidP="000945EE">
            <w:pPr>
              <w:pStyle w:val="2024TABLETEXT"/>
              <w:framePr w:hSpace="0" w:wrap="auto" w:vAnchor="margin" w:yAlign="inline"/>
              <w:suppressOverlap w:val="0"/>
              <w:rPr>
                <w:b/>
                <w:bCs/>
              </w:rPr>
            </w:pPr>
            <w:r w:rsidRPr="0054775B">
              <w:t>Low</w:t>
            </w:r>
          </w:p>
        </w:tc>
        <w:tc>
          <w:tcPr>
            <w:tcW w:w="1435" w:type="dxa"/>
            <w:shd w:val="clear" w:color="auto" w:fill="auto"/>
          </w:tcPr>
          <w:p w14:paraId="4A8646FB" w14:textId="7F190FAF" w:rsidR="000945EE" w:rsidRPr="0054775B" w:rsidRDefault="000945EE" w:rsidP="000945EE">
            <w:pPr>
              <w:pStyle w:val="2024TABLETEXT"/>
              <w:framePr w:hSpace="0" w:wrap="auto" w:vAnchor="margin" w:yAlign="inline"/>
              <w:suppressOverlap w:val="0"/>
              <w:rPr>
                <w:b/>
                <w:bCs/>
              </w:rPr>
            </w:pPr>
            <w:r w:rsidRPr="0054775B">
              <w:t>Unclear</w:t>
            </w:r>
          </w:p>
        </w:tc>
        <w:tc>
          <w:tcPr>
            <w:tcW w:w="1328" w:type="dxa"/>
            <w:shd w:val="clear" w:color="auto" w:fill="auto"/>
          </w:tcPr>
          <w:p w14:paraId="1C5DFB0E" w14:textId="4FE6EA1E" w:rsidR="000945EE" w:rsidRPr="0054775B" w:rsidRDefault="000945EE" w:rsidP="000945EE">
            <w:pPr>
              <w:pStyle w:val="2024TABLETEXT"/>
              <w:framePr w:hSpace="0" w:wrap="auto" w:vAnchor="margin" w:yAlign="inline"/>
              <w:suppressOverlap w:val="0"/>
              <w:rPr>
                <w:b/>
                <w:bCs/>
              </w:rPr>
            </w:pPr>
            <w:r w:rsidRPr="0054775B">
              <w:t>Low</w:t>
            </w:r>
          </w:p>
        </w:tc>
        <w:tc>
          <w:tcPr>
            <w:tcW w:w="1326" w:type="dxa"/>
            <w:shd w:val="clear" w:color="auto" w:fill="auto"/>
          </w:tcPr>
          <w:p w14:paraId="5C7502D4" w14:textId="2DB1F9EF" w:rsidR="000945EE" w:rsidRPr="0054775B" w:rsidRDefault="000945EE" w:rsidP="000945EE">
            <w:pPr>
              <w:pStyle w:val="2024TABLETEXT"/>
              <w:framePr w:hSpace="0" w:wrap="auto" w:vAnchor="margin" w:yAlign="inline"/>
              <w:suppressOverlap w:val="0"/>
              <w:rPr>
                <w:b/>
                <w:bCs/>
              </w:rPr>
            </w:pPr>
            <w:r>
              <w:t>Unclear</w:t>
            </w:r>
          </w:p>
        </w:tc>
        <w:tc>
          <w:tcPr>
            <w:tcW w:w="1246" w:type="dxa"/>
            <w:shd w:val="clear" w:color="auto" w:fill="auto"/>
          </w:tcPr>
          <w:p w14:paraId="0FFA6871" w14:textId="176FEBFD" w:rsidR="000945EE" w:rsidRPr="0054775B" w:rsidRDefault="000945EE" w:rsidP="000945EE">
            <w:pPr>
              <w:pStyle w:val="2024TABLETEXT"/>
              <w:framePr w:hSpace="0" w:wrap="auto" w:vAnchor="margin" w:yAlign="inline"/>
              <w:suppressOverlap w:val="0"/>
              <w:rPr>
                <w:b/>
                <w:bCs/>
              </w:rPr>
            </w:pPr>
            <w:r>
              <w:t>Unclear</w:t>
            </w:r>
            <w:r w:rsidRPr="0054775B">
              <w:t xml:space="preserve"> </w:t>
            </w:r>
            <w:r w:rsidRPr="0054775B" w:rsidDel="00DD44BE">
              <w:t>risk</w:t>
            </w:r>
          </w:p>
        </w:tc>
      </w:tr>
    </w:tbl>
    <w:p w14:paraId="59992E41" w14:textId="3CB23149" w:rsidR="00494FF1" w:rsidRPr="0054775B" w:rsidRDefault="00494FF1" w:rsidP="009E6F7F">
      <w:pPr>
        <w:pStyle w:val="2024HEADER3"/>
        <w:rPr>
          <w:rFonts w:ascii="Aptos" w:hAnsi="Aptos"/>
        </w:rPr>
      </w:pPr>
      <w:r w:rsidRPr="0054775B">
        <w:rPr>
          <w:rFonts w:ascii="Aptos" w:hAnsi="Aptos"/>
        </w:rPr>
        <w:lastRenderedPageBreak/>
        <w:t>Results</w:t>
      </w:r>
    </w:p>
    <w:p w14:paraId="06A0AA2B" w14:textId="2451F272" w:rsidR="00494FF1" w:rsidRPr="0054775B" w:rsidRDefault="006B121C" w:rsidP="009E6F7F">
      <w:r w:rsidRPr="0054775B">
        <w:t>E</w:t>
      </w:r>
      <w:r w:rsidR="00494FF1" w:rsidRPr="0054775B">
        <w:t xml:space="preserve">vidence from the </w:t>
      </w:r>
      <w:r w:rsidRPr="0054775B">
        <w:t xml:space="preserve">lowest risk of bias, </w:t>
      </w:r>
      <w:r w:rsidR="00494FF1" w:rsidRPr="0054775B">
        <w:t>relevant</w:t>
      </w:r>
      <w:r w:rsidRPr="0054775B">
        <w:t xml:space="preserve">, </w:t>
      </w:r>
      <w:r w:rsidR="00F154A1" w:rsidRPr="0054775B">
        <w:t xml:space="preserve">and/or </w:t>
      </w:r>
      <w:r w:rsidR="00494FF1" w:rsidRPr="0054775B">
        <w:t xml:space="preserve">comprehensive review was chosen for each outcome. </w:t>
      </w:r>
      <w:r w:rsidR="00916962" w:rsidRPr="0054775B">
        <w:t xml:space="preserve">Contributing reviews </w:t>
      </w:r>
      <w:r w:rsidR="00494FF1" w:rsidRPr="0054775B">
        <w:t xml:space="preserve">for each population and intervention combination are listed in the matrix in </w:t>
      </w:r>
      <w:r w:rsidR="001B10EA" w:rsidRPr="0054775B">
        <w:rPr>
          <w:highlight w:val="yellow"/>
        </w:rPr>
        <w:fldChar w:fldCharType="begin"/>
      </w:r>
      <w:r w:rsidR="001B10EA" w:rsidRPr="0054775B">
        <w:instrText xml:space="preserve"> REF _Ref161087150 \h </w:instrText>
      </w:r>
      <w:r w:rsidR="001B10EA" w:rsidRPr="0054775B">
        <w:rPr>
          <w:highlight w:val="yellow"/>
        </w:rPr>
      </w:r>
      <w:r w:rsidR="001B10EA" w:rsidRPr="0054775B">
        <w:rPr>
          <w:highlight w:val="yellow"/>
        </w:rPr>
        <w:fldChar w:fldCharType="separate"/>
      </w:r>
      <w:r w:rsidR="001B10EA" w:rsidRPr="0054775B">
        <w:t xml:space="preserve">Table </w:t>
      </w:r>
      <w:r w:rsidR="00651E04">
        <w:rPr>
          <w:noProof/>
        </w:rPr>
        <w:t>10</w:t>
      </w:r>
      <w:r w:rsidR="001B10EA" w:rsidRPr="0054775B">
        <w:rPr>
          <w:highlight w:val="yellow"/>
        </w:rPr>
        <w:fldChar w:fldCharType="end"/>
      </w:r>
      <w:r w:rsidR="00494FF1" w:rsidRPr="0054775B">
        <w:t>.</w:t>
      </w:r>
      <w:r w:rsidR="00784F40">
        <w:t xml:space="preserve"> </w:t>
      </w:r>
    </w:p>
    <w:p w14:paraId="5CACE6B9" w14:textId="0CEAA51D" w:rsidR="00494FF1" w:rsidRPr="0054775B" w:rsidRDefault="00494FF1" w:rsidP="00DC24F3">
      <w:pPr>
        <w:pStyle w:val="2024TABLECAPTION"/>
        <w:rPr>
          <w:rFonts w:ascii="Aptos" w:hAnsi="Aptos"/>
        </w:rPr>
      </w:pPr>
      <w:bookmarkStart w:id="69" w:name="_Ref161087150"/>
      <w:bookmarkStart w:id="70" w:name="_Toc185261588"/>
      <w:r w:rsidRPr="0054775B">
        <w:rPr>
          <w:rFonts w:ascii="Aptos" w:hAnsi="Aptos"/>
        </w:rPr>
        <w:t xml:space="preserve">Table </w:t>
      </w:r>
      <w:r w:rsidRPr="0054775B">
        <w:rPr>
          <w:rFonts w:ascii="Aptos" w:hAnsi="Aptos"/>
        </w:rPr>
        <w:fldChar w:fldCharType="begin"/>
      </w:r>
      <w:r w:rsidRPr="0054775B">
        <w:rPr>
          <w:rFonts w:ascii="Aptos" w:hAnsi="Aptos"/>
        </w:rPr>
        <w:instrText>SEQ Table \* ARABIC</w:instrText>
      </w:r>
      <w:r w:rsidRPr="0054775B">
        <w:rPr>
          <w:rFonts w:ascii="Aptos" w:hAnsi="Aptos"/>
        </w:rPr>
        <w:fldChar w:fldCharType="separate"/>
      </w:r>
      <w:r w:rsidR="00651E04">
        <w:rPr>
          <w:rFonts w:ascii="Aptos" w:hAnsi="Aptos"/>
          <w:noProof/>
        </w:rPr>
        <w:t>10</w:t>
      </w:r>
      <w:r w:rsidRPr="0054775B">
        <w:rPr>
          <w:rFonts w:ascii="Aptos" w:hAnsi="Aptos"/>
        </w:rPr>
        <w:fldChar w:fldCharType="end"/>
      </w:r>
      <w:bookmarkEnd w:id="69"/>
      <w:r w:rsidRPr="0054775B">
        <w:rPr>
          <w:rFonts w:ascii="Aptos" w:hAnsi="Aptos"/>
        </w:rPr>
        <w:t xml:space="preserve">. </w:t>
      </w:r>
      <w:r w:rsidR="00A63B11" w:rsidRPr="0054775B">
        <w:rPr>
          <w:rFonts w:ascii="Aptos" w:hAnsi="Aptos"/>
        </w:rPr>
        <w:t>Contributing</w:t>
      </w:r>
      <w:r w:rsidR="00963A4D" w:rsidRPr="0054775B">
        <w:rPr>
          <w:rFonts w:ascii="Aptos" w:hAnsi="Aptos"/>
        </w:rPr>
        <w:t xml:space="preserve"> reviews for each population and intervention/co-intervention combination – </w:t>
      </w:r>
      <w:r w:rsidR="00821337" w:rsidRPr="0054775B">
        <w:rPr>
          <w:rFonts w:ascii="Aptos" w:hAnsi="Aptos"/>
        </w:rPr>
        <w:t>IBS</w:t>
      </w:r>
      <w:r w:rsidRPr="0054775B">
        <w:rPr>
          <w:rFonts w:ascii="Aptos" w:hAnsi="Aptos"/>
        </w:rPr>
        <w:t xml:space="preserve">, </w:t>
      </w:r>
      <w:r w:rsidR="00821337" w:rsidRPr="0054775B">
        <w:rPr>
          <w:rFonts w:ascii="Aptos" w:hAnsi="Aptos"/>
        </w:rPr>
        <w:t>probiotics</w:t>
      </w:r>
      <w:r w:rsidRPr="0054775B">
        <w:rPr>
          <w:rFonts w:ascii="Aptos" w:hAnsi="Aptos"/>
        </w:rPr>
        <w:t>.</w:t>
      </w:r>
      <w:bookmarkEnd w:id="70"/>
    </w:p>
    <w:tbl>
      <w:tblPr>
        <w:tblStyle w:val="TableGrid"/>
        <w:tblW w:w="0" w:type="auto"/>
        <w:tblLook w:val="04A0" w:firstRow="1" w:lastRow="0" w:firstColumn="1" w:lastColumn="0" w:noHBand="0" w:noVBand="1"/>
      </w:tblPr>
      <w:tblGrid>
        <w:gridCol w:w="3738"/>
        <w:gridCol w:w="2891"/>
        <w:gridCol w:w="2591"/>
      </w:tblGrid>
      <w:tr w:rsidR="00361B89" w:rsidRPr="0054775B" w14:paraId="00F3D445" w14:textId="4B8D3E1B" w:rsidTr="00361B89">
        <w:trPr>
          <w:trHeight w:val="77"/>
        </w:trPr>
        <w:tc>
          <w:tcPr>
            <w:tcW w:w="3738" w:type="dxa"/>
            <w:shd w:val="clear" w:color="auto" w:fill="D9D9D9" w:themeFill="background1" w:themeFillShade="D9"/>
          </w:tcPr>
          <w:p w14:paraId="1AB94E89" w14:textId="77777777" w:rsidR="00361B89" w:rsidRPr="0054775B" w:rsidRDefault="00361B89" w:rsidP="00361B89">
            <w:pPr>
              <w:pStyle w:val="2024TABLEHEADER"/>
            </w:pPr>
          </w:p>
        </w:tc>
        <w:tc>
          <w:tcPr>
            <w:tcW w:w="2891" w:type="dxa"/>
            <w:shd w:val="clear" w:color="auto" w:fill="D9D9D9" w:themeFill="background1" w:themeFillShade="D9"/>
          </w:tcPr>
          <w:p w14:paraId="32547BAA" w14:textId="3F86508A" w:rsidR="00361B89" w:rsidRPr="0054775B" w:rsidRDefault="00361B89" w:rsidP="00361B89">
            <w:pPr>
              <w:pStyle w:val="2024TABLEHEADER"/>
            </w:pPr>
            <w:r w:rsidRPr="0054775B">
              <w:t>With IBS</w:t>
            </w:r>
          </w:p>
        </w:tc>
        <w:tc>
          <w:tcPr>
            <w:tcW w:w="2591" w:type="dxa"/>
            <w:shd w:val="clear" w:color="auto" w:fill="D9D9D9" w:themeFill="background1" w:themeFillShade="D9"/>
          </w:tcPr>
          <w:p w14:paraId="04946954" w14:textId="356A0857" w:rsidR="00361B89" w:rsidRPr="0054775B" w:rsidRDefault="00361B89" w:rsidP="00361B89">
            <w:pPr>
              <w:pStyle w:val="2024TABLEHEADER"/>
            </w:pPr>
            <w:r w:rsidRPr="0054775B">
              <w:t>At risk of IBS</w:t>
            </w:r>
          </w:p>
        </w:tc>
      </w:tr>
      <w:tr w:rsidR="00361B89" w:rsidRPr="0054775B" w14:paraId="1B622140" w14:textId="7CC14F8E" w:rsidTr="00643D2A">
        <w:trPr>
          <w:trHeight w:val="375"/>
        </w:trPr>
        <w:tc>
          <w:tcPr>
            <w:tcW w:w="3738" w:type="dxa"/>
            <w:shd w:val="clear" w:color="auto" w:fill="D9D9D9" w:themeFill="background1" w:themeFillShade="D9"/>
          </w:tcPr>
          <w:p w14:paraId="559C9417" w14:textId="3E386FF0" w:rsidR="00361B89" w:rsidRPr="0054775B" w:rsidRDefault="00843C3F" w:rsidP="00361B89">
            <w:pPr>
              <w:pStyle w:val="2024TABLEHEADER"/>
              <w:rPr>
                <w:rFonts w:eastAsiaTheme="minorHAnsi"/>
                <w:color w:val="000000" w:themeColor="text1"/>
                <w:lang w:eastAsia="en-US"/>
              </w:rPr>
            </w:pPr>
            <w:r w:rsidRPr="0054775B">
              <w:t>Probiotics</w:t>
            </w:r>
            <w:r w:rsidR="00361B89" w:rsidRPr="0054775B">
              <w:t xml:space="preserve"> VS placebo/inactive control</w:t>
            </w:r>
          </w:p>
        </w:tc>
        <w:tc>
          <w:tcPr>
            <w:tcW w:w="2891" w:type="dxa"/>
          </w:tcPr>
          <w:p w14:paraId="401BD600" w14:textId="508DB8DF" w:rsidR="000E535C" w:rsidRPr="0054775B" w:rsidRDefault="000E535C" w:rsidP="000E535C">
            <w:pPr>
              <w:pStyle w:val="2024TABLEHEADER"/>
              <w:rPr>
                <w:b w:val="0"/>
                <w:bCs w:val="0"/>
                <w:color w:val="000000"/>
              </w:rPr>
            </w:pPr>
            <w:r w:rsidRPr="0054775B">
              <w:rPr>
                <w:b w:val="0"/>
                <w:bCs w:val="0"/>
                <w:color w:val="000000"/>
              </w:rPr>
              <w:t>Li 2020</w:t>
            </w:r>
          </w:p>
          <w:p w14:paraId="06ED95AB" w14:textId="77777777" w:rsidR="000E535C" w:rsidRPr="0054775B" w:rsidRDefault="000E535C" w:rsidP="000E535C">
            <w:pPr>
              <w:pStyle w:val="2024TABLEHEADER"/>
              <w:rPr>
                <w:b w:val="0"/>
                <w:bCs w:val="0"/>
                <w:color w:val="000000"/>
              </w:rPr>
            </w:pPr>
            <w:r w:rsidRPr="0054775B">
              <w:rPr>
                <w:b w:val="0"/>
                <w:bCs w:val="0"/>
                <w:color w:val="000000"/>
              </w:rPr>
              <w:t>Wen 2020</w:t>
            </w:r>
          </w:p>
          <w:p w14:paraId="63938887" w14:textId="1893205D" w:rsidR="000E535C" w:rsidRPr="0054775B" w:rsidRDefault="000E535C" w:rsidP="000E535C">
            <w:pPr>
              <w:pStyle w:val="2024TABLEHEADER"/>
              <w:rPr>
                <w:b w:val="0"/>
                <w:bCs w:val="0"/>
                <w:color w:val="000000"/>
              </w:rPr>
            </w:pPr>
            <w:r w:rsidRPr="0054775B">
              <w:rPr>
                <w:b w:val="0"/>
                <w:bCs w:val="0"/>
                <w:color w:val="000000"/>
              </w:rPr>
              <w:t>Le Morvan 2021</w:t>
            </w:r>
          </w:p>
          <w:p w14:paraId="72EA2A6B" w14:textId="261BE1E6" w:rsidR="00361B89" w:rsidRPr="0054775B" w:rsidRDefault="000E535C" w:rsidP="000E535C">
            <w:pPr>
              <w:pStyle w:val="2024TABLEHEADER"/>
              <w:framePr w:hSpace="180" w:wrap="around" w:vAnchor="text" w:hAnchor="text" w:y="1"/>
              <w:suppressOverlap/>
              <w:rPr>
                <w:b w:val="0"/>
                <w:bCs w:val="0"/>
                <w:color w:val="000000"/>
              </w:rPr>
            </w:pPr>
            <w:r w:rsidRPr="0054775B">
              <w:rPr>
                <w:b w:val="0"/>
                <w:bCs w:val="0"/>
                <w:color w:val="000000"/>
              </w:rPr>
              <w:t>Ding 2019</w:t>
            </w:r>
          </w:p>
        </w:tc>
        <w:tc>
          <w:tcPr>
            <w:tcW w:w="2591" w:type="dxa"/>
          </w:tcPr>
          <w:p w14:paraId="1F15E6C9" w14:textId="35E07FE1" w:rsidR="00361B89" w:rsidRPr="0054775B" w:rsidRDefault="00A63B11" w:rsidP="00361B89">
            <w:pPr>
              <w:pStyle w:val="2024TABLEHEADER"/>
              <w:framePr w:hSpace="180" w:wrap="around" w:vAnchor="text" w:hAnchor="text" w:y="1"/>
              <w:suppressOverlap/>
              <w:rPr>
                <w:b w:val="0"/>
                <w:bCs w:val="0"/>
                <w:color w:val="000000"/>
              </w:rPr>
            </w:pPr>
            <w:r w:rsidRPr="0054775B">
              <w:rPr>
                <w:b w:val="0"/>
                <w:bCs w:val="0"/>
                <w:color w:val="000000"/>
              </w:rPr>
              <w:t>-</w:t>
            </w:r>
          </w:p>
        </w:tc>
      </w:tr>
      <w:tr w:rsidR="00361B89" w:rsidRPr="0054775B" w14:paraId="4C9D7D1D" w14:textId="596F4B68" w:rsidTr="00361B89">
        <w:trPr>
          <w:trHeight w:val="77"/>
        </w:trPr>
        <w:tc>
          <w:tcPr>
            <w:tcW w:w="3738" w:type="dxa"/>
            <w:shd w:val="clear" w:color="auto" w:fill="D9D9D9" w:themeFill="background1" w:themeFillShade="D9"/>
          </w:tcPr>
          <w:p w14:paraId="465B5AAA" w14:textId="212AF995" w:rsidR="00361B89" w:rsidRPr="0054775B" w:rsidRDefault="00843C3F" w:rsidP="00361B89">
            <w:pPr>
              <w:pStyle w:val="2024TABLEHEADER"/>
            </w:pPr>
            <w:r w:rsidRPr="0054775B">
              <w:t xml:space="preserve">Probiotics </w:t>
            </w:r>
            <w:r w:rsidR="00361B89" w:rsidRPr="0054775B">
              <w:t>+ naturopathy co-intervention VS placebo/inactive control</w:t>
            </w:r>
          </w:p>
        </w:tc>
        <w:tc>
          <w:tcPr>
            <w:tcW w:w="2891" w:type="dxa"/>
          </w:tcPr>
          <w:p w14:paraId="39B20586" w14:textId="099C707D" w:rsidR="00361B89" w:rsidRPr="0054775B" w:rsidRDefault="00361B89" w:rsidP="00361B89">
            <w:pPr>
              <w:pStyle w:val="2024TABLEHEADER"/>
              <w:framePr w:hSpace="180" w:wrap="around" w:vAnchor="text" w:hAnchor="text" w:y="1"/>
              <w:suppressOverlap/>
              <w:rPr>
                <w:b w:val="0"/>
                <w:bCs w:val="0"/>
                <w:color w:val="000000"/>
              </w:rPr>
            </w:pPr>
            <w:r w:rsidRPr="0054775B">
              <w:rPr>
                <w:b w:val="0"/>
                <w:bCs w:val="0"/>
                <w:color w:val="000000"/>
              </w:rPr>
              <w:t>Abboud 2020</w:t>
            </w:r>
          </w:p>
        </w:tc>
        <w:tc>
          <w:tcPr>
            <w:tcW w:w="2591" w:type="dxa"/>
          </w:tcPr>
          <w:p w14:paraId="1DACB418" w14:textId="0096BC99" w:rsidR="00361B89" w:rsidRPr="0054775B" w:rsidRDefault="00A63B11" w:rsidP="00361B89">
            <w:pPr>
              <w:pStyle w:val="2024TABLEHEADER"/>
              <w:framePr w:hSpace="180" w:wrap="around" w:vAnchor="text" w:hAnchor="text" w:y="1"/>
              <w:suppressOverlap/>
              <w:rPr>
                <w:b w:val="0"/>
                <w:bCs w:val="0"/>
                <w:color w:val="000000"/>
              </w:rPr>
            </w:pPr>
            <w:r w:rsidRPr="0054775B">
              <w:rPr>
                <w:b w:val="0"/>
                <w:bCs w:val="0"/>
                <w:color w:val="000000"/>
              </w:rPr>
              <w:t>-</w:t>
            </w:r>
          </w:p>
        </w:tc>
      </w:tr>
    </w:tbl>
    <w:p w14:paraId="07A5C800" w14:textId="07D688F6" w:rsidR="00126328" w:rsidRPr="0054775B" w:rsidDel="001374BA" w:rsidRDefault="00B86698" w:rsidP="00107BEE">
      <w:pPr>
        <w:pStyle w:val="2024HEADER4"/>
        <w:numPr>
          <w:ilvl w:val="3"/>
          <w:numId w:val="5"/>
        </w:numPr>
        <w:rPr>
          <w:rFonts w:ascii="Aptos" w:hAnsi="Aptos"/>
        </w:rPr>
      </w:pPr>
      <w:r w:rsidRPr="0054775B" w:rsidDel="001374BA">
        <w:rPr>
          <w:rFonts w:ascii="Aptos" w:hAnsi="Aptos"/>
        </w:rPr>
        <w:t>Probiotics versus placebo</w:t>
      </w:r>
      <w:r w:rsidR="00843C3F" w:rsidRPr="0054775B" w:rsidDel="001374BA">
        <w:rPr>
          <w:rFonts w:ascii="Aptos" w:hAnsi="Aptos"/>
        </w:rPr>
        <w:t>/inactive control</w:t>
      </w:r>
      <w:r w:rsidRPr="0054775B" w:rsidDel="001374BA">
        <w:rPr>
          <w:rFonts w:ascii="Aptos" w:hAnsi="Aptos"/>
        </w:rPr>
        <w:t xml:space="preserve"> for IBS</w:t>
      </w:r>
    </w:p>
    <w:p w14:paraId="275310A3" w14:textId="37805B43" w:rsidR="00821DB5" w:rsidRDefault="00784F40" w:rsidP="00784F40">
      <w:r w:rsidRPr="0054775B">
        <w:t xml:space="preserve">Li </w:t>
      </w:r>
      <w:r>
        <w:t>et al. (</w:t>
      </w:r>
      <w:r w:rsidRPr="0054775B">
        <w:t>2020</w:t>
      </w:r>
      <w:r>
        <w:t>)</w:t>
      </w:r>
      <w:r w:rsidRPr="0054775B">
        <w:t xml:space="preserve"> </w:t>
      </w:r>
      <w:r w:rsidR="00A61385">
        <w:rPr>
          <w:noProof/>
        </w:rPr>
        <w:t>(54)</w:t>
      </w:r>
      <w:r>
        <w:t xml:space="preserve"> was the preferred review for p</w:t>
      </w:r>
      <w:r w:rsidRPr="00784F40">
        <w:t xml:space="preserve">robiotics versus placebo/inactive control for </w:t>
      </w:r>
      <w:r>
        <w:t xml:space="preserve">people with </w:t>
      </w:r>
      <w:r w:rsidRPr="00784F40">
        <w:t>IBS</w:t>
      </w:r>
      <w:r w:rsidR="0047264D" w:rsidRPr="0054775B">
        <w:t xml:space="preserve"> (assessed as having a low risk of bias </w:t>
      </w:r>
      <w:r w:rsidR="00BC079E" w:rsidRPr="0054775B">
        <w:t>and</w:t>
      </w:r>
      <w:r w:rsidR="008F5035" w:rsidRPr="0054775B">
        <w:t xml:space="preserve"> providing the </w:t>
      </w:r>
      <w:r w:rsidR="00A44EB4">
        <w:t>largest meta-analysis with most recent findings</w:t>
      </w:r>
      <w:r w:rsidR="00FB1B3E" w:rsidRPr="0054775B">
        <w:t xml:space="preserve">). </w:t>
      </w:r>
      <w:r>
        <w:t>The authors reported g</w:t>
      </w:r>
      <w:r w:rsidR="006C1F41" w:rsidRPr="0054775B">
        <w:t xml:space="preserve">lobal improvement in IBS symptoms as both continuous </w:t>
      </w:r>
      <w:r w:rsidR="0046454F">
        <w:t>(29</w:t>
      </w:r>
      <w:r w:rsidR="0046454F" w:rsidRPr="0054775B">
        <w:t xml:space="preserve"> RCTs including 3</w:t>
      </w:r>
      <w:r w:rsidR="0046454F">
        <w:t>,</w:t>
      </w:r>
      <w:r w:rsidR="0046454F" w:rsidRPr="0054775B">
        <w:t>726 patients</w:t>
      </w:r>
      <w:r w:rsidR="0046454F">
        <w:t>)</w:t>
      </w:r>
      <w:r w:rsidR="0046454F" w:rsidRPr="0054775B">
        <w:t xml:space="preserve"> </w:t>
      </w:r>
      <w:r w:rsidR="006C1F41" w:rsidRPr="0054775B">
        <w:t>and dichotomous outcomes</w:t>
      </w:r>
      <w:r w:rsidR="0046454F">
        <w:t xml:space="preserve"> (35</w:t>
      </w:r>
      <w:r w:rsidR="0046454F" w:rsidRPr="0054775B">
        <w:t xml:space="preserve"> RCTs including 4</w:t>
      </w:r>
      <w:r w:rsidR="0046454F">
        <w:t>,</w:t>
      </w:r>
      <w:r w:rsidR="0046454F" w:rsidRPr="0054775B">
        <w:t>392 patients</w:t>
      </w:r>
      <w:r w:rsidR="0046454F">
        <w:t>)</w:t>
      </w:r>
      <w:r>
        <w:t xml:space="preserve">, and abdominal </w:t>
      </w:r>
      <w:r w:rsidRPr="0054775B">
        <w:t>pain burden</w:t>
      </w:r>
      <w:r w:rsidR="00C2426C" w:rsidRPr="0054775B" w:rsidDel="0014142D">
        <w:t xml:space="preserve"> </w:t>
      </w:r>
      <w:r>
        <w:t>(38</w:t>
      </w:r>
      <w:r w:rsidRPr="0054775B">
        <w:t xml:space="preserve"> RCTs including 4</w:t>
      </w:r>
      <w:r>
        <w:t>,</w:t>
      </w:r>
      <w:r w:rsidRPr="0054775B">
        <w:t>579 patients)</w:t>
      </w:r>
      <w:r>
        <w:t>.</w:t>
      </w:r>
    </w:p>
    <w:p w14:paraId="7181857F" w14:textId="1541313B" w:rsidR="00784F40" w:rsidRPr="0054775B" w:rsidRDefault="00784F40" w:rsidP="00784F40">
      <w:r w:rsidRPr="0054775B">
        <w:t xml:space="preserve">Stool frequency and consistency were measured in five and seven reviews, respectively. The preferred review for these outcomes was Wen </w:t>
      </w:r>
      <w:r>
        <w:t>et al. (</w:t>
      </w:r>
      <w:r w:rsidRPr="0054775B">
        <w:t>2020</w:t>
      </w:r>
      <w:r>
        <w:t>)</w:t>
      </w:r>
      <w:r w:rsidRPr="0054775B">
        <w:t xml:space="preserve"> </w:t>
      </w:r>
      <w:r w:rsidR="00A61385">
        <w:rPr>
          <w:noProof/>
        </w:rPr>
        <w:t>(41)</w:t>
      </w:r>
      <w:r w:rsidRPr="0054775B">
        <w:t xml:space="preserve"> (lowest risk of bias with the most comprehensive </w:t>
      </w:r>
      <w:r>
        <w:t>meta-analysis</w:t>
      </w:r>
      <w:r w:rsidRPr="0054775B">
        <w:t>). The population of interest in Wen’s review was IBS-C</w:t>
      </w:r>
      <w:r w:rsidR="00A610FF">
        <w:t xml:space="preserve"> (constipation sub-type)</w:t>
      </w:r>
      <w:r w:rsidRPr="0054775B">
        <w:t xml:space="preserve">. Pooled analysis of 10 RCTs including </w:t>
      </w:r>
      <w:r>
        <w:t>11</w:t>
      </w:r>
      <w:r w:rsidRPr="0054775B">
        <w:t xml:space="preserve"> comparisons </w:t>
      </w:r>
      <w:r>
        <w:t xml:space="preserve">assessed number of </w:t>
      </w:r>
      <w:r w:rsidRPr="0054775B">
        <w:t>bowel movements per week</w:t>
      </w:r>
      <w:r>
        <w:t xml:space="preserve"> (where increased bowel movements are beneficial given the constipation sub-type). </w:t>
      </w:r>
      <w:r w:rsidRPr="0054775B">
        <w:t xml:space="preserve">Meta-analysis of </w:t>
      </w:r>
      <w:r>
        <w:t>9</w:t>
      </w:r>
      <w:r w:rsidRPr="0054775B">
        <w:t xml:space="preserve"> trials including 10 </w:t>
      </w:r>
      <w:r>
        <w:t>comparisons</w:t>
      </w:r>
      <w:r w:rsidRPr="0054775B">
        <w:t xml:space="preserve"> </w:t>
      </w:r>
      <w:r>
        <w:t>examined</w:t>
      </w:r>
      <w:r w:rsidRPr="0054775B">
        <w:t xml:space="preserve"> stool consistency.</w:t>
      </w:r>
    </w:p>
    <w:p w14:paraId="5AA6D072" w14:textId="141C1728" w:rsidR="00453DFC" w:rsidRPr="0054775B" w:rsidRDefault="005B3627" w:rsidP="00453DFC">
      <w:r w:rsidRPr="0054775B">
        <w:t xml:space="preserve">Twelve </w:t>
      </w:r>
      <w:r w:rsidR="009560F0" w:rsidRPr="0054775B">
        <w:t>reviews</w:t>
      </w:r>
      <w:r w:rsidRPr="0054775B">
        <w:t xml:space="preserve"> examined the </w:t>
      </w:r>
      <w:r w:rsidR="00DD7FA9">
        <w:t>effect</w:t>
      </w:r>
      <w:r w:rsidR="00DD7FA9" w:rsidRPr="0054775B">
        <w:t xml:space="preserve"> </w:t>
      </w:r>
      <w:r w:rsidRPr="0054775B">
        <w:t>of probiotics alone versus placebo on health-related quality of life in IBS.</w:t>
      </w:r>
      <w:r w:rsidR="0082714A" w:rsidRPr="0054775B">
        <w:t xml:space="preserve"> The preferred review for this outcome was </w:t>
      </w:r>
      <w:r w:rsidR="00045EC6" w:rsidRPr="0054775B">
        <w:t xml:space="preserve">Le Morvan </w:t>
      </w:r>
      <w:r w:rsidR="00045EC6">
        <w:t>et al. (</w:t>
      </w:r>
      <w:r w:rsidR="00045EC6" w:rsidRPr="0054775B">
        <w:t>2021</w:t>
      </w:r>
      <w:r w:rsidR="00045EC6">
        <w:t>)</w:t>
      </w:r>
      <w:r w:rsidR="00C97D10">
        <w:t>.</w:t>
      </w:r>
      <w:r w:rsidR="00045EC6" w:rsidRPr="0054775B">
        <w:t xml:space="preserve"> </w:t>
      </w:r>
      <w:r w:rsidR="00435D51">
        <w:t>D</w:t>
      </w:r>
      <w:r w:rsidR="00784F40">
        <w:t xml:space="preserve">espite unclear risk of bias </w:t>
      </w:r>
      <w:r w:rsidR="00435D51">
        <w:t xml:space="preserve">relating to data collection and extraction methods, and </w:t>
      </w:r>
      <w:r w:rsidR="000765EC">
        <w:t xml:space="preserve">the possibility of publication bias, </w:t>
      </w:r>
      <w:r w:rsidR="00940931" w:rsidRPr="0054775B">
        <w:t xml:space="preserve">Le Morvan </w:t>
      </w:r>
      <w:r w:rsidR="00045EC6">
        <w:t>et al. (</w:t>
      </w:r>
      <w:r w:rsidR="001C2713" w:rsidRPr="0054775B">
        <w:t>2021</w:t>
      </w:r>
      <w:r w:rsidR="00045EC6">
        <w:t>)</w:t>
      </w:r>
      <w:r w:rsidR="001C2713" w:rsidRPr="0054775B">
        <w:t xml:space="preserve"> </w:t>
      </w:r>
      <w:r w:rsidR="00940931" w:rsidRPr="0054775B">
        <w:t xml:space="preserve">was </w:t>
      </w:r>
      <w:r w:rsidR="001C2713" w:rsidRPr="0054775B">
        <w:t xml:space="preserve">assessed as </w:t>
      </w:r>
      <w:r w:rsidR="000765EC">
        <w:t xml:space="preserve">providing by far </w:t>
      </w:r>
      <w:r w:rsidR="00940931" w:rsidRPr="0054775B">
        <w:t xml:space="preserve">the most recent and comprehensive </w:t>
      </w:r>
      <w:r w:rsidR="007F10C1">
        <w:t xml:space="preserve">results </w:t>
      </w:r>
      <w:r w:rsidR="00940931" w:rsidRPr="0054775B">
        <w:t>(including 11 trials</w:t>
      </w:r>
      <w:r w:rsidR="0014142D">
        <w:t xml:space="preserve"> and 1501 participants</w:t>
      </w:r>
      <w:r w:rsidR="00940931" w:rsidRPr="0054775B">
        <w:t xml:space="preserve"> in meta-analysis). </w:t>
      </w:r>
    </w:p>
    <w:p w14:paraId="65C165E9" w14:textId="0BA6621A" w:rsidR="00477DFA" w:rsidRPr="0054775B" w:rsidRDefault="00A90D4F" w:rsidP="009E6F7F">
      <w:r w:rsidRPr="0054775B">
        <w:t xml:space="preserve">Ding </w:t>
      </w:r>
      <w:r w:rsidR="00045EC6">
        <w:t>et al. (</w:t>
      </w:r>
      <w:r w:rsidRPr="0054775B">
        <w:t>2019</w:t>
      </w:r>
      <w:r w:rsidR="00045EC6">
        <w:t>)</w:t>
      </w:r>
      <w:r w:rsidRPr="0054775B">
        <w:t xml:space="preserve"> was the only review which examined function</w:t>
      </w:r>
      <w:r w:rsidRPr="0054775B" w:rsidDel="007C78C3">
        <w:t>ing</w:t>
      </w:r>
      <w:r w:rsidRPr="0054775B">
        <w:t xml:space="preserve"> as an outcome</w:t>
      </w:r>
      <w:r w:rsidR="000728E5" w:rsidRPr="0054775B">
        <w:t xml:space="preserve"> </w:t>
      </w:r>
      <w:r w:rsidR="00A61385">
        <w:rPr>
          <w:noProof/>
        </w:rPr>
        <w:t>(64)</w:t>
      </w:r>
      <w:r w:rsidRPr="0054775B">
        <w:t>.</w:t>
      </w:r>
      <w:r w:rsidR="000728E5" w:rsidRPr="0054775B">
        <w:t xml:space="preserve"> This was a rapid systematic review with no meta-analysis. No effect sizes were reported; instead, the authors reported </w:t>
      </w:r>
      <w:r w:rsidR="00CB3804">
        <w:t xml:space="preserve">results </w:t>
      </w:r>
      <w:r w:rsidR="000728E5" w:rsidRPr="0054775B">
        <w:t xml:space="preserve">narratively. </w:t>
      </w:r>
    </w:p>
    <w:p w14:paraId="764BC4C3" w14:textId="50D06FF1" w:rsidR="00477DFA" w:rsidRPr="0054775B" w:rsidDel="001374BA" w:rsidRDefault="00477DFA" w:rsidP="00107BEE">
      <w:pPr>
        <w:pStyle w:val="2024HEADER4"/>
        <w:numPr>
          <w:ilvl w:val="3"/>
          <w:numId w:val="5"/>
        </w:numPr>
        <w:rPr>
          <w:rFonts w:ascii="Aptos" w:hAnsi="Aptos"/>
        </w:rPr>
      </w:pPr>
      <w:r w:rsidRPr="0054775B" w:rsidDel="001374BA">
        <w:rPr>
          <w:rFonts w:ascii="Aptos" w:hAnsi="Aptos"/>
        </w:rPr>
        <w:t>Probiotics + naturopathy co-intervention versus placebo</w:t>
      </w:r>
      <w:r w:rsidR="00843C3F" w:rsidRPr="0054775B" w:rsidDel="001374BA">
        <w:rPr>
          <w:rFonts w:ascii="Aptos" w:hAnsi="Aptos"/>
        </w:rPr>
        <w:t>/inactive control</w:t>
      </w:r>
      <w:r w:rsidRPr="0054775B" w:rsidDel="001374BA">
        <w:rPr>
          <w:rFonts w:ascii="Aptos" w:hAnsi="Aptos"/>
        </w:rPr>
        <w:t xml:space="preserve"> for IBS</w:t>
      </w:r>
    </w:p>
    <w:p w14:paraId="0D73160C" w14:textId="18687B4C" w:rsidR="00477DFA" w:rsidRPr="0054775B" w:rsidRDefault="001374BA" w:rsidP="009E6F7F">
      <w:r>
        <w:t>Abboud et al. (2020) was the only review that</w:t>
      </w:r>
      <w:r w:rsidR="00814939">
        <w:t xml:space="preserve"> examined evidence of p</w:t>
      </w:r>
      <w:r w:rsidR="00814939" w:rsidRPr="00814939">
        <w:t xml:space="preserve">robiotics </w:t>
      </w:r>
      <w:r w:rsidR="00814939">
        <w:t>plus a</w:t>
      </w:r>
      <w:r w:rsidR="00814939" w:rsidRPr="00814939">
        <w:t xml:space="preserve"> naturopathy co-intervention</w:t>
      </w:r>
      <w:r w:rsidR="00BC59B8">
        <w:t xml:space="preserve"> (Vitamin D) </w:t>
      </w:r>
      <w:r w:rsidR="00A61385">
        <w:rPr>
          <w:noProof/>
        </w:rPr>
        <w:t>(68)</w:t>
      </w:r>
      <w:r w:rsidR="00BC59B8">
        <w:t xml:space="preserve">. </w:t>
      </w:r>
      <w:r>
        <w:t xml:space="preserve">The only outcome assessed was </w:t>
      </w:r>
      <w:r w:rsidRPr="0054775B">
        <w:t>global improvement of IBS</w:t>
      </w:r>
      <w:r>
        <w:t xml:space="preserve">. </w:t>
      </w:r>
      <w:r w:rsidRPr="0054775B">
        <w:t xml:space="preserve">No effect sizes were reported; the authors reported </w:t>
      </w:r>
      <w:r>
        <w:t xml:space="preserve">results </w:t>
      </w:r>
      <w:r w:rsidRPr="0054775B">
        <w:t xml:space="preserve">narratively. </w:t>
      </w:r>
    </w:p>
    <w:p w14:paraId="22F7AC62" w14:textId="75660D7B" w:rsidR="004D52F5" w:rsidRPr="0054775B" w:rsidRDefault="004D52F5" w:rsidP="00060F2B">
      <w:pPr>
        <w:pStyle w:val="2024HEADER4"/>
        <w:ind w:left="851" w:hanging="851"/>
        <w:sectPr w:rsidR="004D52F5" w:rsidRPr="0054775B" w:rsidSect="006A72DC">
          <w:pgSz w:w="11910" w:h="16840"/>
          <w:pgMar w:top="1356" w:right="1340" w:bottom="280" w:left="1340" w:header="720" w:footer="1098" w:gutter="0"/>
          <w:cols w:space="720"/>
        </w:sectPr>
      </w:pPr>
    </w:p>
    <w:p w14:paraId="1988BF0D" w14:textId="6CC94710" w:rsidR="002E4C4A" w:rsidRPr="0054775B" w:rsidRDefault="002E4C4A" w:rsidP="00107BEE">
      <w:pPr>
        <w:pStyle w:val="2024HEADER3"/>
        <w:numPr>
          <w:ilvl w:val="2"/>
          <w:numId w:val="33"/>
        </w:numPr>
      </w:pPr>
      <w:r w:rsidRPr="0054775B">
        <w:lastRenderedPageBreak/>
        <w:t>Summary of findings and evidence statements</w:t>
      </w:r>
    </w:p>
    <w:p w14:paraId="151EB545" w14:textId="3A93CAE6" w:rsidR="004D52F5" w:rsidRPr="0054775B" w:rsidRDefault="004D52F5" w:rsidP="00DC24F3">
      <w:pPr>
        <w:pStyle w:val="2024TABLECAPTION"/>
        <w:rPr>
          <w:rFonts w:ascii="Aptos" w:hAnsi="Aptos"/>
        </w:rPr>
      </w:pPr>
      <w:bookmarkStart w:id="71" w:name="_Toc185261589"/>
      <w:r w:rsidRPr="0054775B">
        <w:rPr>
          <w:rFonts w:ascii="Aptos" w:hAnsi="Aptos"/>
        </w:rPr>
        <w:t xml:space="preserve">Table </w:t>
      </w:r>
      <w:r w:rsidRPr="0054775B">
        <w:rPr>
          <w:rFonts w:ascii="Aptos" w:hAnsi="Aptos"/>
        </w:rPr>
        <w:fldChar w:fldCharType="begin"/>
      </w:r>
      <w:r w:rsidRPr="0054775B">
        <w:rPr>
          <w:rFonts w:ascii="Aptos" w:hAnsi="Aptos"/>
        </w:rPr>
        <w:instrText>SEQ Table \* ARABIC</w:instrText>
      </w:r>
      <w:r w:rsidRPr="0054775B">
        <w:rPr>
          <w:rFonts w:ascii="Aptos" w:hAnsi="Aptos"/>
        </w:rPr>
        <w:fldChar w:fldCharType="separate"/>
      </w:r>
      <w:r w:rsidR="00651E04">
        <w:rPr>
          <w:rFonts w:ascii="Aptos" w:hAnsi="Aptos"/>
          <w:noProof/>
        </w:rPr>
        <w:t>11</w:t>
      </w:r>
      <w:r w:rsidRPr="0054775B">
        <w:rPr>
          <w:rFonts w:ascii="Aptos" w:hAnsi="Aptos"/>
        </w:rPr>
        <w:fldChar w:fldCharType="end"/>
      </w:r>
      <w:r w:rsidRPr="0054775B">
        <w:rPr>
          <w:rFonts w:ascii="Aptos" w:hAnsi="Aptos"/>
        </w:rPr>
        <w:t>. Probiotics compared to placebo</w:t>
      </w:r>
      <w:r w:rsidR="00F15371" w:rsidRPr="0054775B">
        <w:rPr>
          <w:rFonts w:ascii="Aptos" w:hAnsi="Aptos"/>
        </w:rPr>
        <w:t>/inactive control</w:t>
      </w:r>
      <w:r w:rsidRPr="0054775B">
        <w:rPr>
          <w:rFonts w:ascii="Aptos" w:hAnsi="Aptos"/>
        </w:rPr>
        <w:t xml:space="preserve"> for IBS</w:t>
      </w:r>
      <w:bookmarkEnd w:id="71"/>
    </w:p>
    <w:tbl>
      <w:tblPr>
        <w:tblW w:w="4615" w:type="pct"/>
        <w:tblLayout w:type="fixed"/>
        <w:tblCellMar>
          <w:top w:w="28" w:type="dxa"/>
          <w:left w:w="57" w:type="dxa"/>
          <w:bottom w:w="28" w:type="dxa"/>
          <w:right w:w="28" w:type="dxa"/>
        </w:tblCellMar>
        <w:tblLook w:val="04A0" w:firstRow="1" w:lastRow="0" w:firstColumn="1" w:lastColumn="0" w:noHBand="0" w:noVBand="1"/>
      </w:tblPr>
      <w:tblGrid>
        <w:gridCol w:w="832"/>
        <w:gridCol w:w="4420"/>
        <w:gridCol w:w="1246"/>
        <w:gridCol w:w="1521"/>
        <w:gridCol w:w="1521"/>
        <w:gridCol w:w="1246"/>
        <w:gridCol w:w="1246"/>
        <w:gridCol w:w="2001"/>
      </w:tblGrid>
      <w:tr w:rsidR="009F08D2" w:rsidRPr="0054775B" w14:paraId="36BD7B87" w14:textId="77777777" w:rsidTr="009F08D2">
        <w:tc>
          <w:tcPr>
            <w:tcW w:w="5000" w:type="pct"/>
            <w:gridSpan w:val="8"/>
            <w:tcBorders>
              <w:top w:val="single" w:sz="12" w:space="0" w:color="000000"/>
              <w:left w:val="nil"/>
              <w:bottom w:val="single" w:sz="12" w:space="0" w:color="000000"/>
              <w:right w:val="nil"/>
            </w:tcBorders>
          </w:tcPr>
          <w:p w14:paraId="561CD6B5" w14:textId="1E12EE3A" w:rsidR="009F08D2" w:rsidRPr="0054775B" w:rsidRDefault="009F08D2" w:rsidP="001C6F73">
            <w:pPr>
              <w:pStyle w:val="2024TABLETEXT"/>
              <w:framePr w:hSpace="0" w:wrap="auto" w:vAnchor="margin" w:yAlign="inline"/>
              <w:suppressOverlap w:val="0"/>
              <w:rPr>
                <w:rStyle w:val="Strong"/>
              </w:rPr>
            </w:pPr>
            <w:r w:rsidRPr="0054775B">
              <w:rPr>
                <w:rStyle w:val="Strong"/>
                <w:b w:val="0"/>
                <w:bCs w:val="0"/>
              </w:rPr>
              <w:t>Patient or population:</w:t>
            </w:r>
            <w:r w:rsidRPr="0054775B">
              <w:rPr>
                <w:rStyle w:val="Strong"/>
              </w:rPr>
              <w:t xml:space="preserve"> IBS</w:t>
            </w:r>
          </w:p>
          <w:p w14:paraId="2B65B1E6" w14:textId="3975BFE2" w:rsidR="009F08D2" w:rsidRPr="0054775B" w:rsidRDefault="009F08D2" w:rsidP="001C6F73">
            <w:pPr>
              <w:pStyle w:val="2024TABLETEXT"/>
              <w:framePr w:hSpace="0" w:wrap="auto" w:vAnchor="margin" w:yAlign="inline"/>
              <w:suppressOverlap w:val="0"/>
              <w:rPr>
                <w:rStyle w:val="Strong"/>
              </w:rPr>
            </w:pPr>
            <w:r w:rsidRPr="0054775B">
              <w:rPr>
                <w:rStyle w:val="Strong"/>
                <w:b w:val="0"/>
                <w:bCs w:val="0"/>
              </w:rPr>
              <w:t>Intervention:</w:t>
            </w:r>
            <w:r w:rsidRPr="0054775B">
              <w:rPr>
                <w:rStyle w:val="Strong"/>
              </w:rPr>
              <w:t xml:space="preserve"> Probiotics</w:t>
            </w:r>
          </w:p>
          <w:p w14:paraId="77669DB7" w14:textId="4EEFB4B0" w:rsidR="009F08D2" w:rsidRPr="0054775B" w:rsidRDefault="009F08D2" w:rsidP="001C6F73">
            <w:pPr>
              <w:pStyle w:val="2024TABLETEXT"/>
              <w:framePr w:hSpace="0" w:wrap="auto" w:vAnchor="margin" w:yAlign="inline"/>
              <w:suppressOverlap w:val="0"/>
            </w:pPr>
            <w:r w:rsidRPr="0054775B">
              <w:rPr>
                <w:rStyle w:val="Strong"/>
                <w:b w:val="0"/>
                <w:bCs w:val="0"/>
              </w:rPr>
              <w:t>Comparison:</w:t>
            </w:r>
            <w:r w:rsidRPr="0054775B">
              <w:rPr>
                <w:rStyle w:val="Strong"/>
              </w:rPr>
              <w:t xml:space="preserve"> Placebo</w:t>
            </w:r>
            <w:r w:rsidRPr="0054775B">
              <w:rPr>
                <w:b/>
                <w:bCs/>
              </w:rPr>
              <w:t>/inactive control</w:t>
            </w:r>
          </w:p>
        </w:tc>
      </w:tr>
      <w:tr w:rsidR="00336D2E" w:rsidRPr="0054775B" w14:paraId="7D364EE2" w14:textId="77777777" w:rsidTr="00A343C0">
        <w:trPr>
          <w:cantSplit/>
          <w:trHeight w:val="66"/>
        </w:trPr>
        <w:tc>
          <w:tcPr>
            <w:tcW w:w="296" w:type="pct"/>
            <w:tcBorders>
              <w:right w:val="single" w:sz="6" w:space="0" w:color="EFEFEF"/>
            </w:tcBorders>
            <w:shd w:val="clear" w:color="auto" w:fill="FFE599" w:themeFill="accent4" w:themeFillTint="66"/>
            <w:vAlign w:val="bottom"/>
          </w:tcPr>
          <w:p w14:paraId="1E38C23C" w14:textId="77777777" w:rsidR="006D21E2" w:rsidRPr="0054775B" w:rsidRDefault="006D21E2" w:rsidP="00515FE7">
            <w:pPr>
              <w:pStyle w:val="2024TABLEHEADER"/>
            </w:pPr>
            <w:r w:rsidRPr="0054775B">
              <w:t>NTWC Rating*</w:t>
            </w:r>
          </w:p>
        </w:tc>
        <w:tc>
          <w:tcPr>
            <w:tcW w:w="1575" w:type="pct"/>
            <w:tcBorders>
              <w:right w:val="single" w:sz="6" w:space="0" w:color="EFEFEF"/>
            </w:tcBorders>
            <w:shd w:val="clear" w:color="auto" w:fill="FFE599" w:themeFill="accent4" w:themeFillTint="66"/>
            <w:vAlign w:val="bottom"/>
            <w:hideMark/>
          </w:tcPr>
          <w:p w14:paraId="0280499F" w14:textId="77777777" w:rsidR="006D21E2" w:rsidRPr="0054775B" w:rsidRDefault="006D21E2" w:rsidP="00515FE7">
            <w:pPr>
              <w:pStyle w:val="2024TABLEHEADER"/>
            </w:pPr>
            <w:r w:rsidRPr="0054775B">
              <w:t>Outcomes</w:t>
            </w:r>
          </w:p>
        </w:tc>
        <w:tc>
          <w:tcPr>
            <w:tcW w:w="444" w:type="pct"/>
            <w:shd w:val="clear" w:color="auto" w:fill="FFF2CC" w:themeFill="accent4" w:themeFillTint="33"/>
            <w:vAlign w:val="bottom"/>
          </w:tcPr>
          <w:p w14:paraId="0E9519BA" w14:textId="0EBABFA1" w:rsidR="006D21E2" w:rsidRPr="0054775B" w:rsidRDefault="006D21E2" w:rsidP="00515FE7">
            <w:pPr>
              <w:pStyle w:val="2024TABLEHEADER"/>
            </w:pPr>
            <w:r w:rsidRPr="0054775B">
              <w:t>Contributing review</w:t>
            </w:r>
          </w:p>
        </w:tc>
        <w:tc>
          <w:tcPr>
            <w:tcW w:w="542" w:type="pct"/>
            <w:shd w:val="clear" w:color="auto" w:fill="E0E0E0"/>
            <w:vAlign w:val="center"/>
          </w:tcPr>
          <w:p w14:paraId="16D74814" w14:textId="69E57FA0" w:rsidR="006D21E2" w:rsidRPr="0054775B" w:rsidRDefault="006D21E2" w:rsidP="00A343C0">
            <w:pPr>
              <w:pStyle w:val="2024TABLEHEADER"/>
            </w:pPr>
            <w:r>
              <w:t>Absolute effect (95% CI)</w:t>
            </w:r>
          </w:p>
        </w:tc>
        <w:tc>
          <w:tcPr>
            <w:tcW w:w="542" w:type="pct"/>
            <w:tcBorders>
              <w:top w:val="single" w:sz="6" w:space="0" w:color="EFEFEF"/>
              <w:right w:val="single" w:sz="6" w:space="0" w:color="EFEFEF"/>
            </w:tcBorders>
            <w:shd w:val="clear" w:color="auto" w:fill="E0E0E0"/>
            <w:vAlign w:val="center"/>
          </w:tcPr>
          <w:p w14:paraId="0908BA8F" w14:textId="73D98EB6" w:rsidR="006D21E2" w:rsidRPr="0054775B" w:rsidRDefault="006D21E2" w:rsidP="00A343C0">
            <w:pPr>
              <w:pStyle w:val="2024TABLEHEADER"/>
            </w:pPr>
            <w:r w:rsidRPr="0054775B">
              <w:t>Relative effect</w:t>
            </w:r>
            <w:r w:rsidRPr="0054775B">
              <w:br/>
              <w:t>(95% CI)</w:t>
            </w:r>
          </w:p>
        </w:tc>
        <w:tc>
          <w:tcPr>
            <w:tcW w:w="444" w:type="pct"/>
            <w:tcBorders>
              <w:right w:val="single" w:sz="6" w:space="0" w:color="EFEFEF"/>
            </w:tcBorders>
            <w:shd w:val="clear" w:color="auto" w:fill="FFE599" w:themeFill="accent4" w:themeFillTint="66"/>
            <w:vAlign w:val="bottom"/>
            <w:hideMark/>
          </w:tcPr>
          <w:p w14:paraId="2EE9BD18" w14:textId="77777777" w:rsidR="006D21E2" w:rsidRPr="0054775B" w:rsidRDefault="006D21E2" w:rsidP="00515FE7">
            <w:pPr>
              <w:pStyle w:val="2024TABLEHEADER"/>
            </w:pPr>
            <w:r w:rsidRPr="0054775B">
              <w:t>№ of participants</w:t>
            </w:r>
            <w:r w:rsidRPr="0054775B">
              <w:br/>
              <w:t>(studies)</w:t>
            </w:r>
          </w:p>
        </w:tc>
        <w:tc>
          <w:tcPr>
            <w:tcW w:w="444" w:type="pct"/>
            <w:tcBorders>
              <w:right w:val="single" w:sz="6" w:space="0" w:color="EFEFEF"/>
            </w:tcBorders>
            <w:shd w:val="clear" w:color="auto" w:fill="FFE599" w:themeFill="accent4" w:themeFillTint="66"/>
            <w:vAlign w:val="bottom"/>
            <w:hideMark/>
          </w:tcPr>
          <w:p w14:paraId="5807FD96" w14:textId="77777777" w:rsidR="006D21E2" w:rsidRPr="0054775B" w:rsidRDefault="006D21E2" w:rsidP="00515FE7">
            <w:pPr>
              <w:pStyle w:val="2024TABLEHEADER"/>
            </w:pPr>
            <w:r w:rsidRPr="0054775B">
              <w:t>Certainty of the evidence</w:t>
            </w:r>
            <w:r w:rsidRPr="0054775B">
              <w:br/>
              <w:t>(GRADE)</w:t>
            </w:r>
          </w:p>
        </w:tc>
        <w:tc>
          <w:tcPr>
            <w:tcW w:w="713" w:type="pct"/>
            <w:tcBorders>
              <w:right w:val="single" w:sz="6" w:space="0" w:color="EFEFEF"/>
            </w:tcBorders>
            <w:shd w:val="clear" w:color="auto" w:fill="FFE599" w:themeFill="accent4" w:themeFillTint="66"/>
            <w:vAlign w:val="bottom"/>
            <w:hideMark/>
          </w:tcPr>
          <w:p w14:paraId="4598425A" w14:textId="77777777" w:rsidR="006D21E2" w:rsidRPr="0054775B" w:rsidRDefault="006D21E2" w:rsidP="00515FE7">
            <w:pPr>
              <w:pStyle w:val="2024TABLEHEADER"/>
            </w:pPr>
            <w:r w:rsidRPr="0054775B">
              <w:t>Evidence statement</w:t>
            </w:r>
          </w:p>
        </w:tc>
      </w:tr>
      <w:tr w:rsidR="00CA696B" w:rsidRPr="0054775B" w14:paraId="5F6ABCBE" w14:textId="77777777" w:rsidTr="00A343C0">
        <w:trPr>
          <w:cantSplit/>
          <w:trHeight w:val="30"/>
        </w:trPr>
        <w:tc>
          <w:tcPr>
            <w:tcW w:w="296" w:type="pct"/>
            <w:vMerge w:val="restart"/>
            <w:tcBorders>
              <w:top w:val="single" w:sz="6" w:space="0" w:color="000000"/>
              <w:left w:val="nil"/>
              <w:right w:val="nil"/>
            </w:tcBorders>
            <w:vAlign w:val="center"/>
          </w:tcPr>
          <w:p w14:paraId="277D2C4A" w14:textId="705054DD" w:rsidR="006D21E2" w:rsidRPr="0054775B" w:rsidRDefault="006D21E2" w:rsidP="001C6F73">
            <w:pPr>
              <w:pStyle w:val="2024TABLETEXT"/>
              <w:framePr w:hSpace="0" w:wrap="auto" w:vAnchor="margin" w:yAlign="inline"/>
              <w:suppressOverlap w:val="0"/>
            </w:pPr>
            <w:r w:rsidRPr="0054775B">
              <w:t>9</w:t>
            </w:r>
          </w:p>
        </w:tc>
        <w:tc>
          <w:tcPr>
            <w:tcW w:w="1575" w:type="pct"/>
            <w:tcBorders>
              <w:top w:val="single" w:sz="6" w:space="0" w:color="000000"/>
              <w:left w:val="nil"/>
              <w:bottom w:val="single" w:sz="6" w:space="0" w:color="000000"/>
              <w:right w:val="nil"/>
            </w:tcBorders>
            <w:vAlign w:val="center"/>
            <w:hideMark/>
          </w:tcPr>
          <w:p w14:paraId="791D5FE4" w14:textId="61E64B1B" w:rsidR="006D21E2" w:rsidRPr="0054775B" w:rsidRDefault="006D21E2" w:rsidP="001C6F73">
            <w:pPr>
              <w:pStyle w:val="2024TABLETEXT"/>
              <w:framePr w:hSpace="0" w:wrap="auto" w:vAnchor="margin" w:yAlign="inline"/>
              <w:ind w:left="85"/>
              <w:suppressOverlap w:val="0"/>
              <w:rPr>
                <w:b/>
                <w:bCs/>
              </w:rPr>
            </w:pPr>
            <w:r w:rsidRPr="0054775B">
              <w:rPr>
                <w:b/>
                <w:bCs/>
              </w:rPr>
              <w:t>Global improvement of IBS</w:t>
            </w:r>
          </w:p>
        </w:tc>
        <w:tc>
          <w:tcPr>
            <w:tcW w:w="444" w:type="pct"/>
            <w:tcBorders>
              <w:top w:val="single" w:sz="6" w:space="0" w:color="000000"/>
              <w:left w:val="nil"/>
              <w:bottom w:val="single" w:sz="6" w:space="0" w:color="000000"/>
              <w:right w:val="nil"/>
            </w:tcBorders>
            <w:vAlign w:val="center"/>
          </w:tcPr>
          <w:p w14:paraId="76F4B239" w14:textId="41ED99D7" w:rsidR="006D21E2" w:rsidRPr="0054775B" w:rsidRDefault="006D21E2" w:rsidP="001C6F73">
            <w:pPr>
              <w:pStyle w:val="2024TABLETEXT"/>
              <w:framePr w:hSpace="0" w:wrap="auto" w:vAnchor="margin" w:yAlign="inline"/>
              <w:suppressOverlap w:val="0"/>
            </w:pPr>
          </w:p>
        </w:tc>
        <w:tc>
          <w:tcPr>
            <w:tcW w:w="542" w:type="pct"/>
            <w:tcBorders>
              <w:top w:val="single" w:sz="6" w:space="0" w:color="000000"/>
              <w:left w:val="nil"/>
              <w:bottom w:val="single" w:sz="6" w:space="0" w:color="000000"/>
              <w:right w:val="nil"/>
            </w:tcBorders>
            <w:vAlign w:val="center"/>
          </w:tcPr>
          <w:p w14:paraId="3C575291" w14:textId="77777777" w:rsidR="006D21E2" w:rsidRPr="0054775B" w:rsidRDefault="006D21E2" w:rsidP="00A343C0">
            <w:pPr>
              <w:pStyle w:val="2024TABLETEXT"/>
              <w:framePr w:hSpace="0" w:wrap="auto" w:vAnchor="margin" w:yAlign="inline"/>
              <w:suppressOverlap w:val="0"/>
            </w:pPr>
          </w:p>
        </w:tc>
        <w:tc>
          <w:tcPr>
            <w:tcW w:w="542" w:type="pct"/>
            <w:tcBorders>
              <w:top w:val="single" w:sz="6" w:space="0" w:color="000000"/>
              <w:left w:val="nil"/>
              <w:bottom w:val="single" w:sz="6" w:space="0" w:color="000000"/>
              <w:right w:val="nil"/>
            </w:tcBorders>
            <w:shd w:val="clear" w:color="auto" w:fill="auto"/>
            <w:vAlign w:val="center"/>
          </w:tcPr>
          <w:p w14:paraId="2466336A" w14:textId="5D70681F" w:rsidR="006D21E2" w:rsidRPr="0054775B" w:rsidRDefault="006D21E2" w:rsidP="00A343C0">
            <w:pPr>
              <w:pStyle w:val="2024TABLETEXT"/>
              <w:framePr w:hSpace="0" w:wrap="auto" w:vAnchor="margin" w:yAlign="inline"/>
              <w:suppressOverlap w:val="0"/>
            </w:pPr>
          </w:p>
        </w:tc>
        <w:tc>
          <w:tcPr>
            <w:tcW w:w="444" w:type="pct"/>
            <w:tcBorders>
              <w:top w:val="single" w:sz="6" w:space="0" w:color="000000"/>
              <w:left w:val="nil"/>
              <w:bottom w:val="single" w:sz="6" w:space="0" w:color="000000"/>
              <w:right w:val="nil"/>
            </w:tcBorders>
            <w:vAlign w:val="center"/>
          </w:tcPr>
          <w:p w14:paraId="7FCF22F9" w14:textId="69DDAFD4" w:rsidR="006D21E2" w:rsidRPr="0054775B" w:rsidRDefault="006D21E2" w:rsidP="001C6F73">
            <w:pPr>
              <w:pStyle w:val="2024TABLETEXT"/>
              <w:framePr w:hSpace="0" w:wrap="auto" w:vAnchor="margin" w:yAlign="inline"/>
              <w:suppressOverlap w:val="0"/>
            </w:pPr>
          </w:p>
        </w:tc>
        <w:tc>
          <w:tcPr>
            <w:tcW w:w="444" w:type="pct"/>
            <w:tcBorders>
              <w:top w:val="single" w:sz="6" w:space="0" w:color="000000"/>
              <w:left w:val="nil"/>
              <w:bottom w:val="single" w:sz="6" w:space="0" w:color="000000"/>
              <w:right w:val="nil"/>
            </w:tcBorders>
            <w:vAlign w:val="center"/>
          </w:tcPr>
          <w:p w14:paraId="487DB6DF" w14:textId="6C7B0AF3" w:rsidR="006D21E2" w:rsidRPr="0054775B" w:rsidRDefault="006D21E2" w:rsidP="001C6F73">
            <w:pPr>
              <w:pStyle w:val="2024TABLETEXT"/>
              <w:framePr w:hSpace="0" w:wrap="auto" w:vAnchor="margin" w:yAlign="inline"/>
              <w:suppressOverlap w:val="0"/>
              <w:rPr>
                <w:rStyle w:val="FootnoteReference"/>
                <w:caps/>
              </w:rPr>
            </w:pPr>
          </w:p>
        </w:tc>
        <w:tc>
          <w:tcPr>
            <w:tcW w:w="713" w:type="pct"/>
            <w:tcBorders>
              <w:top w:val="single" w:sz="6" w:space="0" w:color="000000"/>
              <w:left w:val="nil"/>
              <w:bottom w:val="single" w:sz="6" w:space="0" w:color="000000"/>
              <w:right w:val="nil"/>
            </w:tcBorders>
            <w:vAlign w:val="center"/>
          </w:tcPr>
          <w:p w14:paraId="19DD71FD" w14:textId="35ADED72" w:rsidR="006D21E2" w:rsidRPr="0054775B" w:rsidRDefault="006D21E2" w:rsidP="001C6F73">
            <w:pPr>
              <w:pStyle w:val="2024TABLETEXT"/>
              <w:framePr w:hSpace="0" w:wrap="auto" w:vAnchor="margin" w:yAlign="inline"/>
              <w:suppressOverlap w:val="0"/>
            </w:pPr>
          </w:p>
        </w:tc>
      </w:tr>
      <w:tr w:rsidR="00AD69EC" w:rsidRPr="0054775B" w14:paraId="4DCDBAD1" w14:textId="77777777" w:rsidTr="00A343C0">
        <w:trPr>
          <w:cantSplit/>
          <w:trHeight w:val="671"/>
        </w:trPr>
        <w:tc>
          <w:tcPr>
            <w:tcW w:w="296" w:type="pct"/>
            <w:vMerge/>
            <w:tcBorders>
              <w:left w:val="nil"/>
              <w:right w:val="nil"/>
            </w:tcBorders>
            <w:vAlign w:val="center"/>
          </w:tcPr>
          <w:p w14:paraId="1BCC4793" w14:textId="77777777" w:rsidR="006D21E2" w:rsidRPr="0054775B" w:rsidRDefault="006D21E2" w:rsidP="00D9497E">
            <w:pPr>
              <w:pStyle w:val="2024TABLETEXT"/>
              <w:framePr w:hSpace="0" w:wrap="auto" w:vAnchor="margin" w:yAlign="inline"/>
              <w:suppressOverlap w:val="0"/>
            </w:pPr>
          </w:p>
        </w:tc>
        <w:tc>
          <w:tcPr>
            <w:tcW w:w="1575" w:type="pct"/>
            <w:tcBorders>
              <w:top w:val="single" w:sz="6" w:space="0" w:color="000000"/>
              <w:left w:val="nil"/>
              <w:bottom w:val="single" w:sz="6" w:space="0" w:color="000000"/>
              <w:right w:val="nil"/>
            </w:tcBorders>
            <w:vAlign w:val="center"/>
          </w:tcPr>
          <w:p w14:paraId="7AF11D16" w14:textId="57BD5FE4" w:rsidR="006D21E2" w:rsidRPr="0054775B" w:rsidRDefault="006D21E2" w:rsidP="00D9497E">
            <w:pPr>
              <w:pStyle w:val="2024TABLETEXT"/>
              <w:framePr w:hSpace="0" w:wrap="auto" w:vAnchor="margin" w:yAlign="inline"/>
              <w:spacing w:after="120"/>
              <w:ind w:left="368"/>
              <w:suppressOverlap w:val="0"/>
              <w:rPr>
                <w:b/>
                <w:bCs/>
              </w:rPr>
            </w:pPr>
            <w:r w:rsidRPr="0054775B">
              <w:rPr>
                <w:b/>
                <w:bCs/>
              </w:rPr>
              <w:t>Global IBS symptoms scores</w:t>
            </w:r>
          </w:p>
          <w:p w14:paraId="52FEB640" w14:textId="2C07ABDE" w:rsidR="006D21E2" w:rsidRPr="0054775B" w:rsidRDefault="006D21E2" w:rsidP="00230FFE">
            <w:pPr>
              <w:pStyle w:val="2024TABLETEXT"/>
              <w:framePr w:hSpace="0" w:wrap="auto" w:vAnchor="margin" w:yAlign="inline"/>
              <w:ind w:left="648"/>
              <w:suppressOverlap w:val="0"/>
            </w:pPr>
            <w:r w:rsidRPr="0054775B">
              <w:rPr>
                <w:b/>
                <w:bCs/>
              </w:rPr>
              <w:t>Population:</w:t>
            </w:r>
            <w:r w:rsidRPr="0054775B">
              <w:t xml:space="preserve"> 18 years or older</w:t>
            </w:r>
          </w:p>
          <w:p w14:paraId="04603BEE" w14:textId="1C1F8DA3" w:rsidR="006D21E2" w:rsidRPr="0054775B" w:rsidRDefault="006D21E2" w:rsidP="00D9497E">
            <w:pPr>
              <w:pStyle w:val="2024TABLETEXT"/>
              <w:framePr w:hSpace="0" w:wrap="auto" w:vAnchor="margin" w:yAlign="inline"/>
              <w:ind w:left="648"/>
              <w:suppressOverlap w:val="0"/>
            </w:pPr>
            <w:r w:rsidRPr="0054775B">
              <w:rPr>
                <w:b/>
                <w:bCs/>
              </w:rPr>
              <w:t>Dose:</w:t>
            </w:r>
            <w:r w:rsidRPr="0054775B">
              <w:t xml:space="preserve"> Range of probiotic strains and dosage amounts</w:t>
            </w:r>
          </w:p>
          <w:p w14:paraId="458E53B3" w14:textId="77777777" w:rsidR="006D21E2" w:rsidRPr="0054775B" w:rsidRDefault="006D21E2" w:rsidP="00D9497E">
            <w:pPr>
              <w:pStyle w:val="2024TABLETEXT"/>
              <w:framePr w:hSpace="0" w:wrap="auto" w:vAnchor="margin" w:yAlign="inline"/>
              <w:ind w:left="652"/>
              <w:suppressOverlap w:val="0"/>
              <w:rPr>
                <w:b/>
                <w:bCs/>
              </w:rPr>
            </w:pPr>
            <w:r w:rsidRPr="0054775B">
              <w:rPr>
                <w:b/>
                <w:bCs/>
              </w:rPr>
              <w:t>Assessed with:</w:t>
            </w:r>
            <w:r w:rsidRPr="0054775B">
              <w:t xml:space="preserve"> IBS-SSS, Subject’s Global Assessment, GSS, GSRS, GSRS-IBS, Likert scale, IBS SSI, VAS, Birmingham IBS Symptom Questionnaire</w:t>
            </w:r>
            <w:r w:rsidRPr="0054775B">
              <w:rPr>
                <w:b/>
                <w:bCs/>
              </w:rPr>
              <w:t xml:space="preserve"> </w:t>
            </w:r>
          </w:p>
          <w:p w14:paraId="06E28D73" w14:textId="310832E8" w:rsidR="006D21E2" w:rsidRPr="0054775B" w:rsidRDefault="006D21E2" w:rsidP="00D9497E">
            <w:pPr>
              <w:pStyle w:val="2024TABLETEXT"/>
              <w:framePr w:hSpace="0" w:wrap="auto" w:vAnchor="margin" w:yAlign="inline"/>
              <w:ind w:left="652"/>
              <w:suppressOverlap w:val="0"/>
            </w:pPr>
            <w:r w:rsidRPr="0054775B">
              <w:rPr>
                <w:b/>
                <w:bCs/>
              </w:rPr>
              <w:t xml:space="preserve">Follow-up: </w:t>
            </w:r>
            <w:r w:rsidRPr="0054775B">
              <w:t>4 weeks to 6 months</w:t>
            </w:r>
          </w:p>
        </w:tc>
        <w:tc>
          <w:tcPr>
            <w:tcW w:w="444" w:type="pct"/>
            <w:tcBorders>
              <w:top w:val="single" w:sz="6" w:space="0" w:color="000000"/>
              <w:left w:val="nil"/>
              <w:bottom w:val="single" w:sz="6" w:space="0" w:color="000000"/>
              <w:right w:val="nil"/>
            </w:tcBorders>
            <w:vAlign w:val="center"/>
          </w:tcPr>
          <w:p w14:paraId="3C592D59" w14:textId="3DD005C4" w:rsidR="006D21E2" w:rsidRPr="0054775B" w:rsidRDefault="006D21E2" w:rsidP="00D9497E">
            <w:pPr>
              <w:pStyle w:val="2024TABLETEXT"/>
              <w:framePr w:hSpace="0" w:wrap="auto" w:vAnchor="margin" w:yAlign="inline"/>
              <w:suppressOverlap w:val="0"/>
            </w:pPr>
            <w:r w:rsidRPr="0054775B">
              <w:t>Li 2020</w:t>
            </w:r>
          </w:p>
        </w:tc>
        <w:tc>
          <w:tcPr>
            <w:tcW w:w="542" w:type="pct"/>
            <w:tcBorders>
              <w:top w:val="single" w:sz="6" w:space="0" w:color="000000"/>
              <w:left w:val="nil"/>
              <w:bottom w:val="single" w:sz="6" w:space="0" w:color="000000"/>
              <w:right w:val="nil"/>
            </w:tcBorders>
            <w:vAlign w:val="center"/>
          </w:tcPr>
          <w:p w14:paraId="57918861" w14:textId="299678C0" w:rsidR="006D21E2" w:rsidRPr="0054775B" w:rsidRDefault="00475093" w:rsidP="00A343C0">
            <w:pPr>
              <w:pStyle w:val="2024TABLETEXT"/>
              <w:framePr w:hSpace="0" w:wrap="auto" w:vAnchor="margin" w:yAlign="inline"/>
              <w:suppressOverlap w:val="0"/>
            </w:pPr>
            <w:r>
              <w:t>NR</w:t>
            </w:r>
          </w:p>
        </w:tc>
        <w:tc>
          <w:tcPr>
            <w:tcW w:w="542" w:type="pct"/>
            <w:tcBorders>
              <w:top w:val="single" w:sz="6" w:space="0" w:color="000000"/>
              <w:left w:val="nil"/>
              <w:bottom w:val="single" w:sz="6" w:space="0" w:color="000000"/>
              <w:right w:val="nil"/>
            </w:tcBorders>
            <w:shd w:val="clear" w:color="auto" w:fill="auto"/>
            <w:vAlign w:val="center"/>
          </w:tcPr>
          <w:p w14:paraId="442D8E7E" w14:textId="4349F0D8" w:rsidR="006D21E2" w:rsidRPr="0054775B" w:rsidRDefault="006D21E2" w:rsidP="00A343C0">
            <w:pPr>
              <w:pStyle w:val="2024TABLETEXT"/>
              <w:framePr w:hSpace="0" w:wrap="auto" w:vAnchor="margin" w:yAlign="inline"/>
              <w:suppressOverlap w:val="0"/>
            </w:pPr>
            <w:r w:rsidRPr="0054775B">
              <w:t xml:space="preserve">SMD = −0.18 </w:t>
            </w:r>
            <w:r w:rsidR="00BA19D8">
              <w:t>(</w:t>
            </w:r>
            <w:r w:rsidR="00BA19D8" w:rsidRPr="0054775B">
              <w:t>−</w:t>
            </w:r>
            <w:r w:rsidRPr="0054775B">
              <w:t>0.30 to −0.06)</w:t>
            </w:r>
            <w:r w:rsidR="00BA19D8">
              <w:t>^</w:t>
            </w:r>
          </w:p>
        </w:tc>
        <w:tc>
          <w:tcPr>
            <w:tcW w:w="444" w:type="pct"/>
            <w:tcBorders>
              <w:top w:val="single" w:sz="6" w:space="0" w:color="000000"/>
              <w:left w:val="nil"/>
              <w:bottom w:val="single" w:sz="6" w:space="0" w:color="000000"/>
              <w:right w:val="nil"/>
            </w:tcBorders>
            <w:vAlign w:val="center"/>
          </w:tcPr>
          <w:p w14:paraId="22C0457A" w14:textId="2504B5F1" w:rsidR="006D21E2" w:rsidRPr="0054775B" w:rsidRDefault="006D21E2" w:rsidP="00D9497E">
            <w:pPr>
              <w:pStyle w:val="2024TABLETEXT"/>
              <w:framePr w:hSpace="0" w:wrap="auto" w:vAnchor="margin" w:yAlign="inline"/>
              <w:suppressOverlap w:val="0"/>
            </w:pPr>
            <w:r w:rsidRPr="0054775B">
              <w:t xml:space="preserve">3726 (35 </w:t>
            </w:r>
            <w:r>
              <w:t>comparisons</w:t>
            </w:r>
            <w:r w:rsidRPr="0054775B">
              <w:t xml:space="preserve"> from 29 </w:t>
            </w:r>
            <w:r>
              <w:t>trials</w:t>
            </w:r>
            <w:r w:rsidRPr="0054775B">
              <w:t>)</w:t>
            </w:r>
          </w:p>
        </w:tc>
        <w:tc>
          <w:tcPr>
            <w:tcW w:w="444" w:type="pct"/>
            <w:tcBorders>
              <w:top w:val="single" w:sz="6" w:space="0" w:color="000000"/>
              <w:left w:val="nil"/>
              <w:bottom w:val="single" w:sz="6" w:space="0" w:color="000000"/>
              <w:right w:val="nil"/>
            </w:tcBorders>
            <w:vAlign w:val="center"/>
          </w:tcPr>
          <w:p w14:paraId="45361AA8" w14:textId="51D2A4F4" w:rsidR="006D21E2" w:rsidRPr="0054775B" w:rsidRDefault="006D21E2" w:rsidP="00D9497E">
            <w:pPr>
              <w:pStyle w:val="2024TABLETEXT"/>
              <w:framePr w:hSpace="0" w:wrap="auto" w:vAnchor="margin" w:yAlign="inline"/>
              <w:suppressOverlap w:val="0"/>
              <w:rPr>
                <w:rStyle w:val="FootnoteReference"/>
                <w:caps/>
              </w:rPr>
            </w:pPr>
            <w:r w:rsidRPr="0054775B">
              <w:rPr>
                <w:rFonts w:ascii="Cambria Math" w:hAnsi="Cambria Math" w:cs="Cambria Math"/>
                <w:sz w:val="22"/>
                <w:szCs w:val="22"/>
              </w:rPr>
              <w:t>⨁⨁</w:t>
            </w:r>
            <w:r w:rsidRPr="0054775B">
              <w:rPr>
                <w:rFonts w:ascii="Segoe UI Symbol" w:hAnsi="Segoe UI Symbol" w:cs="Segoe UI Symbol"/>
              </w:rPr>
              <w:t>◯◯</w:t>
            </w:r>
            <w:r w:rsidRPr="0054775B">
              <w:br/>
            </w:r>
            <w:r>
              <w:t>LOW</w:t>
            </w:r>
            <w:r w:rsidRPr="0054775B">
              <w:rPr>
                <w:rStyle w:val="FootnoteReference"/>
              </w:rPr>
              <w:t>a</w:t>
            </w:r>
          </w:p>
        </w:tc>
        <w:tc>
          <w:tcPr>
            <w:tcW w:w="713" w:type="pct"/>
            <w:tcBorders>
              <w:top w:val="single" w:sz="6" w:space="0" w:color="000000"/>
              <w:left w:val="nil"/>
              <w:bottom w:val="single" w:sz="6" w:space="0" w:color="000000"/>
              <w:right w:val="nil"/>
            </w:tcBorders>
            <w:vAlign w:val="center"/>
          </w:tcPr>
          <w:p w14:paraId="47A987DB" w14:textId="30D3BBC3" w:rsidR="006D21E2" w:rsidRPr="0054775B" w:rsidRDefault="006D21E2" w:rsidP="00D9497E">
            <w:pPr>
              <w:pStyle w:val="2024TABLETEXT"/>
              <w:framePr w:hSpace="0" w:wrap="auto" w:vAnchor="margin" w:yAlign="inline"/>
              <w:suppressOverlap w:val="0"/>
              <w:rPr>
                <w:highlight w:val="yellow"/>
              </w:rPr>
            </w:pPr>
            <w:r w:rsidRPr="0054775B">
              <w:t xml:space="preserve">Probiotics </w:t>
            </w:r>
            <w:r>
              <w:t>may</w:t>
            </w:r>
            <w:r w:rsidRPr="0054775B">
              <w:t xml:space="preserve"> </w:t>
            </w:r>
            <w:r w:rsidR="00590911">
              <w:t xml:space="preserve">result in little to no difference </w:t>
            </w:r>
            <w:r w:rsidR="003C1FE9" w:rsidRPr="0054775B">
              <w:t xml:space="preserve">in </w:t>
            </w:r>
            <w:r w:rsidR="003C1FE9">
              <w:t xml:space="preserve">global IBS </w:t>
            </w:r>
            <w:r w:rsidR="003C1FE9" w:rsidRPr="0054775B">
              <w:t xml:space="preserve">symptoms or response </w:t>
            </w:r>
            <w:r w:rsidR="007010AE" w:rsidRPr="0054775B">
              <w:t xml:space="preserve">(as a </w:t>
            </w:r>
            <w:r w:rsidR="007010AE">
              <w:t>continuous</w:t>
            </w:r>
            <w:r w:rsidR="007010AE" w:rsidRPr="0054775B">
              <w:t xml:space="preserve"> outcome)</w:t>
            </w:r>
            <w:r w:rsidR="007010AE">
              <w:t xml:space="preserve"> </w:t>
            </w:r>
            <w:r w:rsidRPr="0054775B">
              <w:t xml:space="preserve">for </w:t>
            </w:r>
            <w:r w:rsidR="000310D7">
              <w:t xml:space="preserve">people with </w:t>
            </w:r>
            <w:r w:rsidRPr="0054775B">
              <w:t>IBS.</w:t>
            </w:r>
          </w:p>
        </w:tc>
      </w:tr>
      <w:tr w:rsidR="00CA696B" w:rsidRPr="0054775B" w14:paraId="0FDB17C7" w14:textId="77777777" w:rsidTr="00A343C0">
        <w:trPr>
          <w:cantSplit/>
          <w:trHeight w:val="671"/>
        </w:trPr>
        <w:tc>
          <w:tcPr>
            <w:tcW w:w="296" w:type="pct"/>
            <w:vMerge/>
            <w:tcBorders>
              <w:left w:val="nil"/>
              <w:bottom w:val="single" w:sz="6" w:space="0" w:color="000000"/>
              <w:right w:val="nil"/>
            </w:tcBorders>
            <w:vAlign w:val="center"/>
          </w:tcPr>
          <w:p w14:paraId="3C7183E1" w14:textId="77777777" w:rsidR="006D21E2" w:rsidRPr="0054775B" w:rsidRDefault="006D21E2" w:rsidP="00814DD8">
            <w:pPr>
              <w:pStyle w:val="2024TABLETEXT"/>
              <w:framePr w:hSpace="0" w:wrap="auto" w:vAnchor="margin" w:yAlign="inline"/>
              <w:suppressOverlap w:val="0"/>
            </w:pPr>
          </w:p>
        </w:tc>
        <w:tc>
          <w:tcPr>
            <w:tcW w:w="1575" w:type="pct"/>
            <w:tcBorders>
              <w:top w:val="single" w:sz="6" w:space="0" w:color="000000"/>
              <w:left w:val="nil"/>
              <w:bottom w:val="single" w:sz="6" w:space="0" w:color="000000"/>
              <w:right w:val="nil"/>
            </w:tcBorders>
            <w:vAlign w:val="center"/>
          </w:tcPr>
          <w:p w14:paraId="6BE8F0F8" w14:textId="3A878FE1" w:rsidR="006D21E2" w:rsidRPr="0054775B" w:rsidRDefault="006D21E2" w:rsidP="00814DD8">
            <w:pPr>
              <w:pStyle w:val="2024TABLETEXT"/>
              <w:framePr w:hSpace="0" w:wrap="auto" w:vAnchor="margin" w:yAlign="inline"/>
              <w:spacing w:after="120"/>
              <w:ind w:left="368"/>
              <w:suppressOverlap w:val="0"/>
              <w:rPr>
                <w:b/>
                <w:bCs/>
              </w:rPr>
            </w:pPr>
            <w:r w:rsidRPr="0054775B">
              <w:rPr>
                <w:b/>
                <w:bCs/>
              </w:rPr>
              <w:t>Symptoms improvement or response as a dichotomous outcome</w:t>
            </w:r>
          </w:p>
          <w:p w14:paraId="1FD001AB" w14:textId="77777777" w:rsidR="006D21E2" w:rsidRPr="0054775B" w:rsidRDefault="006D21E2" w:rsidP="00230FFE">
            <w:pPr>
              <w:pStyle w:val="2024TABLETEXT"/>
              <w:framePr w:hSpace="0" w:wrap="auto" w:vAnchor="margin" w:yAlign="inline"/>
              <w:ind w:left="648"/>
              <w:suppressOverlap w:val="0"/>
            </w:pPr>
            <w:r w:rsidRPr="0054775B">
              <w:rPr>
                <w:b/>
                <w:bCs/>
              </w:rPr>
              <w:t>Population:</w:t>
            </w:r>
            <w:r w:rsidRPr="0054775B">
              <w:t xml:space="preserve"> 18 years or older</w:t>
            </w:r>
          </w:p>
          <w:p w14:paraId="63950B65" w14:textId="3908A7F1" w:rsidR="006D21E2" w:rsidRPr="0054775B" w:rsidRDefault="006D21E2" w:rsidP="00814DD8">
            <w:pPr>
              <w:pStyle w:val="2024TABLETEXT"/>
              <w:framePr w:hSpace="0" w:wrap="auto" w:vAnchor="margin" w:yAlign="inline"/>
              <w:ind w:left="648"/>
              <w:suppressOverlap w:val="0"/>
            </w:pPr>
            <w:r w:rsidRPr="0054775B">
              <w:rPr>
                <w:b/>
                <w:bCs/>
              </w:rPr>
              <w:t>Dose:</w:t>
            </w:r>
            <w:r w:rsidRPr="0054775B">
              <w:t xml:space="preserve"> Range of probiotic strains and dosage amounts</w:t>
            </w:r>
          </w:p>
          <w:p w14:paraId="28C2C019" w14:textId="039F7AD4" w:rsidR="006D21E2" w:rsidRPr="0054775B" w:rsidRDefault="006D21E2" w:rsidP="00814DD8">
            <w:pPr>
              <w:pStyle w:val="2024TABLETEXT"/>
              <w:framePr w:hSpace="0" w:wrap="auto" w:vAnchor="margin" w:yAlign="inline"/>
              <w:ind w:left="652"/>
              <w:suppressOverlap w:val="0"/>
            </w:pPr>
            <w:r w:rsidRPr="0054775B">
              <w:rPr>
                <w:b/>
                <w:bCs/>
              </w:rPr>
              <w:t>Assessed with:</w:t>
            </w:r>
            <w:r w:rsidRPr="0054775B">
              <w:t xml:space="preserve"> 10%-50% improvement compared to baseline; other</w:t>
            </w:r>
          </w:p>
          <w:p w14:paraId="69DD15B1" w14:textId="5250460A" w:rsidR="006D21E2" w:rsidRPr="0054775B" w:rsidRDefault="006D21E2" w:rsidP="00814DD8">
            <w:pPr>
              <w:pStyle w:val="2024TABLETEXT"/>
              <w:framePr w:hSpace="0" w:wrap="auto" w:vAnchor="margin" w:yAlign="inline"/>
              <w:ind w:left="652"/>
              <w:suppressOverlap w:val="0"/>
            </w:pPr>
            <w:r w:rsidRPr="0054775B">
              <w:rPr>
                <w:b/>
                <w:bCs/>
              </w:rPr>
              <w:t xml:space="preserve">Follow-up: </w:t>
            </w:r>
            <w:r w:rsidRPr="0054775B">
              <w:t>4 weeks to 6 months</w:t>
            </w:r>
          </w:p>
        </w:tc>
        <w:tc>
          <w:tcPr>
            <w:tcW w:w="444" w:type="pct"/>
            <w:tcBorders>
              <w:top w:val="single" w:sz="6" w:space="0" w:color="000000"/>
              <w:left w:val="nil"/>
              <w:bottom w:val="single" w:sz="6" w:space="0" w:color="000000"/>
              <w:right w:val="nil"/>
            </w:tcBorders>
            <w:vAlign w:val="center"/>
          </w:tcPr>
          <w:p w14:paraId="61962807" w14:textId="668D06FD" w:rsidR="006D21E2" w:rsidRPr="0054775B" w:rsidRDefault="006D21E2" w:rsidP="00814DD8">
            <w:pPr>
              <w:pStyle w:val="2024TABLETEXT"/>
              <w:framePr w:hSpace="0" w:wrap="auto" w:vAnchor="margin" w:yAlign="inline"/>
              <w:suppressOverlap w:val="0"/>
            </w:pPr>
            <w:r w:rsidRPr="0054775B">
              <w:t>Li 2020</w:t>
            </w:r>
          </w:p>
        </w:tc>
        <w:tc>
          <w:tcPr>
            <w:tcW w:w="542" w:type="pct"/>
            <w:tcBorders>
              <w:top w:val="single" w:sz="6" w:space="0" w:color="000000"/>
              <w:left w:val="nil"/>
              <w:bottom w:val="single" w:sz="6" w:space="0" w:color="000000"/>
              <w:right w:val="nil"/>
            </w:tcBorders>
            <w:vAlign w:val="center"/>
          </w:tcPr>
          <w:p w14:paraId="727BC2D7" w14:textId="5F3C58A1" w:rsidR="006D21E2" w:rsidRDefault="006D21E2" w:rsidP="00A343C0">
            <w:pPr>
              <w:pStyle w:val="2024TABLETEXT"/>
              <w:framePr w:hSpace="0" w:wrap="auto" w:vAnchor="margin" w:yAlign="inline"/>
              <w:suppressOverlap w:val="0"/>
            </w:pPr>
            <w:r>
              <w:t>RD = 0</w:t>
            </w:r>
            <w:r w:rsidRPr="00D1367B">
              <w:t>.17</w:t>
            </w:r>
            <w:r>
              <w:t xml:space="preserve"> (0</w:t>
            </w:r>
            <w:r w:rsidRPr="007E02BB">
              <w:t>.14</w:t>
            </w:r>
            <w:r>
              <w:t xml:space="preserve"> to</w:t>
            </w:r>
            <w:r w:rsidRPr="007E02BB">
              <w:t xml:space="preserve"> </w:t>
            </w:r>
            <w:r>
              <w:t>0</w:t>
            </w:r>
            <w:r w:rsidRPr="007E02BB">
              <w:t>.</w:t>
            </w:r>
            <w:r>
              <w:t>20)</w:t>
            </w:r>
            <w:r w:rsidR="00781F03">
              <w:t>#</w:t>
            </w:r>
          </w:p>
        </w:tc>
        <w:tc>
          <w:tcPr>
            <w:tcW w:w="542" w:type="pct"/>
            <w:tcBorders>
              <w:top w:val="single" w:sz="6" w:space="0" w:color="000000"/>
              <w:left w:val="nil"/>
              <w:bottom w:val="single" w:sz="6" w:space="0" w:color="000000"/>
              <w:right w:val="nil"/>
            </w:tcBorders>
            <w:shd w:val="clear" w:color="auto" w:fill="auto"/>
            <w:vAlign w:val="center"/>
          </w:tcPr>
          <w:p w14:paraId="588A70A1" w14:textId="5CA6F3A1" w:rsidR="006D21E2" w:rsidRPr="0054775B" w:rsidRDefault="006D21E2" w:rsidP="00A343C0">
            <w:pPr>
              <w:pStyle w:val="2024TABLETEXT"/>
              <w:framePr w:hSpace="0" w:wrap="auto" w:vAnchor="margin" w:yAlign="inline"/>
              <w:suppressOverlap w:val="0"/>
            </w:pPr>
            <w:r w:rsidRPr="0054775B">
              <w:t>RR = 1.5</w:t>
            </w:r>
            <w:r>
              <w:t>3</w:t>
            </w:r>
            <w:r w:rsidRPr="0054775B">
              <w:t xml:space="preserve"> (1.</w:t>
            </w:r>
            <w:r>
              <w:t>33</w:t>
            </w:r>
            <w:r w:rsidRPr="0054775B">
              <w:t>, 1.7</w:t>
            </w:r>
            <w:r>
              <w:t>7</w:t>
            </w:r>
            <w:r w:rsidRPr="0054775B">
              <w:t>)</w:t>
            </w:r>
            <w:r w:rsidR="00781F03">
              <w:t>#</w:t>
            </w:r>
          </w:p>
        </w:tc>
        <w:tc>
          <w:tcPr>
            <w:tcW w:w="444" w:type="pct"/>
            <w:tcBorders>
              <w:top w:val="single" w:sz="6" w:space="0" w:color="000000"/>
              <w:left w:val="nil"/>
              <w:bottom w:val="single" w:sz="6" w:space="0" w:color="000000"/>
              <w:right w:val="nil"/>
            </w:tcBorders>
            <w:vAlign w:val="center"/>
          </w:tcPr>
          <w:p w14:paraId="520FB365" w14:textId="21CBBC54" w:rsidR="006D21E2" w:rsidRPr="0054775B" w:rsidRDefault="006D21E2" w:rsidP="00814DD8">
            <w:pPr>
              <w:pStyle w:val="2024TABLETEXT"/>
              <w:framePr w:hSpace="0" w:wrap="auto" w:vAnchor="margin" w:yAlign="inline"/>
              <w:suppressOverlap w:val="0"/>
            </w:pPr>
            <w:r w:rsidRPr="0054775B">
              <w:t>4</w:t>
            </w:r>
            <w:r>
              <w:t>650</w:t>
            </w:r>
            <w:r w:rsidRPr="0054775B">
              <w:t xml:space="preserve"> (39 </w:t>
            </w:r>
            <w:r>
              <w:t>comparisons</w:t>
            </w:r>
            <w:r w:rsidRPr="0054775B">
              <w:t xml:space="preserve"> from 35 </w:t>
            </w:r>
            <w:r>
              <w:t>trials</w:t>
            </w:r>
            <w:r w:rsidRPr="0054775B">
              <w:t>)</w:t>
            </w:r>
          </w:p>
        </w:tc>
        <w:tc>
          <w:tcPr>
            <w:tcW w:w="444" w:type="pct"/>
            <w:tcBorders>
              <w:top w:val="single" w:sz="6" w:space="0" w:color="000000"/>
              <w:left w:val="nil"/>
              <w:bottom w:val="single" w:sz="6" w:space="0" w:color="000000"/>
              <w:right w:val="nil"/>
            </w:tcBorders>
            <w:vAlign w:val="center"/>
          </w:tcPr>
          <w:p w14:paraId="3F61FA8A" w14:textId="4C25F602" w:rsidR="006D21E2" w:rsidRPr="0054775B" w:rsidRDefault="006D21E2" w:rsidP="00814DD8">
            <w:pPr>
              <w:pStyle w:val="2024TABLETEXT"/>
              <w:framePr w:hSpace="0" w:wrap="auto" w:vAnchor="margin" w:yAlign="inline"/>
              <w:suppressOverlap w:val="0"/>
              <w:rPr>
                <w:rStyle w:val="FootnoteReference"/>
                <w:caps/>
              </w:rPr>
            </w:pPr>
            <w:r w:rsidRPr="0054775B">
              <w:rPr>
                <w:rFonts w:ascii="Cambria Math" w:hAnsi="Cambria Math" w:cs="Cambria Math"/>
                <w:sz w:val="22"/>
                <w:szCs w:val="22"/>
              </w:rPr>
              <w:t>⨁⨁⨁</w:t>
            </w:r>
            <w:r w:rsidRPr="0054775B" w:rsidDel="00BF65D4">
              <w:rPr>
                <w:rFonts w:ascii="Segoe UI Symbol" w:hAnsi="Segoe UI Symbol" w:cs="Segoe UI Symbol"/>
              </w:rPr>
              <w:t>◯</w:t>
            </w:r>
            <w:r w:rsidRPr="0054775B">
              <w:br/>
            </w:r>
            <w:r>
              <w:t>MODERATE</w:t>
            </w:r>
            <w:r w:rsidRPr="0054775B">
              <w:rPr>
                <w:rStyle w:val="FootnoteReference"/>
              </w:rPr>
              <w:t xml:space="preserve"> b</w:t>
            </w:r>
          </w:p>
        </w:tc>
        <w:tc>
          <w:tcPr>
            <w:tcW w:w="713" w:type="pct"/>
            <w:tcBorders>
              <w:top w:val="single" w:sz="6" w:space="0" w:color="000000"/>
              <w:left w:val="nil"/>
              <w:bottom w:val="single" w:sz="6" w:space="0" w:color="000000"/>
              <w:right w:val="nil"/>
            </w:tcBorders>
            <w:vAlign w:val="center"/>
          </w:tcPr>
          <w:p w14:paraId="2CD55999" w14:textId="621F4E61" w:rsidR="006D21E2" w:rsidRPr="0054775B" w:rsidRDefault="006D21E2" w:rsidP="00814DD8">
            <w:pPr>
              <w:pStyle w:val="2024TABLETEXT"/>
              <w:framePr w:hSpace="0" w:wrap="auto" w:vAnchor="margin" w:yAlign="inline"/>
              <w:suppressOverlap w:val="0"/>
              <w:rPr>
                <w:highlight w:val="yellow"/>
              </w:rPr>
            </w:pPr>
            <w:r w:rsidRPr="0054775B">
              <w:t xml:space="preserve">Probiotics </w:t>
            </w:r>
            <w:r>
              <w:t>probably</w:t>
            </w:r>
            <w:r w:rsidRPr="0054775B">
              <w:t xml:space="preserve"> result in </w:t>
            </w:r>
            <w:r>
              <w:t>a</w:t>
            </w:r>
            <w:r w:rsidR="00125D7B">
              <w:t xml:space="preserve">n </w:t>
            </w:r>
            <w:r w:rsidRPr="0054775B">
              <w:t xml:space="preserve">improvement </w:t>
            </w:r>
            <w:r w:rsidR="003C1FE9" w:rsidRPr="0054775B">
              <w:t xml:space="preserve">in </w:t>
            </w:r>
            <w:r w:rsidR="003C1FE9">
              <w:t xml:space="preserve">global IBS </w:t>
            </w:r>
            <w:r w:rsidR="003C1FE9" w:rsidRPr="0054775B">
              <w:t xml:space="preserve">symptoms or response </w:t>
            </w:r>
            <w:r w:rsidRPr="0054775B">
              <w:t>(</w:t>
            </w:r>
            <w:r w:rsidR="00D73A32">
              <w:t>of 10 to 50% improvement</w:t>
            </w:r>
            <w:r w:rsidR="00D73A32" w:rsidRPr="0054775B">
              <w:t xml:space="preserve"> </w:t>
            </w:r>
            <w:r w:rsidR="00D73A32">
              <w:t xml:space="preserve">when assessed </w:t>
            </w:r>
            <w:r w:rsidRPr="0054775B">
              <w:t>as a dichotomous outcome) for</w:t>
            </w:r>
            <w:r w:rsidR="000310D7">
              <w:t xml:space="preserve"> people with</w:t>
            </w:r>
            <w:r w:rsidRPr="0054775B">
              <w:t xml:space="preserve"> IBS.</w:t>
            </w:r>
          </w:p>
        </w:tc>
      </w:tr>
      <w:tr w:rsidR="00AD69EC" w:rsidRPr="0054775B" w14:paraId="7A366127" w14:textId="77777777" w:rsidTr="00A343C0">
        <w:trPr>
          <w:cantSplit/>
        </w:trPr>
        <w:tc>
          <w:tcPr>
            <w:tcW w:w="296" w:type="pct"/>
            <w:tcBorders>
              <w:top w:val="single" w:sz="6" w:space="0" w:color="000000"/>
              <w:left w:val="nil"/>
              <w:bottom w:val="single" w:sz="6" w:space="0" w:color="000000"/>
              <w:right w:val="nil"/>
            </w:tcBorders>
            <w:vAlign w:val="center"/>
          </w:tcPr>
          <w:p w14:paraId="1CD7A9F4" w14:textId="6B34AC1B" w:rsidR="006D21E2" w:rsidRPr="0054775B" w:rsidRDefault="006D21E2" w:rsidP="00814DD8">
            <w:pPr>
              <w:pStyle w:val="2024TABLETEXT"/>
              <w:framePr w:hSpace="0" w:wrap="auto" w:vAnchor="margin" w:yAlign="inline"/>
              <w:suppressOverlap w:val="0"/>
            </w:pPr>
            <w:r w:rsidRPr="0054775B">
              <w:t>8</w:t>
            </w:r>
          </w:p>
        </w:tc>
        <w:tc>
          <w:tcPr>
            <w:tcW w:w="1575" w:type="pct"/>
            <w:tcBorders>
              <w:top w:val="single" w:sz="6" w:space="0" w:color="000000"/>
              <w:left w:val="nil"/>
              <w:bottom w:val="single" w:sz="6" w:space="0" w:color="000000"/>
              <w:right w:val="nil"/>
            </w:tcBorders>
            <w:vAlign w:val="center"/>
          </w:tcPr>
          <w:p w14:paraId="0C6EC574" w14:textId="3C72C4E8" w:rsidR="006D21E2" w:rsidRPr="0054775B" w:rsidRDefault="006D21E2" w:rsidP="000B3AD9">
            <w:pPr>
              <w:pStyle w:val="2024TABLETEXT"/>
              <w:framePr w:hSpace="0" w:wrap="auto" w:vAnchor="margin" w:yAlign="inline"/>
              <w:spacing w:after="120"/>
              <w:ind w:left="87"/>
              <w:suppressOverlap w:val="0"/>
              <w:rPr>
                <w:b/>
                <w:bCs/>
              </w:rPr>
            </w:pPr>
            <w:r w:rsidRPr="0054775B">
              <w:rPr>
                <w:b/>
                <w:bCs/>
              </w:rPr>
              <w:t>Abdominal pain burden</w:t>
            </w:r>
          </w:p>
          <w:p w14:paraId="738682B5" w14:textId="77777777" w:rsidR="006D21E2" w:rsidRPr="0054775B" w:rsidRDefault="006D21E2" w:rsidP="00230FFE">
            <w:pPr>
              <w:pStyle w:val="2024TABLETEXT"/>
              <w:framePr w:hSpace="0" w:wrap="auto" w:vAnchor="margin" w:yAlign="inline"/>
              <w:ind w:left="370"/>
              <w:suppressOverlap w:val="0"/>
            </w:pPr>
            <w:r w:rsidRPr="0054775B">
              <w:rPr>
                <w:b/>
                <w:bCs/>
              </w:rPr>
              <w:t>Population:</w:t>
            </w:r>
            <w:r w:rsidRPr="0054775B">
              <w:t xml:space="preserve"> 18 years or older</w:t>
            </w:r>
          </w:p>
          <w:p w14:paraId="7BC942AC" w14:textId="43DD0CB0" w:rsidR="006D21E2" w:rsidRPr="0054775B" w:rsidRDefault="006D21E2" w:rsidP="009560F0">
            <w:pPr>
              <w:pStyle w:val="2024TABLETEXT"/>
              <w:framePr w:hSpace="0" w:wrap="auto" w:vAnchor="margin" w:yAlign="inline"/>
              <w:ind w:left="370"/>
              <w:suppressOverlap w:val="0"/>
            </w:pPr>
            <w:r w:rsidRPr="0054775B">
              <w:rPr>
                <w:b/>
                <w:bCs/>
              </w:rPr>
              <w:t>Dose:</w:t>
            </w:r>
            <w:r w:rsidRPr="0054775B">
              <w:t xml:space="preserve"> Range of probiotic strains and dosage amounts</w:t>
            </w:r>
          </w:p>
          <w:p w14:paraId="0A99F642" w14:textId="114C6510" w:rsidR="006D21E2" w:rsidRPr="0054775B" w:rsidRDefault="006D21E2" w:rsidP="00814DD8">
            <w:pPr>
              <w:pStyle w:val="2024TABLETEXT"/>
              <w:framePr w:hSpace="0" w:wrap="auto" w:vAnchor="margin" w:yAlign="inline"/>
              <w:ind w:left="370"/>
              <w:suppressOverlap w:val="0"/>
            </w:pPr>
            <w:r w:rsidRPr="0054775B">
              <w:rPr>
                <w:b/>
                <w:bCs/>
              </w:rPr>
              <w:t>Assessed with:</w:t>
            </w:r>
            <w:r w:rsidRPr="0054775B">
              <w:t xml:space="preserve"> Likert scale, VAS, numerical scale, GSRS, IBS-SSS</w:t>
            </w:r>
          </w:p>
          <w:p w14:paraId="189FC2D2" w14:textId="4F88F560" w:rsidR="006D21E2" w:rsidRPr="0054775B" w:rsidRDefault="006D21E2" w:rsidP="00814DD8">
            <w:pPr>
              <w:pStyle w:val="2024TABLETEXT"/>
              <w:framePr w:hSpace="0" w:wrap="auto" w:vAnchor="margin" w:yAlign="inline"/>
              <w:ind w:left="370"/>
              <w:suppressOverlap w:val="0"/>
            </w:pPr>
            <w:r w:rsidRPr="0054775B">
              <w:rPr>
                <w:b/>
                <w:bCs/>
              </w:rPr>
              <w:t xml:space="preserve">Follow-up: </w:t>
            </w:r>
            <w:r w:rsidRPr="0054775B">
              <w:t>4 weeks to 6 months</w:t>
            </w:r>
          </w:p>
        </w:tc>
        <w:tc>
          <w:tcPr>
            <w:tcW w:w="444" w:type="pct"/>
            <w:tcBorders>
              <w:top w:val="single" w:sz="6" w:space="0" w:color="000000"/>
              <w:left w:val="nil"/>
              <w:bottom w:val="single" w:sz="6" w:space="0" w:color="000000"/>
              <w:right w:val="nil"/>
            </w:tcBorders>
            <w:vAlign w:val="center"/>
          </w:tcPr>
          <w:p w14:paraId="4401A936" w14:textId="068C6154" w:rsidR="006D21E2" w:rsidRPr="0054775B" w:rsidRDefault="006D21E2" w:rsidP="00814DD8">
            <w:pPr>
              <w:pStyle w:val="2024TABLETEXT"/>
              <w:framePr w:hSpace="0" w:wrap="auto" w:vAnchor="margin" w:yAlign="inline"/>
              <w:suppressOverlap w:val="0"/>
            </w:pPr>
            <w:r w:rsidRPr="0054775B">
              <w:t>Li 2020</w:t>
            </w:r>
          </w:p>
        </w:tc>
        <w:tc>
          <w:tcPr>
            <w:tcW w:w="542" w:type="pct"/>
            <w:tcBorders>
              <w:top w:val="single" w:sz="6" w:space="0" w:color="000000"/>
              <w:left w:val="nil"/>
              <w:bottom w:val="single" w:sz="6" w:space="0" w:color="000000"/>
              <w:right w:val="nil"/>
            </w:tcBorders>
            <w:vAlign w:val="center"/>
          </w:tcPr>
          <w:p w14:paraId="0AC2D5CB" w14:textId="1F5E8226" w:rsidR="006D21E2" w:rsidRPr="0054775B" w:rsidRDefault="00475093" w:rsidP="00A343C0">
            <w:pPr>
              <w:pStyle w:val="2024TABLETEXT"/>
              <w:framePr w:hSpace="0" w:wrap="auto" w:vAnchor="margin" w:yAlign="inline"/>
              <w:suppressOverlap w:val="0"/>
            </w:pPr>
            <w:r>
              <w:t>NR</w:t>
            </w:r>
          </w:p>
        </w:tc>
        <w:tc>
          <w:tcPr>
            <w:tcW w:w="542" w:type="pct"/>
            <w:tcBorders>
              <w:top w:val="single" w:sz="6" w:space="0" w:color="000000"/>
              <w:left w:val="nil"/>
              <w:bottom w:val="single" w:sz="6" w:space="0" w:color="000000"/>
              <w:right w:val="nil"/>
            </w:tcBorders>
            <w:shd w:val="clear" w:color="auto" w:fill="auto"/>
            <w:vAlign w:val="center"/>
          </w:tcPr>
          <w:p w14:paraId="0EC55BEE" w14:textId="696018FD" w:rsidR="006D21E2" w:rsidRPr="0054775B" w:rsidRDefault="006D21E2" w:rsidP="00A343C0">
            <w:pPr>
              <w:pStyle w:val="2024TABLETEXT"/>
              <w:framePr w:hSpace="0" w:wrap="auto" w:vAnchor="margin" w:yAlign="inline"/>
              <w:suppressOverlap w:val="0"/>
            </w:pPr>
            <w:r w:rsidRPr="0054775B">
              <w:t>SMD = −0.22</w:t>
            </w:r>
            <w:r w:rsidR="00265C8D">
              <w:t xml:space="preserve"> (</w:t>
            </w:r>
            <w:r w:rsidRPr="0054775B">
              <w:t>−0.33 to −0.11</w:t>
            </w:r>
            <w:r w:rsidR="00265C8D">
              <w:t>)</w:t>
            </w:r>
            <w:r w:rsidR="00BA19D8">
              <w:t>^</w:t>
            </w:r>
          </w:p>
        </w:tc>
        <w:tc>
          <w:tcPr>
            <w:tcW w:w="444" w:type="pct"/>
            <w:tcBorders>
              <w:top w:val="single" w:sz="6" w:space="0" w:color="000000"/>
              <w:left w:val="nil"/>
              <w:bottom w:val="single" w:sz="6" w:space="0" w:color="000000"/>
              <w:right w:val="nil"/>
            </w:tcBorders>
            <w:vAlign w:val="center"/>
          </w:tcPr>
          <w:p w14:paraId="44646EBC" w14:textId="05D76126" w:rsidR="006D21E2" w:rsidRPr="0054775B" w:rsidRDefault="006D21E2" w:rsidP="00814DD8">
            <w:pPr>
              <w:pStyle w:val="2024TABLETEXT"/>
              <w:framePr w:hSpace="0" w:wrap="auto" w:vAnchor="margin" w:yAlign="inline"/>
              <w:suppressOverlap w:val="0"/>
            </w:pPr>
            <w:r w:rsidRPr="0054775B">
              <w:t xml:space="preserve">4579 (44 </w:t>
            </w:r>
            <w:r>
              <w:t xml:space="preserve">comparisons </w:t>
            </w:r>
            <w:r w:rsidRPr="0054775B">
              <w:t xml:space="preserve">from 38 </w:t>
            </w:r>
            <w:r>
              <w:t>trials</w:t>
            </w:r>
            <w:r w:rsidRPr="0054775B">
              <w:t>)</w:t>
            </w:r>
          </w:p>
        </w:tc>
        <w:tc>
          <w:tcPr>
            <w:tcW w:w="444" w:type="pct"/>
            <w:tcBorders>
              <w:top w:val="single" w:sz="6" w:space="0" w:color="000000"/>
              <w:left w:val="nil"/>
              <w:bottom w:val="single" w:sz="6" w:space="0" w:color="000000"/>
              <w:right w:val="nil"/>
            </w:tcBorders>
            <w:vAlign w:val="center"/>
          </w:tcPr>
          <w:p w14:paraId="5BF901C1" w14:textId="4BB5C8E0" w:rsidR="006D21E2" w:rsidRPr="0054775B" w:rsidRDefault="006D21E2" w:rsidP="00814DD8">
            <w:pPr>
              <w:pStyle w:val="2024TABLETEXT"/>
              <w:framePr w:hSpace="0" w:wrap="auto" w:vAnchor="margin" w:yAlign="inline"/>
              <w:suppressOverlap w:val="0"/>
            </w:pPr>
            <w:r w:rsidRPr="0054775B">
              <w:rPr>
                <w:rFonts w:ascii="Cambria Math" w:hAnsi="Cambria Math" w:cs="Cambria Math"/>
                <w:sz w:val="22"/>
                <w:szCs w:val="22"/>
              </w:rPr>
              <w:t>⨁⨁</w:t>
            </w:r>
            <w:r w:rsidRPr="0054775B">
              <w:rPr>
                <w:rFonts w:ascii="Segoe UI Symbol" w:hAnsi="Segoe UI Symbol" w:cs="Segoe UI Symbol"/>
              </w:rPr>
              <w:t>◯◯</w:t>
            </w:r>
            <w:r w:rsidRPr="0054775B">
              <w:br/>
            </w:r>
            <w:r>
              <w:t>LOW</w:t>
            </w:r>
            <w:r w:rsidRPr="0054775B">
              <w:rPr>
                <w:rStyle w:val="FootnoteReference"/>
              </w:rPr>
              <w:t>c</w:t>
            </w:r>
          </w:p>
        </w:tc>
        <w:tc>
          <w:tcPr>
            <w:tcW w:w="713" w:type="pct"/>
            <w:tcBorders>
              <w:top w:val="single" w:sz="6" w:space="0" w:color="000000"/>
              <w:left w:val="nil"/>
              <w:bottom w:val="single" w:sz="6" w:space="0" w:color="000000"/>
              <w:right w:val="nil"/>
            </w:tcBorders>
            <w:vAlign w:val="center"/>
          </w:tcPr>
          <w:p w14:paraId="7AC532AF" w14:textId="1819B9D3" w:rsidR="006D21E2" w:rsidRPr="0054775B" w:rsidRDefault="006D21E2" w:rsidP="00814DD8">
            <w:pPr>
              <w:pStyle w:val="2024TABLETEXT"/>
              <w:framePr w:hSpace="0" w:wrap="auto" w:vAnchor="margin" w:yAlign="inline"/>
              <w:suppressOverlap w:val="0"/>
            </w:pPr>
            <w:r w:rsidRPr="0054775B">
              <w:t xml:space="preserve">Probiotics </w:t>
            </w:r>
            <w:r>
              <w:t>may</w:t>
            </w:r>
            <w:r w:rsidRPr="0054775B">
              <w:t xml:space="preserve"> result in a slight improvement in abdominal pain burden for </w:t>
            </w:r>
            <w:r w:rsidR="000310D7">
              <w:t xml:space="preserve">people with </w:t>
            </w:r>
            <w:r w:rsidRPr="0054775B">
              <w:t>IBS.</w:t>
            </w:r>
          </w:p>
        </w:tc>
      </w:tr>
      <w:tr w:rsidR="00AD69EC" w:rsidRPr="0054775B" w14:paraId="1DFFC1CF" w14:textId="77777777" w:rsidTr="00A343C0">
        <w:trPr>
          <w:cantSplit/>
          <w:trHeight w:val="579"/>
        </w:trPr>
        <w:tc>
          <w:tcPr>
            <w:tcW w:w="296" w:type="pct"/>
            <w:tcBorders>
              <w:top w:val="single" w:sz="6" w:space="0" w:color="000000"/>
              <w:left w:val="nil"/>
              <w:bottom w:val="single" w:sz="6" w:space="0" w:color="000000"/>
              <w:right w:val="nil"/>
            </w:tcBorders>
            <w:vAlign w:val="center"/>
          </w:tcPr>
          <w:p w14:paraId="1339FF7F" w14:textId="68442C31" w:rsidR="006D21E2" w:rsidRPr="0054775B" w:rsidRDefault="006D21E2" w:rsidP="003E4C19">
            <w:pPr>
              <w:pStyle w:val="2024TABLETEXT"/>
              <w:framePr w:hSpace="0" w:wrap="auto" w:vAnchor="margin" w:yAlign="inline"/>
              <w:suppressOverlap w:val="0"/>
            </w:pPr>
            <w:r w:rsidRPr="0054775B">
              <w:lastRenderedPageBreak/>
              <w:t>8</w:t>
            </w:r>
          </w:p>
        </w:tc>
        <w:tc>
          <w:tcPr>
            <w:tcW w:w="1575" w:type="pct"/>
            <w:tcBorders>
              <w:top w:val="single" w:sz="6" w:space="0" w:color="000000"/>
              <w:left w:val="nil"/>
              <w:bottom w:val="single" w:sz="6" w:space="0" w:color="000000"/>
              <w:right w:val="nil"/>
            </w:tcBorders>
            <w:vAlign w:val="center"/>
          </w:tcPr>
          <w:p w14:paraId="4E8234FB" w14:textId="77777777" w:rsidR="006D21E2" w:rsidRPr="0054775B" w:rsidRDefault="006D21E2" w:rsidP="003E4C19">
            <w:pPr>
              <w:pStyle w:val="2024TABLETEXT"/>
              <w:framePr w:hSpace="0" w:wrap="auto" w:vAnchor="margin" w:yAlign="inline"/>
              <w:spacing w:after="120"/>
              <w:ind w:left="87"/>
              <w:suppressOverlap w:val="0"/>
              <w:rPr>
                <w:b/>
                <w:bCs/>
              </w:rPr>
            </w:pPr>
            <w:r w:rsidRPr="0054775B">
              <w:rPr>
                <w:b/>
                <w:bCs/>
              </w:rPr>
              <w:t>Health-related quality of life</w:t>
            </w:r>
          </w:p>
          <w:p w14:paraId="67E92BD7" w14:textId="73E357DC" w:rsidR="006D21E2" w:rsidRPr="0054775B" w:rsidRDefault="006D21E2" w:rsidP="003E4C19">
            <w:pPr>
              <w:pStyle w:val="2024TABLETEXT"/>
              <w:framePr w:hSpace="0" w:wrap="auto" w:vAnchor="margin" w:yAlign="inline"/>
              <w:ind w:left="370"/>
              <w:suppressOverlap w:val="0"/>
            </w:pPr>
            <w:r w:rsidRPr="0054775B">
              <w:rPr>
                <w:b/>
                <w:bCs/>
              </w:rPr>
              <w:t>Population:</w:t>
            </w:r>
            <w:r w:rsidRPr="0054775B">
              <w:t xml:space="preserve"> Adults</w:t>
            </w:r>
          </w:p>
          <w:p w14:paraId="13316BC9" w14:textId="123C940E" w:rsidR="006D21E2" w:rsidRPr="0054775B" w:rsidRDefault="006D21E2" w:rsidP="003E4C19">
            <w:pPr>
              <w:pStyle w:val="2024TABLETEXT"/>
              <w:framePr w:hSpace="0" w:wrap="auto" w:vAnchor="margin" w:yAlign="inline"/>
              <w:ind w:left="370"/>
              <w:suppressOverlap w:val="0"/>
            </w:pPr>
            <w:r w:rsidRPr="0054775B">
              <w:rPr>
                <w:b/>
                <w:bCs/>
              </w:rPr>
              <w:t>Dose:</w:t>
            </w:r>
            <w:r w:rsidRPr="0054775B">
              <w:t xml:space="preserve"> Range of probiotic strains and dosage amounts</w:t>
            </w:r>
          </w:p>
          <w:p w14:paraId="302E2BF1" w14:textId="77777777" w:rsidR="006D21E2" w:rsidRPr="0054775B" w:rsidRDefault="006D21E2" w:rsidP="003E4C19">
            <w:pPr>
              <w:pStyle w:val="2024TABLETEXT"/>
              <w:framePr w:hSpace="0" w:wrap="auto" w:vAnchor="margin" w:yAlign="inline"/>
              <w:ind w:left="370"/>
              <w:suppressOverlap w:val="0"/>
            </w:pPr>
            <w:r w:rsidRPr="0054775B">
              <w:rPr>
                <w:b/>
                <w:bCs/>
              </w:rPr>
              <w:t>Assessed with:</w:t>
            </w:r>
            <w:r w:rsidRPr="0054775B">
              <w:t xml:space="preserve"> IBS-QOL questionnaire</w:t>
            </w:r>
          </w:p>
          <w:p w14:paraId="330B5506" w14:textId="7F5DED8F" w:rsidR="006D21E2" w:rsidRPr="0054775B" w:rsidRDefault="006D21E2" w:rsidP="003E4C19">
            <w:pPr>
              <w:pStyle w:val="2024TABLETEXT"/>
              <w:framePr w:hSpace="0" w:wrap="auto" w:vAnchor="margin" w:yAlign="inline"/>
              <w:ind w:left="370"/>
              <w:suppressOverlap w:val="0"/>
            </w:pPr>
            <w:r w:rsidRPr="0054775B">
              <w:rPr>
                <w:b/>
                <w:bCs/>
              </w:rPr>
              <w:t xml:space="preserve">Follow-up: </w:t>
            </w:r>
            <w:r w:rsidRPr="0054775B">
              <w:t>4-24 weeks</w:t>
            </w:r>
          </w:p>
        </w:tc>
        <w:tc>
          <w:tcPr>
            <w:tcW w:w="444" w:type="pct"/>
            <w:tcBorders>
              <w:top w:val="single" w:sz="6" w:space="0" w:color="000000"/>
              <w:left w:val="nil"/>
              <w:bottom w:val="single" w:sz="6" w:space="0" w:color="000000"/>
              <w:right w:val="nil"/>
            </w:tcBorders>
            <w:vAlign w:val="center"/>
          </w:tcPr>
          <w:p w14:paraId="54C98F42" w14:textId="20318D5D" w:rsidR="006D21E2" w:rsidRPr="0054775B" w:rsidRDefault="006D21E2" w:rsidP="003E4C19">
            <w:pPr>
              <w:pStyle w:val="2024TABLETEXT"/>
              <w:framePr w:hSpace="0" w:wrap="auto" w:vAnchor="margin" w:yAlign="inline"/>
              <w:suppressOverlap w:val="0"/>
            </w:pPr>
            <w:r w:rsidRPr="0054775B">
              <w:t>Le Morvan 2021</w:t>
            </w:r>
          </w:p>
        </w:tc>
        <w:tc>
          <w:tcPr>
            <w:tcW w:w="542" w:type="pct"/>
            <w:tcBorders>
              <w:top w:val="single" w:sz="6" w:space="0" w:color="000000"/>
              <w:left w:val="nil"/>
              <w:bottom w:val="single" w:sz="6" w:space="0" w:color="000000"/>
              <w:right w:val="nil"/>
            </w:tcBorders>
            <w:vAlign w:val="center"/>
          </w:tcPr>
          <w:p w14:paraId="7F280023" w14:textId="0026474C" w:rsidR="006D21E2" w:rsidRDefault="00475093" w:rsidP="00A343C0">
            <w:pPr>
              <w:pStyle w:val="2024TABLETEXT"/>
              <w:framePr w:hSpace="0" w:wrap="auto" w:vAnchor="margin" w:yAlign="inline"/>
              <w:suppressOverlap w:val="0"/>
            </w:pPr>
            <w:r>
              <w:t>NR</w:t>
            </w:r>
          </w:p>
        </w:tc>
        <w:tc>
          <w:tcPr>
            <w:tcW w:w="542" w:type="pct"/>
            <w:tcBorders>
              <w:top w:val="single" w:sz="6" w:space="0" w:color="000000"/>
              <w:left w:val="nil"/>
              <w:bottom w:val="single" w:sz="6" w:space="0" w:color="000000"/>
              <w:right w:val="nil"/>
            </w:tcBorders>
            <w:shd w:val="clear" w:color="auto" w:fill="auto"/>
            <w:vAlign w:val="center"/>
          </w:tcPr>
          <w:p w14:paraId="5389CD23" w14:textId="074216B6" w:rsidR="006D21E2" w:rsidRPr="0054775B" w:rsidRDefault="006D21E2" w:rsidP="00A343C0">
            <w:pPr>
              <w:pStyle w:val="2024TABLETEXT"/>
              <w:framePr w:hSpace="0" w:wrap="auto" w:vAnchor="margin" w:yAlign="inline"/>
              <w:suppressOverlap w:val="0"/>
            </w:pPr>
            <w:r>
              <w:t>S</w:t>
            </w:r>
            <w:r w:rsidRPr="0054775B">
              <w:t>MD = 0.36 (0.07, 0.64)</w:t>
            </w:r>
            <w:r w:rsidR="00BA19D8">
              <w:t>^</w:t>
            </w:r>
          </w:p>
        </w:tc>
        <w:tc>
          <w:tcPr>
            <w:tcW w:w="444" w:type="pct"/>
            <w:tcBorders>
              <w:top w:val="single" w:sz="6" w:space="0" w:color="000000"/>
              <w:left w:val="nil"/>
              <w:bottom w:val="single" w:sz="6" w:space="0" w:color="000000"/>
              <w:right w:val="nil"/>
            </w:tcBorders>
            <w:vAlign w:val="center"/>
          </w:tcPr>
          <w:p w14:paraId="688FA2B6" w14:textId="18A9E374" w:rsidR="006D21E2" w:rsidRPr="0054775B" w:rsidRDefault="006D21E2" w:rsidP="003E4C19">
            <w:pPr>
              <w:pStyle w:val="2024TABLETEXT"/>
              <w:framePr w:hSpace="0" w:wrap="auto" w:vAnchor="margin" w:yAlign="inline"/>
              <w:suppressOverlap w:val="0"/>
            </w:pPr>
            <w:r w:rsidRPr="0054775B">
              <w:t>1501 (11)</w:t>
            </w:r>
          </w:p>
        </w:tc>
        <w:tc>
          <w:tcPr>
            <w:tcW w:w="444" w:type="pct"/>
            <w:tcBorders>
              <w:top w:val="single" w:sz="6" w:space="0" w:color="000000"/>
              <w:left w:val="nil"/>
              <w:bottom w:val="single" w:sz="6" w:space="0" w:color="000000"/>
              <w:right w:val="nil"/>
            </w:tcBorders>
            <w:vAlign w:val="center"/>
          </w:tcPr>
          <w:p w14:paraId="696208A4" w14:textId="3AD710C5" w:rsidR="006D21E2" w:rsidRPr="0054775B" w:rsidRDefault="006D21E2" w:rsidP="003E4C19">
            <w:pPr>
              <w:pStyle w:val="2024TABLETEXT"/>
              <w:framePr w:hSpace="0" w:wrap="auto" w:vAnchor="margin" w:yAlign="inline"/>
              <w:suppressOverlap w:val="0"/>
            </w:pPr>
            <w:r w:rsidRPr="0054775B">
              <w:rPr>
                <w:rFonts w:ascii="Cambria Math" w:hAnsi="Cambria Math" w:cs="Cambria Math"/>
                <w:sz w:val="22"/>
                <w:szCs w:val="22"/>
              </w:rPr>
              <w:t>⨁⨁</w:t>
            </w:r>
            <w:r w:rsidRPr="0054775B">
              <w:rPr>
                <w:rFonts w:ascii="Segoe UI Symbol" w:hAnsi="Segoe UI Symbol" w:cs="Segoe UI Symbol"/>
              </w:rPr>
              <w:t>◯◯</w:t>
            </w:r>
            <w:r w:rsidRPr="0054775B">
              <w:br/>
              <w:t>LOW</w:t>
            </w:r>
            <w:r w:rsidRPr="0054775B">
              <w:rPr>
                <w:rStyle w:val="FootnoteReference"/>
              </w:rPr>
              <w:t xml:space="preserve"> </w:t>
            </w:r>
            <w:r w:rsidRPr="0054775B">
              <w:rPr>
                <w:vertAlign w:val="superscript"/>
              </w:rPr>
              <w:t>d</w:t>
            </w:r>
          </w:p>
        </w:tc>
        <w:tc>
          <w:tcPr>
            <w:tcW w:w="713" w:type="pct"/>
            <w:tcBorders>
              <w:top w:val="single" w:sz="6" w:space="0" w:color="000000"/>
              <w:left w:val="nil"/>
              <w:bottom w:val="single" w:sz="6" w:space="0" w:color="000000"/>
              <w:right w:val="nil"/>
            </w:tcBorders>
            <w:vAlign w:val="center"/>
          </w:tcPr>
          <w:p w14:paraId="70F26453" w14:textId="23A542A1" w:rsidR="006D21E2" w:rsidRPr="0054775B" w:rsidRDefault="006D21E2" w:rsidP="003E4C19">
            <w:pPr>
              <w:pStyle w:val="2024TABLETEXT"/>
              <w:framePr w:hSpace="0" w:wrap="auto" w:vAnchor="margin" w:yAlign="inline"/>
              <w:suppressOverlap w:val="0"/>
            </w:pPr>
            <w:r w:rsidRPr="0054775B">
              <w:t>Probiotics may result in an improvement in health-related quality of life for</w:t>
            </w:r>
            <w:r w:rsidR="000310D7">
              <w:t xml:space="preserve"> people with</w:t>
            </w:r>
            <w:r w:rsidRPr="0054775B">
              <w:t xml:space="preserve"> IBS.</w:t>
            </w:r>
          </w:p>
        </w:tc>
      </w:tr>
      <w:tr w:rsidR="00AD69EC" w:rsidRPr="0054775B" w14:paraId="71831E02" w14:textId="77777777" w:rsidTr="00A343C0">
        <w:trPr>
          <w:cantSplit/>
        </w:trPr>
        <w:tc>
          <w:tcPr>
            <w:tcW w:w="296" w:type="pct"/>
            <w:tcBorders>
              <w:top w:val="single" w:sz="6" w:space="0" w:color="000000"/>
              <w:left w:val="nil"/>
              <w:bottom w:val="single" w:sz="6" w:space="0" w:color="000000"/>
              <w:right w:val="nil"/>
            </w:tcBorders>
            <w:vAlign w:val="center"/>
          </w:tcPr>
          <w:p w14:paraId="77BAED33" w14:textId="34A0D5B9" w:rsidR="006D21E2" w:rsidRPr="0054775B" w:rsidRDefault="006D21E2" w:rsidP="003E4C19">
            <w:pPr>
              <w:pStyle w:val="2024TABLETEXT"/>
              <w:framePr w:hSpace="0" w:wrap="auto" w:vAnchor="margin" w:yAlign="inline"/>
              <w:suppressOverlap w:val="0"/>
            </w:pPr>
            <w:r w:rsidRPr="0054775B">
              <w:t>8</w:t>
            </w:r>
          </w:p>
        </w:tc>
        <w:tc>
          <w:tcPr>
            <w:tcW w:w="1575" w:type="pct"/>
            <w:tcBorders>
              <w:top w:val="single" w:sz="6" w:space="0" w:color="000000"/>
              <w:left w:val="nil"/>
              <w:bottom w:val="single" w:sz="6" w:space="0" w:color="000000"/>
              <w:right w:val="nil"/>
            </w:tcBorders>
            <w:vAlign w:val="center"/>
          </w:tcPr>
          <w:p w14:paraId="713D85CC" w14:textId="76158556" w:rsidR="006D21E2" w:rsidRPr="0054775B" w:rsidRDefault="006D21E2" w:rsidP="003E4C19">
            <w:pPr>
              <w:pStyle w:val="2024TABLETEXT"/>
              <w:framePr w:hSpace="0" w:wrap="auto" w:vAnchor="margin" w:yAlign="inline"/>
              <w:ind w:left="85"/>
              <w:suppressOverlap w:val="0"/>
            </w:pPr>
            <w:r w:rsidRPr="0054775B">
              <w:rPr>
                <w:b/>
                <w:bCs/>
              </w:rPr>
              <w:t>Number of recurrent episodes</w:t>
            </w:r>
          </w:p>
        </w:tc>
        <w:tc>
          <w:tcPr>
            <w:tcW w:w="444" w:type="pct"/>
            <w:tcBorders>
              <w:top w:val="single" w:sz="6" w:space="0" w:color="000000"/>
              <w:left w:val="nil"/>
              <w:bottom w:val="single" w:sz="6" w:space="0" w:color="000000"/>
              <w:right w:val="nil"/>
            </w:tcBorders>
            <w:vAlign w:val="center"/>
          </w:tcPr>
          <w:p w14:paraId="6042E2C9" w14:textId="2B00A941" w:rsidR="006D21E2" w:rsidRPr="0054775B" w:rsidRDefault="006D21E2" w:rsidP="003E4C19">
            <w:pPr>
              <w:pStyle w:val="2024TABLETEXT"/>
              <w:framePr w:hSpace="0" w:wrap="auto" w:vAnchor="margin" w:yAlign="inline"/>
              <w:suppressOverlap w:val="0"/>
            </w:pPr>
            <w:r w:rsidRPr="0054775B">
              <w:t>-</w:t>
            </w:r>
          </w:p>
        </w:tc>
        <w:tc>
          <w:tcPr>
            <w:tcW w:w="542" w:type="pct"/>
            <w:tcBorders>
              <w:top w:val="single" w:sz="6" w:space="0" w:color="000000"/>
              <w:left w:val="nil"/>
              <w:bottom w:val="single" w:sz="6" w:space="0" w:color="000000"/>
              <w:right w:val="nil"/>
            </w:tcBorders>
            <w:vAlign w:val="center"/>
          </w:tcPr>
          <w:p w14:paraId="4306767F" w14:textId="77777777" w:rsidR="006D21E2" w:rsidRPr="0054775B" w:rsidRDefault="006D21E2" w:rsidP="00A343C0">
            <w:pPr>
              <w:pStyle w:val="2024TABLETEXT"/>
              <w:framePr w:hSpace="0" w:wrap="auto" w:vAnchor="margin" w:yAlign="inline"/>
              <w:suppressOverlap w:val="0"/>
            </w:pPr>
          </w:p>
        </w:tc>
        <w:tc>
          <w:tcPr>
            <w:tcW w:w="542" w:type="pct"/>
            <w:tcBorders>
              <w:top w:val="single" w:sz="6" w:space="0" w:color="000000"/>
              <w:left w:val="nil"/>
              <w:bottom w:val="single" w:sz="6" w:space="0" w:color="000000"/>
              <w:right w:val="nil"/>
            </w:tcBorders>
            <w:shd w:val="clear" w:color="auto" w:fill="auto"/>
            <w:vAlign w:val="center"/>
          </w:tcPr>
          <w:p w14:paraId="010326A5" w14:textId="70FD5DDA" w:rsidR="006D21E2" w:rsidRPr="0054775B" w:rsidRDefault="006D21E2" w:rsidP="00A343C0">
            <w:pPr>
              <w:pStyle w:val="2024TABLETEXT"/>
              <w:framePr w:hSpace="0" w:wrap="auto" w:vAnchor="margin" w:yAlign="inline"/>
              <w:suppressOverlap w:val="0"/>
            </w:pPr>
            <w:r w:rsidRPr="0054775B">
              <w:t>-</w:t>
            </w:r>
          </w:p>
        </w:tc>
        <w:tc>
          <w:tcPr>
            <w:tcW w:w="444" w:type="pct"/>
            <w:tcBorders>
              <w:top w:val="single" w:sz="6" w:space="0" w:color="000000"/>
              <w:left w:val="nil"/>
              <w:bottom w:val="single" w:sz="6" w:space="0" w:color="000000"/>
              <w:right w:val="nil"/>
            </w:tcBorders>
            <w:vAlign w:val="center"/>
          </w:tcPr>
          <w:p w14:paraId="70EE3173" w14:textId="1F07995D" w:rsidR="006D21E2" w:rsidRPr="0054775B" w:rsidRDefault="006D21E2" w:rsidP="003E4C19">
            <w:pPr>
              <w:pStyle w:val="2024TABLETEXT"/>
              <w:framePr w:hSpace="0" w:wrap="auto" w:vAnchor="margin" w:yAlign="inline"/>
              <w:suppressOverlap w:val="0"/>
            </w:pPr>
            <w:r w:rsidRPr="0054775B">
              <w:t>-</w:t>
            </w:r>
          </w:p>
        </w:tc>
        <w:tc>
          <w:tcPr>
            <w:tcW w:w="444" w:type="pct"/>
            <w:tcBorders>
              <w:top w:val="single" w:sz="6" w:space="0" w:color="000000"/>
              <w:left w:val="nil"/>
              <w:bottom w:val="single" w:sz="6" w:space="0" w:color="000000"/>
              <w:right w:val="nil"/>
            </w:tcBorders>
            <w:vAlign w:val="center"/>
          </w:tcPr>
          <w:p w14:paraId="7CEBFABE" w14:textId="0193569C" w:rsidR="006D21E2" w:rsidRPr="0054775B" w:rsidRDefault="006D21E2" w:rsidP="003E4C19">
            <w:pPr>
              <w:pStyle w:val="2024TABLETEXT"/>
              <w:framePr w:hSpace="0" w:wrap="auto" w:vAnchor="margin" w:yAlign="inline"/>
              <w:suppressOverlap w:val="0"/>
            </w:pPr>
            <w:r w:rsidRPr="0054775B">
              <w:t>-</w:t>
            </w:r>
          </w:p>
        </w:tc>
        <w:tc>
          <w:tcPr>
            <w:tcW w:w="713" w:type="pct"/>
            <w:tcBorders>
              <w:top w:val="single" w:sz="6" w:space="0" w:color="000000"/>
              <w:left w:val="nil"/>
              <w:bottom w:val="single" w:sz="6" w:space="0" w:color="000000"/>
              <w:right w:val="nil"/>
            </w:tcBorders>
            <w:vAlign w:val="center"/>
          </w:tcPr>
          <w:p w14:paraId="03FF3AE5" w14:textId="29395227" w:rsidR="006D21E2" w:rsidRPr="0054775B" w:rsidRDefault="006D21E2" w:rsidP="003E4C19">
            <w:pPr>
              <w:pStyle w:val="2024TABLETEXT"/>
              <w:framePr w:hSpace="0" w:wrap="auto" w:vAnchor="margin" w:yAlign="inline"/>
              <w:suppressOverlap w:val="0"/>
            </w:pPr>
            <w:r w:rsidRPr="0054775B">
              <w:t xml:space="preserve">No </w:t>
            </w:r>
            <w:r>
              <w:t>reviews</w:t>
            </w:r>
            <w:r w:rsidRPr="0054775B">
              <w:t xml:space="preserve"> found. The effect of probiotics on improvement in number of recurrent episodes for </w:t>
            </w:r>
            <w:r w:rsidR="000310D7">
              <w:t xml:space="preserve">people with </w:t>
            </w:r>
            <w:r w:rsidRPr="0054775B">
              <w:t>IBS is unknown.</w:t>
            </w:r>
          </w:p>
        </w:tc>
      </w:tr>
      <w:tr w:rsidR="00AD69EC" w:rsidRPr="0054775B" w14:paraId="59EB966E" w14:textId="77777777" w:rsidTr="00A343C0">
        <w:trPr>
          <w:cantSplit/>
        </w:trPr>
        <w:tc>
          <w:tcPr>
            <w:tcW w:w="296" w:type="pct"/>
            <w:tcBorders>
              <w:top w:val="single" w:sz="6" w:space="0" w:color="000000"/>
              <w:left w:val="nil"/>
              <w:bottom w:val="single" w:sz="6" w:space="0" w:color="000000"/>
              <w:right w:val="nil"/>
            </w:tcBorders>
            <w:vAlign w:val="center"/>
          </w:tcPr>
          <w:p w14:paraId="4E23231E" w14:textId="1C5CD87B" w:rsidR="006D21E2" w:rsidRPr="0054775B" w:rsidRDefault="006D21E2" w:rsidP="003E4C19">
            <w:pPr>
              <w:pStyle w:val="2024TABLETEXT"/>
              <w:framePr w:hSpace="0" w:wrap="auto" w:vAnchor="margin" w:yAlign="inline"/>
              <w:suppressOverlap w:val="0"/>
            </w:pPr>
            <w:r w:rsidRPr="0054775B">
              <w:t>7</w:t>
            </w:r>
          </w:p>
        </w:tc>
        <w:tc>
          <w:tcPr>
            <w:tcW w:w="1575" w:type="pct"/>
            <w:tcBorders>
              <w:top w:val="single" w:sz="6" w:space="0" w:color="000000"/>
              <w:left w:val="nil"/>
              <w:bottom w:val="single" w:sz="6" w:space="0" w:color="000000"/>
              <w:right w:val="nil"/>
            </w:tcBorders>
            <w:vAlign w:val="center"/>
          </w:tcPr>
          <w:p w14:paraId="57186FDE" w14:textId="2426032A" w:rsidR="006D21E2" w:rsidRPr="0054775B" w:rsidRDefault="006D21E2" w:rsidP="003E4C19">
            <w:pPr>
              <w:pStyle w:val="2024TABLETEXT"/>
              <w:framePr w:hSpace="0" w:wrap="auto" w:vAnchor="margin" w:yAlign="inline"/>
              <w:spacing w:after="120"/>
              <w:ind w:left="87"/>
              <w:suppressOverlap w:val="0"/>
              <w:rPr>
                <w:b/>
                <w:bCs/>
              </w:rPr>
            </w:pPr>
            <w:r w:rsidRPr="0054775B">
              <w:rPr>
                <w:b/>
                <w:bCs/>
              </w:rPr>
              <w:t>Functioning</w:t>
            </w:r>
          </w:p>
          <w:p w14:paraId="4565A40E" w14:textId="5EFD725F" w:rsidR="006D21E2" w:rsidRPr="0054775B" w:rsidRDefault="006D21E2" w:rsidP="003E4C19">
            <w:pPr>
              <w:pStyle w:val="2024TABLETEXT"/>
              <w:framePr w:hSpace="0" w:wrap="auto" w:vAnchor="margin" w:yAlign="inline"/>
              <w:ind w:left="370"/>
              <w:suppressOverlap w:val="0"/>
            </w:pPr>
            <w:r w:rsidRPr="0054775B">
              <w:rPr>
                <w:b/>
                <w:bCs/>
              </w:rPr>
              <w:t>Population:</w:t>
            </w:r>
            <w:r w:rsidRPr="0054775B">
              <w:t xml:space="preserve"> Children aged 0-18 years</w:t>
            </w:r>
          </w:p>
          <w:p w14:paraId="7BCFBDEB" w14:textId="26F5EEF6" w:rsidR="006D21E2" w:rsidRPr="0054775B" w:rsidRDefault="006D21E2" w:rsidP="003E4C19">
            <w:pPr>
              <w:pStyle w:val="2024TABLETEXT"/>
              <w:framePr w:hSpace="0" w:wrap="auto" w:vAnchor="margin" w:yAlign="inline"/>
              <w:ind w:left="370"/>
              <w:suppressOverlap w:val="0"/>
            </w:pPr>
            <w:r w:rsidRPr="0054775B">
              <w:rPr>
                <w:b/>
                <w:bCs/>
              </w:rPr>
              <w:t>Dose:</w:t>
            </w:r>
            <w:r w:rsidRPr="0054775B">
              <w:t xml:space="preserve"> Range of probiotic strains and dosage amounts</w:t>
            </w:r>
          </w:p>
          <w:p w14:paraId="265D8A00" w14:textId="356C1D2C" w:rsidR="006D21E2" w:rsidRPr="0054775B" w:rsidRDefault="006D21E2" w:rsidP="003E4C19">
            <w:pPr>
              <w:pStyle w:val="2024TABLETEXT"/>
              <w:framePr w:hSpace="0" w:wrap="auto" w:vAnchor="margin" w:yAlign="inline"/>
              <w:ind w:left="370"/>
              <w:suppressOverlap w:val="0"/>
            </w:pPr>
            <w:r w:rsidRPr="0054775B">
              <w:rPr>
                <w:b/>
                <w:bCs/>
              </w:rPr>
              <w:t>Assessed with:</w:t>
            </w:r>
            <w:r w:rsidRPr="0054775B">
              <w:t xml:space="preserve"> FDI, Functional scale by LS3, Family life disruptions by caregiver’s report, School absenteeism</w:t>
            </w:r>
          </w:p>
          <w:p w14:paraId="3507216C" w14:textId="164D1A48" w:rsidR="006D21E2" w:rsidRPr="0054775B" w:rsidRDefault="006D21E2" w:rsidP="003E4C19">
            <w:pPr>
              <w:pStyle w:val="2024TABLETEXT"/>
              <w:framePr w:hSpace="0" w:wrap="auto" w:vAnchor="margin" w:yAlign="inline"/>
              <w:ind w:left="370"/>
              <w:suppressOverlap w:val="0"/>
            </w:pPr>
            <w:r w:rsidRPr="0054775B">
              <w:rPr>
                <w:b/>
                <w:bCs/>
              </w:rPr>
              <w:t>Follow up:</w:t>
            </w:r>
            <w:r w:rsidRPr="0054775B">
              <w:t xml:space="preserve"> 4-12 weeks</w:t>
            </w:r>
          </w:p>
        </w:tc>
        <w:tc>
          <w:tcPr>
            <w:tcW w:w="444" w:type="pct"/>
            <w:tcBorders>
              <w:top w:val="single" w:sz="6" w:space="0" w:color="000000"/>
              <w:left w:val="nil"/>
              <w:bottom w:val="single" w:sz="6" w:space="0" w:color="000000"/>
              <w:right w:val="nil"/>
            </w:tcBorders>
            <w:vAlign w:val="center"/>
          </w:tcPr>
          <w:p w14:paraId="6D99F8CF" w14:textId="6DB70F15" w:rsidR="006D21E2" w:rsidRPr="0054775B" w:rsidRDefault="006D21E2" w:rsidP="003E4C19">
            <w:pPr>
              <w:pStyle w:val="2024TABLETEXT"/>
              <w:framePr w:hSpace="0" w:wrap="auto" w:vAnchor="margin" w:yAlign="inline"/>
              <w:suppressOverlap w:val="0"/>
            </w:pPr>
            <w:r w:rsidRPr="0054775B">
              <w:t>Ding 2019</w:t>
            </w:r>
          </w:p>
        </w:tc>
        <w:tc>
          <w:tcPr>
            <w:tcW w:w="542" w:type="pct"/>
            <w:tcBorders>
              <w:top w:val="single" w:sz="6" w:space="0" w:color="000000"/>
              <w:left w:val="nil"/>
              <w:bottom w:val="single" w:sz="6" w:space="0" w:color="000000"/>
              <w:right w:val="nil"/>
            </w:tcBorders>
            <w:vAlign w:val="center"/>
          </w:tcPr>
          <w:p w14:paraId="7E123E81" w14:textId="7905D1FB" w:rsidR="006D21E2" w:rsidRPr="0054775B" w:rsidRDefault="00B168B8" w:rsidP="00A343C0">
            <w:pPr>
              <w:pStyle w:val="2024TABLETEXT"/>
              <w:framePr w:hSpace="0" w:wrap="auto" w:vAnchor="margin" w:yAlign="inline"/>
              <w:suppressOverlap w:val="0"/>
            </w:pPr>
            <w:r>
              <w:t>NR</w:t>
            </w:r>
          </w:p>
        </w:tc>
        <w:tc>
          <w:tcPr>
            <w:tcW w:w="542" w:type="pct"/>
            <w:tcBorders>
              <w:top w:val="single" w:sz="6" w:space="0" w:color="000000"/>
              <w:left w:val="nil"/>
              <w:bottom w:val="single" w:sz="6" w:space="0" w:color="000000"/>
              <w:right w:val="nil"/>
            </w:tcBorders>
            <w:shd w:val="clear" w:color="auto" w:fill="auto"/>
            <w:vAlign w:val="center"/>
          </w:tcPr>
          <w:p w14:paraId="46EB0F77" w14:textId="5CD040AA" w:rsidR="006D21E2" w:rsidRPr="0054775B" w:rsidRDefault="00B168B8" w:rsidP="00A343C0">
            <w:pPr>
              <w:pStyle w:val="2024TABLETEXT"/>
              <w:framePr w:hSpace="0" w:wrap="auto" w:vAnchor="margin" w:yAlign="inline"/>
              <w:suppressOverlap w:val="0"/>
            </w:pPr>
            <w:r w:rsidRPr="0054775B">
              <w:t>Three of four studies found a positive result for probiotic usage.</w:t>
            </w:r>
            <w:r w:rsidR="00475093" w:rsidRPr="0054775B" w:rsidDel="00A343C0">
              <w:t xml:space="preserve"> </w:t>
            </w:r>
          </w:p>
        </w:tc>
        <w:tc>
          <w:tcPr>
            <w:tcW w:w="444" w:type="pct"/>
            <w:tcBorders>
              <w:top w:val="single" w:sz="6" w:space="0" w:color="000000"/>
              <w:left w:val="nil"/>
              <w:bottom w:val="single" w:sz="6" w:space="0" w:color="000000"/>
              <w:right w:val="nil"/>
            </w:tcBorders>
            <w:vAlign w:val="center"/>
          </w:tcPr>
          <w:p w14:paraId="42BD2238" w14:textId="4FA46BE7" w:rsidR="006D21E2" w:rsidRPr="0054775B" w:rsidRDefault="006D21E2" w:rsidP="003E4C19">
            <w:pPr>
              <w:pStyle w:val="2024TABLETEXT"/>
              <w:framePr w:hSpace="0" w:wrap="auto" w:vAnchor="margin" w:yAlign="inline"/>
              <w:suppressOverlap w:val="0"/>
            </w:pPr>
            <w:r w:rsidRPr="0054775B">
              <w:t>242 (4)</w:t>
            </w:r>
          </w:p>
        </w:tc>
        <w:tc>
          <w:tcPr>
            <w:tcW w:w="444" w:type="pct"/>
            <w:tcBorders>
              <w:top w:val="single" w:sz="6" w:space="0" w:color="000000"/>
              <w:left w:val="nil"/>
              <w:bottom w:val="single" w:sz="6" w:space="0" w:color="000000"/>
              <w:right w:val="nil"/>
            </w:tcBorders>
            <w:vAlign w:val="center"/>
          </w:tcPr>
          <w:p w14:paraId="6CD69DF3" w14:textId="2E5D2968" w:rsidR="006D21E2" w:rsidRPr="0054775B" w:rsidRDefault="006D21E2" w:rsidP="003E4C19">
            <w:pPr>
              <w:pStyle w:val="2024TABLETEXT"/>
              <w:framePr w:hSpace="0" w:wrap="auto" w:vAnchor="margin" w:yAlign="inline"/>
              <w:suppressOverlap w:val="0"/>
            </w:pPr>
            <w:r w:rsidRPr="0054775B">
              <w:rPr>
                <w:rFonts w:ascii="Cambria Math" w:hAnsi="Cambria Math" w:cs="Cambria Math"/>
                <w:sz w:val="22"/>
                <w:szCs w:val="22"/>
              </w:rPr>
              <w:t>⨁</w:t>
            </w:r>
            <w:r w:rsidRPr="0054775B">
              <w:rPr>
                <w:rFonts w:ascii="Segoe UI Symbol" w:hAnsi="Segoe UI Symbol" w:cs="Segoe UI Symbol"/>
              </w:rPr>
              <w:t>◯◯◯</w:t>
            </w:r>
            <w:r w:rsidRPr="0054775B">
              <w:br/>
              <w:t>VERY LOW</w:t>
            </w:r>
            <w:r w:rsidRPr="0054775B">
              <w:rPr>
                <w:vertAlign w:val="superscript"/>
              </w:rPr>
              <w:t>e</w:t>
            </w:r>
          </w:p>
        </w:tc>
        <w:tc>
          <w:tcPr>
            <w:tcW w:w="713" w:type="pct"/>
            <w:tcBorders>
              <w:top w:val="single" w:sz="6" w:space="0" w:color="000000"/>
              <w:left w:val="nil"/>
              <w:bottom w:val="single" w:sz="6" w:space="0" w:color="000000"/>
              <w:right w:val="nil"/>
            </w:tcBorders>
            <w:vAlign w:val="center"/>
          </w:tcPr>
          <w:p w14:paraId="00766ACB" w14:textId="0202AD32" w:rsidR="006D21E2" w:rsidRPr="0054775B" w:rsidRDefault="006D21E2" w:rsidP="003E4C19">
            <w:pPr>
              <w:pStyle w:val="2024TABLETEXT"/>
              <w:framePr w:hSpace="0" w:wrap="auto" w:vAnchor="margin" w:yAlign="inline"/>
              <w:suppressOverlap w:val="0"/>
            </w:pPr>
            <w:r w:rsidRPr="0054775B">
              <w:t xml:space="preserve">The evidence is very uncertain about the effect of probiotics on functioning for </w:t>
            </w:r>
            <w:r w:rsidR="00020EE4">
              <w:t>children aged 0 to 18 years</w:t>
            </w:r>
            <w:r w:rsidR="000310D7">
              <w:t xml:space="preserve"> with </w:t>
            </w:r>
            <w:r w:rsidRPr="0054775B">
              <w:t>IBS.</w:t>
            </w:r>
          </w:p>
        </w:tc>
      </w:tr>
      <w:tr w:rsidR="00AD69EC" w:rsidRPr="0054775B" w14:paraId="1A39D605" w14:textId="77777777" w:rsidTr="00A343C0">
        <w:trPr>
          <w:cantSplit/>
        </w:trPr>
        <w:tc>
          <w:tcPr>
            <w:tcW w:w="296" w:type="pct"/>
            <w:tcBorders>
              <w:top w:val="single" w:sz="6" w:space="0" w:color="000000"/>
              <w:left w:val="nil"/>
              <w:bottom w:val="single" w:sz="6" w:space="0" w:color="000000"/>
              <w:right w:val="nil"/>
            </w:tcBorders>
            <w:vAlign w:val="center"/>
          </w:tcPr>
          <w:p w14:paraId="3DF6EC01" w14:textId="59CB7E62" w:rsidR="006D21E2" w:rsidRPr="0054775B" w:rsidRDefault="006D21E2" w:rsidP="003E4C19">
            <w:pPr>
              <w:pStyle w:val="2024TABLETEXT"/>
              <w:framePr w:hSpace="0" w:wrap="auto" w:vAnchor="margin" w:yAlign="inline"/>
              <w:suppressOverlap w:val="0"/>
            </w:pPr>
            <w:r w:rsidRPr="0054775B">
              <w:t>7</w:t>
            </w:r>
          </w:p>
        </w:tc>
        <w:tc>
          <w:tcPr>
            <w:tcW w:w="1575" w:type="pct"/>
            <w:tcBorders>
              <w:top w:val="single" w:sz="6" w:space="0" w:color="000000"/>
              <w:left w:val="nil"/>
              <w:bottom w:val="single" w:sz="6" w:space="0" w:color="000000"/>
              <w:right w:val="nil"/>
            </w:tcBorders>
            <w:vAlign w:val="center"/>
          </w:tcPr>
          <w:p w14:paraId="72D81612" w14:textId="6B321CBA" w:rsidR="006D21E2" w:rsidRPr="0054775B" w:rsidRDefault="006D21E2" w:rsidP="003E4C19">
            <w:pPr>
              <w:pStyle w:val="2024TABLETEXT"/>
              <w:framePr w:hSpace="0" w:wrap="auto" w:vAnchor="margin" w:yAlign="inline"/>
              <w:spacing w:after="120"/>
              <w:ind w:left="87"/>
              <w:suppressOverlap w:val="0"/>
              <w:rPr>
                <w:b/>
                <w:bCs/>
              </w:rPr>
            </w:pPr>
            <w:r w:rsidRPr="0054775B">
              <w:rPr>
                <w:b/>
                <w:bCs/>
              </w:rPr>
              <w:t>Stool frequency</w:t>
            </w:r>
          </w:p>
          <w:p w14:paraId="4D7C6A4E" w14:textId="5845B928" w:rsidR="006D21E2" w:rsidRPr="0054775B" w:rsidRDefault="006D21E2" w:rsidP="003E4C19">
            <w:pPr>
              <w:pStyle w:val="2024TABLETEXT"/>
              <w:framePr w:hSpace="0" w:wrap="auto" w:vAnchor="margin" w:yAlign="inline"/>
              <w:ind w:left="370"/>
              <w:suppressOverlap w:val="0"/>
            </w:pPr>
            <w:r w:rsidRPr="0054775B">
              <w:rPr>
                <w:b/>
                <w:bCs/>
              </w:rPr>
              <w:t>Population:</w:t>
            </w:r>
            <w:r w:rsidRPr="0054775B">
              <w:t xml:space="preserve"> Patients with IBS-C</w:t>
            </w:r>
            <w:r w:rsidR="00EC301A">
              <w:t xml:space="preserve"> (constipation sub-type)</w:t>
            </w:r>
            <w:r w:rsidRPr="0054775B">
              <w:t>, aged 16 years or older</w:t>
            </w:r>
          </w:p>
          <w:p w14:paraId="17A52E74" w14:textId="615EB0E3" w:rsidR="006D21E2" w:rsidRPr="0054775B" w:rsidRDefault="006D21E2" w:rsidP="003E4C19">
            <w:pPr>
              <w:pStyle w:val="2024TABLETEXT"/>
              <w:framePr w:hSpace="0" w:wrap="auto" w:vAnchor="margin" w:yAlign="inline"/>
              <w:ind w:left="370"/>
              <w:suppressOverlap w:val="0"/>
            </w:pPr>
            <w:r w:rsidRPr="0054775B">
              <w:rPr>
                <w:b/>
                <w:bCs/>
              </w:rPr>
              <w:t>Dose:</w:t>
            </w:r>
            <w:r w:rsidRPr="0054775B">
              <w:t xml:space="preserve"> Range of probiotic strains and dosage amounts</w:t>
            </w:r>
          </w:p>
          <w:p w14:paraId="40C6E7D5" w14:textId="77777777" w:rsidR="006D21E2" w:rsidRPr="0054775B" w:rsidRDefault="006D21E2" w:rsidP="003E4C19">
            <w:pPr>
              <w:pStyle w:val="2024TABLETEXT"/>
              <w:framePr w:hSpace="0" w:wrap="auto" w:vAnchor="margin" w:yAlign="inline"/>
              <w:ind w:left="370"/>
              <w:suppressOverlap w:val="0"/>
            </w:pPr>
            <w:r w:rsidRPr="0054775B">
              <w:rPr>
                <w:b/>
                <w:bCs/>
              </w:rPr>
              <w:t>Assessed with:</w:t>
            </w:r>
            <w:r w:rsidRPr="0054775B">
              <w:t xml:space="preserve"> Bowel movements (BMs) per week</w:t>
            </w:r>
          </w:p>
          <w:p w14:paraId="44C8B2D6" w14:textId="666F92C6" w:rsidR="006D21E2" w:rsidRPr="0054775B" w:rsidRDefault="006D21E2" w:rsidP="003E4C19">
            <w:pPr>
              <w:pStyle w:val="2024TABLETEXT"/>
              <w:framePr w:hSpace="0" w:wrap="auto" w:vAnchor="margin" w:yAlign="inline"/>
              <w:ind w:left="370"/>
              <w:suppressOverlap w:val="0"/>
            </w:pPr>
            <w:r w:rsidRPr="0054775B">
              <w:rPr>
                <w:b/>
                <w:bCs/>
              </w:rPr>
              <w:t xml:space="preserve">Follow-up: </w:t>
            </w:r>
            <w:r w:rsidRPr="0054775B">
              <w:t>2-12 weeks</w:t>
            </w:r>
          </w:p>
        </w:tc>
        <w:tc>
          <w:tcPr>
            <w:tcW w:w="444" w:type="pct"/>
            <w:tcBorders>
              <w:top w:val="single" w:sz="6" w:space="0" w:color="000000"/>
              <w:left w:val="nil"/>
              <w:bottom w:val="single" w:sz="6" w:space="0" w:color="000000"/>
              <w:right w:val="nil"/>
            </w:tcBorders>
            <w:vAlign w:val="center"/>
          </w:tcPr>
          <w:p w14:paraId="628198BA" w14:textId="1351FE57" w:rsidR="006D21E2" w:rsidRPr="0054775B" w:rsidRDefault="006D21E2" w:rsidP="003E4C19">
            <w:pPr>
              <w:pStyle w:val="2024TABLETEXT"/>
              <w:framePr w:hSpace="0" w:wrap="auto" w:vAnchor="margin" w:yAlign="inline"/>
              <w:suppressOverlap w:val="0"/>
            </w:pPr>
            <w:r w:rsidRPr="0054775B">
              <w:t>Wen 2020</w:t>
            </w:r>
          </w:p>
        </w:tc>
        <w:tc>
          <w:tcPr>
            <w:tcW w:w="542" w:type="pct"/>
            <w:tcBorders>
              <w:top w:val="single" w:sz="6" w:space="0" w:color="000000"/>
              <w:left w:val="nil"/>
              <w:bottom w:val="single" w:sz="6" w:space="0" w:color="000000"/>
              <w:right w:val="nil"/>
            </w:tcBorders>
            <w:vAlign w:val="center"/>
          </w:tcPr>
          <w:p w14:paraId="3C4541BA" w14:textId="2474A79D" w:rsidR="006D21E2" w:rsidRPr="0054775B" w:rsidRDefault="00B168B8" w:rsidP="00A343C0">
            <w:pPr>
              <w:pStyle w:val="2024TABLETEXT"/>
              <w:framePr w:hSpace="0" w:wrap="auto" w:vAnchor="margin" w:yAlign="inline"/>
              <w:suppressOverlap w:val="0"/>
            </w:pPr>
            <w:r>
              <w:t>NR</w:t>
            </w:r>
          </w:p>
        </w:tc>
        <w:tc>
          <w:tcPr>
            <w:tcW w:w="542" w:type="pct"/>
            <w:tcBorders>
              <w:top w:val="single" w:sz="6" w:space="0" w:color="000000"/>
              <w:left w:val="nil"/>
              <w:bottom w:val="single" w:sz="6" w:space="0" w:color="000000"/>
              <w:right w:val="nil"/>
            </w:tcBorders>
            <w:shd w:val="clear" w:color="auto" w:fill="auto"/>
            <w:vAlign w:val="center"/>
          </w:tcPr>
          <w:p w14:paraId="20CD015F" w14:textId="0D547297" w:rsidR="006D21E2" w:rsidRPr="0054775B" w:rsidRDefault="00B168B8" w:rsidP="00A343C0">
            <w:pPr>
              <w:pStyle w:val="2024TABLETEXT"/>
              <w:framePr w:hSpace="0" w:wrap="auto" w:vAnchor="margin" w:yAlign="inline"/>
              <w:suppressOverlap w:val="0"/>
            </w:pPr>
            <w:r w:rsidRPr="0054775B">
              <w:t>MD = 1.29 BMs/week (0.69 to 1.89</w:t>
            </w:r>
            <w:r w:rsidRPr="00C400E6">
              <w:rPr>
                <w:rFonts w:eastAsia="Calibri" w:cs="Times New Roman"/>
                <w:sz w:val="16"/>
                <w:szCs w:val="21"/>
              </w:rPr>
              <w:t>)‡</w:t>
            </w:r>
          </w:p>
        </w:tc>
        <w:tc>
          <w:tcPr>
            <w:tcW w:w="444" w:type="pct"/>
            <w:tcBorders>
              <w:top w:val="single" w:sz="6" w:space="0" w:color="000000"/>
              <w:left w:val="nil"/>
              <w:bottom w:val="single" w:sz="6" w:space="0" w:color="000000"/>
              <w:right w:val="nil"/>
            </w:tcBorders>
            <w:vAlign w:val="center"/>
          </w:tcPr>
          <w:p w14:paraId="73BA5F44" w14:textId="1B787045" w:rsidR="006D21E2" w:rsidRPr="0054775B" w:rsidRDefault="006D21E2" w:rsidP="003E4C19">
            <w:pPr>
              <w:pStyle w:val="2024TABLETEXT"/>
              <w:framePr w:hSpace="0" w:wrap="auto" w:vAnchor="margin" w:yAlign="inline"/>
              <w:suppressOverlap w:val="0"/>
            </w:pPr>
            <w:r w:rsidRPr="0054775B">
              <w:t xml:space="preserve">1139 (11 </w:t>
            </w:r>
            <w:r>
              <w:t xml:space="preserve">comparisons </w:t>
            </w:r>
            <w:r w:rsidRPr="0054775B">
              <w:t xml:space="preserve">from 10 </w:t>
            </w:r>
            <w:r>
              <w:t>trials</w:t>
            </w:r>
            <w:r w:rsidRPr="0054775B">
              <w:t>)</w:t>
            </w:r>
          </w:p>
        </w:tc>
        <w:tc>
          <w:tcPr>
            <w:tcW w:w="444" w:type="pct"/>
            <w:tcBorders>
              <w:top w:val="single" w:sz="6" w:space="0" w:color="000000"/>
              <w:left w:val="nil"/>
              <w:bottom w:val="single" w:sz="6" w:space="0" w:color="000000"/>
              <w:right w:val="nil"/>
            </w:tcBorders>
            <w:vAlign w:val="center"/>
          </w:tcPr>
          <w:p w14:paraId="4FE5B807" w14:textId="3BF641CB" w:rsidR="006D21E2" w:rsidRPr="0054775B" w:rsidRDefault="006D21E2" w:rsidP="003E4C19">
            <w:pPr>
              <w:pStyle w:val="2024TABLETEXT"/>
              <w:framePr w:hSpace="0" w:wrap="auto" w:vAnchor="margin" w:yAlign="inline"/>
              <w:suppressOverlap w:val="0"/>
            </w:pPr>
            <w:r w:rsidRPr="0054775B">
              <w:rPr>
                <w:rFonts w:ascii="Cambria Math" w:hAnsi="Cambria Math" w:cs="Cambria Math"/>
                <w:sz w:val="22"/>
                <w:szCs w:val="22"/>
              </w:rPr>
              <w:t>⨁⨁</w:t>
            </w:r>
            <w:r w:rsidR="0007423A" w:rsidRPr="0054775B">
              <w:rPr>
                <w:rFonts w:ascii="Segoe UI Symbol" w:hAnsi="Segoe UI Symbol" w:cs="Segoe UI Symbol"/>
              </w:rPr>
              <w:t>◯</w:t>
            </w:r>
            <w:r w:rsidRPr="0054775B" w:rsidDel="007F5989">
              <w:rPr>
                <w:rFonts w:ascii="Segoe UI Symbol" w:hAnsi="Segoe UI Symbol" w:cs="Segoe UI Symbol"/>
              </w:rPr>
              <w:t>◯</w:t>
            </w:r>
            <w:r w:rsidRPr="0054775B">
              <w:br/>
            </w:r>
            <w:r w:rsidRPr="0054775B" w:rsidDel="007F5989">
              <w:t>LOW</w:t>
            </w:r>
            <w:r w:rsidRPr="0054775B">
              <w:rPr>
                <w:vertAlign w:val="superscript"/>
              </w:rPr>
              <w:t>f</w:t>
            </w:r>
          </w:p>
        </w:tc>
        <w:tc>
          <w:tcPr>
            <w:tcW w:w="713" w:type="pct"/>
            <w:tcBorders>
              <w:top w:val="single" w:sz="6" w:space="0" w:color="000000"/>
              <w:left w:val="nil"/>
              <w:bottom w:val="single" w:sz="6" w:space="0" w:color="000000"/>
              <w:right w:val="nil"/>
            </w:tcBorders>
            <w:vAlign w:val="center"/>
          </w:tcPr>
          <w:p w14:paraId="3AD1B5D7" w14:textId="36FB4826" w:rsidR="006D21E2" w:rsidRPr="0054775B" w:rsidRDefault="006D21E2" w:rsidP="003E4C19">
            <w:pPr>
              <w:pStyle w:val="2024TABLETEXT"/>
              <w:framePr w:hSpace="0" w:wrap="auto" w:vAnchor="margin" w:yAlign="inline"/>
              <w:suppressOverlap w:val="0"/>
            </w:pPr>
            <w:r w:rsidRPr="0054775B">
              <w:t xml:space="preserve">Probiotics </w:t>
            </w:r>
            <w:r w:rsidR="0007423A">
              <w:t>may</w:t>
            </w:r>
            <w:r w:rsidR="008A62ED" w:rsidRPr="0054775B">
              <w:t xml:space="preserve"> result in</w:t>
            </w:r>
            <w:r w:rsidR="008A62ED" w:rsidRPr="0054775B" w:rsidDel="008A62ED">
              <w:t xml:space="preserve"> </w:t>
            </w:r>
            <w:r w:rsidRPr="0054775B">
              <w:t>a</w:t>
            </w:r>
            <w:r w:rsidR="008A62ED">
              <w:t xml:space="preserve"> slight</w:t>
            </w:r>
            <w:r w:rsidRPr="0054775B">
              <w:t xml:space="preserve"> improvement in stool frequency for </w:t>
            </w:r>
            <w:r w:rsidR="000310D7">
              <w:t xml:space="preserve">people with </w:t>
            </w:r>
            <w:r w:rsidRPr="0054775B">
              <w:t>IBS.</w:t>
            </w:r>
          </w:p>
        </w:tc>
      </w:tr>
      <w:tr w:rsidR="00AD69EC" w:rsidRPr="0054775B" w14:paraId="41676C55" w14:textId="77777777" w:rsidTr="00A343C0">
        <w:trPr>
          <w:cantSplit/>
        </w:trPr>
        <w:tc>
          <w:tcPr>
            <w:tcW w:w="296" w:type="pct"/>
            <w:tcBorders>
              <w:top w:val="single" w:sz="6" w:space="0" w:color="000000"/>
              <w:left w:val="nil"/>
              <w:bottom w:val="single" w:sz="6" w:space="0" w:color="000000"/>
              <w:right w:val="nil"/>
            </w:tcBorders>
            <w:vAlign w:val="center"/>
          </w:tcPr>
          <w:p w14:paraId="37D43A49" w14:textId="333595AD" w:rsidR="006D21E2" w:rsidRPr="0054775B" w:rsidRDefault="006D21E2" w:rsidP="003E4C19">
            <w:pPr>
              <w:pStyle w:val="2024TABLETEXT"/>
              <w:framePr w:hSpace="0" w:wrap="auto" w:vAnchor="margin" w:yAlign="inline"/>
              <w:suppressOverlap w:val="0"/>
            </w:pPr>
            <w:r w:rsidRPr="0054775B">
              <w:t>7</w:t>
            </w:r>
          </w:p>
        </w:tc>
        <w:tc>
          <w:tcPr>
            <w:tcW w:w="1575" w:type="pct"/>
            <w:tcBorders>
              <w:top w:val="single" w:sz="6" w:space="0" w:color="000000"/>
              <w:left w:val="nil"/>
              <w:bottom w:val="single" w:sz="6" w:space="0" w:color="000000"/>
              <w:right w:val="nil"/>
            </w:tcBorders>
            <w:vAlign w:val="center"/>
          </w:tcPr>
          <w:p w14:paraId="317BD599" w14:textId="77777777" w:rsidR="006D21E2" w:rsidRPr="0054775B" w:rsidRDefault="006D21E2" w:rsidP="003E4C19">
            <w:pPr>
              <w:pStyle w:val="2024TABLETEXT"/>
              <w:framePr w:hSpace="0" w:wrap="auto" w:vAnchor="margin" w:yAlign="inline"/>
              <w:spacing w:after="120"/>
              <w:ind w:left="87"/>
              <w:suppressOverlap w:val="0"/>
              <w:rPr>
                <w:b/>
                <w:bCs/>
              </w:rPr>
            </w:pPr>
            <w:r w:rsidRPr="0054775B">
              <w:rPr>
                <w:b/>
                <w:bCs/>
              </w:rPr>
              <w:t>Stool consistency</w:t>
            </w:r>
          </w:p>
          <w:p w14:paraId="13969606" w14:textId="77777777" w:rsidR="006D21E2" w:rsidRPr="0054775B" w:rsidRDefault="006D21E2" w:rsidP="003E4C19">
            <w:pPr>
              <w:pStyle w:val="2024TABLETEXT"/>
              <w:framePr w:hSpace="0" w:wrap="auto" w:vAnchor="margin" w:yAlign="inline"/>
              <w:ind w:left="370"/>
              <w:suppressOverlap w:val="0"/>
            </w:pPr>
            <w:r w:rsidRPr="0054775B">
              <w:rPr>
                <w:b/>
                <w:bCs/>
              </w:rPr>
              <w:t>Population:</w:t>
            </w:r>
            <w:r w:rsidRPr="0054775B">
              <w:t xml:space="preserve"> Patients with IBS-C, aged 16 years or older</w:t>
            </w:r>
          </w:p>
          <w:p w14:paraId="13061017" w14:textId="77777777" w:rsidR="006D21E2" w:rsidRPr="0054775B" w:rsidRDefault="006D21E2" w:rsidP="003E4C19">
            <w:pPr>
              <w:pStyle w:val="2024TABLETEXT"/>
              <w:framePr w:hSpace="0" w:wrap="auto" w:vAnchor="margin" w:yAlign="inline"/>
              <w:ind w:left="370"/>
              <w:suppressOverlap w:val="0"/>
            </w:pPr>
            <w:r w:rsidRPr="0054775B">
              <w:rPr>
                <w:b/>
                <w:bCs/>
              </w:rPr>
              <w:t>Dose:</w:t>
            </w:r>
            <w:r w:rsidRPr="0054775B">
              <w:t xml:space="preserve"> Range of probiotic strains and dosage amounts</w:t>
            </w:r>
          </w:p>
          <w:p w14:paraId="6AA406C3" w14:textId="1F12E721" w:rsidR="006D21E2" w:rsidRPr="0054775B" w:rsidRDefault="006D21E2" w:rsidP="003E4C19">
            <w:pPr>
              <w:pStyle w:val="2024TABLETEXT"/>
              <w:framePr w:hSpace="0" w:wrap="auto" w:vAnchor="margin" w:yAlign="inline"/>
              <w:ind w:left="370"/>
              <w:suppressOverlap w:val="0"/>
            </w:pPr>
            <w:r w:rsidRPr="0054775B">
              <w:rPr>
                <w:b/>
                <w:bCs/>
              </w:rPr>
              <w:t>Assessed with:</w:t>
            </w:r>
            <w:r w:rsidRPr="0054775B">
              <w:t xml:space="preserve"> Bristol Stool Form Scale or modified versions, other </w:t>
            </w:r>
          </w:p>
          <w:p w14:paraId="63CCCC66" w14:textId="31A460D3" w:rsidR="006D21E2" w:rsidRPr="0054775B" w:rsidRDefault="006D21E2" w:rsidP="003E4C19">
            <w:pPr>
              <w:pStyle w:val="2024TABLETEXT"/>
              <w:framePr w:hSpace="0" w:wrap="auto" w:vAnchor="margin" w:yAlign="inline"/>
              <w:ind w:left="370"/>
              <w:suppressOverlap w:val="0"/>
            </w:pPr>
            <w:r w:rsidRPr="0054775B">
              <w:rPr>
                <w:b/>
                <w:bCs/>
              </w:rPr>
              <w:t xml:space="preserve">Follow-up: </w:t>
            </w:r>
            <w:r w:rsidRPr="0054775B">
              <w:t>2-12 weeks</w:t>
            </w:r>
          </w:p>
        </w:tc>
        <w:tc>
          <w:tcPr>
            <w:tcW w:w="444" w:type="pct"/>
            <w:tcBorders>
              <w:top w:val="single" w:sz="6" w:space="0" w:color="000000"/>
              <w:left w:val="nil"/>
              <w:bottom w:val="single" w:sz="6" w:space="0" w:color="000000"/>
              <w:right w:val="nil"/>
            </w:tcBorders>
            <w:vAlign w:val="center"/>
          </w:tcPr>
          <w:p w14:paraId="42CA42A4" w14:textId="2CBB9AB1" w:rsidR="006D21E2" w:rsidRPr="0054775B" w:rsidRDefault="006D21E2" w:rsidP="003E4C19">
            <w:pPr>
              <w:pStyle w:val="2024TABLETEXT"/>
              <w:framePr w:hSpace="0" w:wrap="auto" w:vAnchor="margin" w:yAlign="inline"/>
              <w:suppressOverlap w:val="0"/>
            </w:pPr>
            <w:r w:rsidRPr="0054775B">
              <w:t>Wen 2020</w:t>
            </w:r>
          </w:p>
        </w:tc>
        <w:tc>
          <w:tcPr>
            <w:tcW w:w="542" w:type="pct"/>
            <w:tcBorders>
              <w:top w:val="single" w:sz="6" w:space="0" w:color="000000"/>
              <w:left w:val="nil"/>
              <w:bottom w:val="single" w:sz="6" w:space="0" w:color="000000"/>
              <w:right w:val="nil"/>
            </w:tcBorders>
            <w:vAlign w:val="center"/>
          </w:tcPr>
          <w:p w14:paraId="22C6EC56" w14:textId="66B235CC" w:rsidR="006D21E2" w:rsidRPr="0054775B" w:rsidRDefault="00475093" w:rsidP="00A343C0">
            <w:pPr>
              <w:pStyle w:val="2024TABLETEXT"/>
              <w:framePr w:hSpace="0" w:wrap="auto" w:vAnchor="margin" w:yAlign="inline"/>
              <w:suppressOverlap w:val="0"/>
            </w:pPr>
            <w:r>
              <w:t>NR</w:t>
            </w:r>
          </w:p>
        </w:tc>
        <w:tc>
          <w:tcPr>
            <w:tcW w:w="542" w:type="pct"/>
            <w:tcBorders>
              <w:top w:val="single" w:sz="6" w:space="0" w:color="000000"/>
              <w:left w:val="nil"/>
              <w:bottom w:val="single" w:sz="6" w:space="0" w:color="000000"/>
              <w:right w:val="nil"/>
            </w:tcBorders>
            <w:shd w:val="clear" w:color="auto" w:fill="auto"/>
            <w:vAlign w:val="center"/>
          </w:tcPr>
          <w:p w14:paraId="646B6265" w14:textId="21C90325" w:rsidR="006D21E2" w:rsidRPr="0054775B" w:rsidRDefault="006D21E2" w:rsidP="00A343C0">
            <w:pPr>
              <w:pStyle w:val="2024TABLETEXT"/>
              <w:framePr w:hSpace="0" w:wrap="auto" w:vAnchor="margin" w:yAlign="inline"/>
              <w:suppressOverlap w:val="0"/>
            </w:pPr>
            <w:r w:rsidRPr="0054775B">
              <w:t>SMD = 0.55 (0.27 to 0.82)</w:t>
            </w:r>
            <w:r w:rsidR="00BA19D8">
              <w:t>^</w:t>
            </w:r>
          </w:p>
        </w:tc>
        <w:tc>
          <w:tcPr>
            <w:tcW w:w="444" w:type="pct"/>
            <w:tcBorders>
              <w:top w:val="single" w:sz="6" w:space="0" w:color="000000"/>
              <w:left w:val="nil"/>
              <w:bottom w:val="single" w:sz="6" w:space="0" w:color="000000"/>
              <w:right w:val="nil"/>
            </w:tcBorders>
            <w:vAlign w:val="center"/>
          </w:tcPr>
          <w:p w14:paraId="06AAAE36" w14:textId="58DFA354" w:rsidR="006D21E2" w:rsidRPr="0054775B" w:rsidRDefault="006D21E2" w:rsidP="003E4C19">
            <w:pPr>
              <w:pStyle w:val="2024TABLETEXT"/>
              <w:framePr w:hSpace="0" w:wrap="auto" w:vAnchor="margin" w:yAlign="inline"/>
              <w:suppressOverlap w:val="0"/>
            </w:pPr>
            <w:r w:rsidRPr="0054775B">
              <w:t xml:space="preserve">NR (10 </w:t>
            </w:r>
            <w:r>
              <w:t>comparisons</w:t>
            </w:r>
            <w:r w:rsidRPr="0054775B">
              <w:t xml:space="preserve"> sets from 9 </w:t>
            </w:r>
            <w:r>
              <w:t>trials</w:t>
            </w:r>
            <w:r w:rsidRPr="0054775B">
              <w:t>)</w:t>
            </w:r>
          </w:p>
        </w:tc>
        <w:tc>
          <w:tcPr>
            <w:tcW w:w="444" w:type="pct"/>
            <w:tcBorders>
              <w:top w:val="single" w:sz="6" w:space="0" w:color="000000"/>
              <w:left w:val="nil"/>
              <w:bottom w:val="single" w:sz="6" w:space="0" w:color="000000"/>
              <w:right w:val="nil"/>
            </w:tcBorders>
            <w:vAlign w:val="center"/>
          </w:tcPr>
          <w:p w14:paraId="5CEA0836" w14:textId="5C862164" w:rsidR="006D21E2" w:rsidRPr="0054775B" w:rsidRDefault="006D21E2" w:rsidP="003E4C19">
            <w:pPr>
              <w:pStyle w:val="2024TABLETEXT"/>
              <w:framePr w:hSpace="0" w:wrap="auto" w:vAnchor="margin" w:yAlign="inline"/>
              <w:suppressOverlap w:val="0"/>
            </w:pPr>
            <w:r w:rsidRPr="0054775B">
              <w:rPr>
                <w:rFonts w:ascii="Cambria Math" w:hAnsi="Cambria Math" w:cs="Cambria Math"/>
                <w:sz w:val="22"/>
                <w:szCs w:val="22"/>
              </w:rPr>
              <w:t>⨁</w:t>
            </w:r>
            <w:r w:rsidR="00572FDA" w:rsidRPr="0054775B">
              <w:rPr>
                <w:rFonts w:ascii="Cambria Math" w:hAnsi="Cambria Math" w:cs="Cambria Math"/>
                <w:sz w:val="22"/>
                <w:szCs w:val="22"/>
              </w:rPr>
              <w:t>⨁</w:t>
            </w:r>
            <w:r w:rsidRPr="0054775B">
              <w:rPr>
                <w:rFonts w:ascii="Segoe UI Symbol" w:hAnsi="Segoe UI Symbol" w:cs="Segoe UI Symbol"/>
              </w:rPr>
              <w:t>◯◯</w:t>
            </w:r>
            <w:r w:rsidRPr="0054775B">
              <w:br/>
              <w:t>LOW</w:t>
            </w:r>
            <w:r w:rsidRPr="0054775B">
              <w:rPr>
                <w:vertAlign w:val="superscript"/>
              </w:rPr>
              <w:t>g</w:t>
            </w:r>
          </w:p>
        </w:tc>
        <w:tc>
          <w:tcPr>
            <w:tcW w:w="713" w:type="pct"/>
            <w:tcBorders>
              <w:top w:val="single" w:sz="6" w:space="0" w:color="000000"/>
              <w:left w:val="nil"/>
              <w:bottom w:val="single" w:sz="6" w:space="0" w:color="000000"/>
              <w:right w:val="nil"/>
            </w:tcBorders>
            <w:vAlign w:val="center"/>
          </w:tcPr>
          <w:p w14:paraId="1949DB1B" w14:textId="775A6B98" w:rsidR="00510369" w:rsidRPr="0054775B" w:rsidRDefault="006D21E2" w:rsidP="003E4C19">
            <w:pPr>
              <w:pStyle w:val="2024TABLETEXT"/>
              <w:framePr w:hSpace="0" w:wrap="auto" w:vAnchor="margin" w:yAlign="inline"/>
              <w:suppressOverlap w:val="0"/>
            </w:pPr>
            <w:r w:rsidRPr="0054775B" w:rsidDel="00EC4164">
              <w:t xml:space="preserve">Probiotics may result in an improvement in stool consistency for </w:t>
            </w:r>
            <w:r w:rsidR="000310D7">
              <w:t xml:space="preserve">people with </w:t>
            </w:r>
            <w:r w:rsidRPr="0054775B" w:rsidDel="00EC4164">
              <w:t>IBS.</w:t>
            </w:r>
          </w:p>
        </w:tc>
      </w:tr>
      <w:tr w:rsidR="00F56704" w:rsidRPr="0054775B" w14:paraId="6F0F6C55" w14:textId="77777777" w:rsidTr="00F56704">
        <w:trPr>
          <w:cantSplit/>
          <w:trHeight w:val="50"/>
        </w:trPr>
        <w:tc>
          <w:tcPr>
            <w:tcW w:w="5000" w:type="pct"/>
            <w:gridSpan w:val="8"/>
            <w:tcBorders>
              <w:top w:val="single" w:sz="6" w:space="0" w:color="000000"/>
              <w:left w:val="nil"/>
              <w:bottom w:val="single" w:sz="6" w:space="0" w:color="000000"/>
              <w:right w:val="nil"/>
            </w:tcBorders>
          </w:tcPr>
          <w:p w14:paraId="0BA364F0" w14:textId="77777777" w:rsidR="00BD21CA" w:rsidRDefault="00BD21CA" w:rsidP="00BD21CA">
            <w:pPr>
              <w:pStyle w:val="2024TABLEFOOTER"/>
            </w:pPr>
            <w:r w:rsidRPr="0054775B">
              <w:lastRenderedPageBreak/>
              <w:t>*Ratings 1-3 = of limited importance to decision making; 4-6 = important, but not critical, to decision making; 7-9 = critical for decision-making</w:t>
            </w:r>
          </w:p>
          <w:p w14:paraId="25D181F4" w14:textId="108D535E" w:rsidR="00686815" w:rsidRDefault="00F56704" w:rsidP="003E4C19">
            <w:pPr>
              <w:pStyle w:val="2024TABLEFOOTER"/>
            </w:pPr>
            <w:r w:rsidRPr="0054775B" w:rsidDel="00BA19D8">
              <w:t>^</w:t>
            </w:r>
            <w:r w:rsidR="0085318B">
              <w:t xml:space="preserve">No absolute risk differences were reported. </w:t>
            </w:r>
            <w:r w:rsidR="00BA19D8" w:rsidRPr="0054775B">
              <w:t>SMDs of 0.2, 0.5, and 0.8 are considered small, medium, and large, respectively</w:t>
            </w:r>
            <w:r w:rsidR="00BA19D8">
              <w:t xml:space="preserve"> </w:t>
            </w:r>
          </w:p>
          <w:p w14:paraId="4C9DA949" w14:textId="0D49388E" w:rsidR="00F56704" w:rsidRDefault="00BA19D8" w:rsidP="003E4C19">
            <w:pPr>
              <w:pStyle w:val="2024TABLEFOOTER"/>
            </w:pPr>
            <w:r>
              <w:t>#</w:t>
            </w:r>
            <w:r w:rsidR="00F56704" w:rsidRPr="00DD1605">
              <w:t>A 5% absolute risk difference</w:t>
            </w:r>
            <w:r w:rsidR="00F56704">
              <w:t xml:space="preserve"> and 20% relative risk difference (i.e., risk ratio ≤ 0.8 or ≥ 1.2) was considered as a minimal clinically important difference (MCID) </w:t>
            </w:r>
            <w:r w:rsidR="00A61385">
              <w:rPr>
                <w:noProof/>
              </w:rPr>
              <w:t>(23)</w:t>
            </w:r>
            <w:r w:rsidR="00F56704">
              <w:t>.</w:t>
            </w:r>
          </w:p>
          <w:p w14:paraId="2A71A23E" w14:textId="5EEBBF6E" w:rsidR="00F56704" w:rsidRDefault="00F56704" w:rsidP="003E4C19">
            <w:pPr>
              <w:pStyle w:val="2024TABLEFOOTER"/>
            </w:pPr>
            <w:r w:rsidRPr="001428E8">
              <w:t>‡</w:t>
            </w:r>
            <w:r>
              <w:t xml:space="preserve">MD of </w:t>
            </w:r>
            <w:r w:rsidRPr="00E664DC">
              <w:t>≥1.3-1.6 times mean weekly bowel movement frequency considered MCID</w:t>
            </w:r>
            <w:r>
              <w:t xml:space="preserve"> </w:t>
            </w:r>
            <w:r w:rsidR="00A61385">
              <w:rPr>
                <w:noProof/>
              </w:rPr>
              <w:t>(69)</w:t>
            </w:r>
            <w:r w:rsidRPr="00E664DC">
              <w:t>.</w:t>
            </w:r>
          </w:p>
          <w:p w14:paraId="6823ECCC" w14:textId="77777777" w:rsidR="00F56704" w:rsidRDefault="00F56704" w:rsidP="003E4C19">
            <w:pPr>
              <w:pStyle w:val="2024TABLEFOOTER"/>
            </w:pPr>
          </w:p>
          <w:p w14:paraId="067FC75A" w14:textId="624D6001" w:rsidR="00F56704" w:rsidRPr="0054775B" w:rsidRDefault="00F56704" w:rsidP="003E4C19">
            <w:pPr>
              <w:pStyle w:val="2024TABLEFOOTER"/>
            </w:pPr>
            <w:r w:rsidRPr="0054775B">
              <w:t xml:space="preserve">Abbreviations: </w:t>
            </w:r>
            <w:r w:rsidR="0040261D">
              <w:t xml:space="preserve">ARD=absolute risk difference; </w:t>
            </w:r>
            <w:r w:rsidRPr="0054775B">
              <w:t xml:space="preserve">BM=bowel movements, CI=confidence interval, GSRS=Gastrointestinal Symptom Rating Scale, GSS=Global symptoms score, IBS=Irritable bowel syndrome, IBS-SSS=IBS symptom severity scale, IBS-SSI=IBS Symptom Severity Index, FDI=Functional Disability Inventory, IBS-C=Constipation-Predominant Irritable Bowel Syndrome, MD=mean difference, NR=Not reported, </w:t>
            </w:r>
            <w:r>
              <w:t xml:space="preserve">RD=risk difference, </w:t>
            </w:r>
            <w:r w:rsidRPr="0054775B">
              <w:t>RR=risk ratio, SMD=standardised mean difference, VAS=visual analogue scale</w:t>
            </w:r>
          </w:p>
        </w:tc>
      </w:tr>
      <w:tr w:rsidR="00F56704" w:rsidRPr="0054775B" w14:paraId="6E49D811" w14:textId="77777777" w:rsidTr="00F56704">
        <w:trPr>
          <w:cantSplit/>
          <w:trHeight w:val="236"/>
        </w:trPr>
        <w:tc>
          <w:tcPr>
            <w:tcW w:w="5000" w:type="pct"/>
            <w:gridSpan w:val="8"/>
            <w:tcBorders>
              <w:top w:val="single" w:sz="6" w:space="0" w:color="000000"/>
              <w:left w:val="nil"/>
              <w:bottom w:val="single" w:sz="6" w:space="0" w:color="000000"/>
              <w:right w:val="nil"/>
            </w:tcBorders>
          </w:tcPr>
          <w:p w14:paraId="3DBBF243" w14:textId="67C37B8D" w:rsidR="00F56704" w:rsidRPr="0054775B" w:rsidRDefault="00F56704" w:rsidP="003E4C19">
            <w:pPr>
              <w:pStyle w:val="2024TABLEFOOTER"/>
            </w:pPr>
            <w:r w:rsidRPr="0054775B">
              <w:t>GRADE Working Group grades of evidence</w:t>
            </w:r>
            <w:r w:rsidRPr="0054775B">
              <w:br/>
            </w:r>
            <w:r w:rsidRPr="0054775B">
              <w:rPr>
                <w:b/>
                <w:bCs/>
              </w:rPr>
              <w:t>High certainty:</w:t>
            </w:r>
            <w:r w:rsidRPr="0054775B">
              <w:t xml:space="preserve"> we are very confident that the true effect lies close to that of the estimate of the effect.</w:t>
            </w:r>
            <w:r w:rsidRPr="0054775B">
              <w:br/>
            </w:r>
            <w:r w:rsidRPr="0054775B">
              <w:rPr>
                <w:b/>
                <w:bCs/>
              </w:rPr>
              <w:t>Moderate certainty:</w:t>
            </w:r>
            <w:r w:rsidRPr="0054775B">
              <w:t xml:space="preserve"> we are moderately confident in the effect estimate: the true effect is likely to be close to the estimate of the effect, but there is a possibility that it is substantially different.</w:t>
            </w:r>
            <w:r w:rsidRPr="0054775B">
              <w:br/>
            </w:r>
            <w:r w:rsidRPr="0054775B">
              <w:rPr>
                <w:b/>
                <w:bCs/>
              </w:rPr>
              <w:t>Low certainty:</w:t>
            </w:r>
            <w:r w:rsidRPr="0054775B">
              <w:t xml:space="preserve"> our confidence in the effect estimate is limited: the true effect may be substantially different from the estimate of the effect.</w:t>
            </w:r>
            <w:r w:rsidRPr="0054775B">
              <w:br/>
            </w:r>
            <w:r w:rsidRPr="0054775B">
              <w:rPr>
                <w:b/>
                <w:bCs/>
              </w:rPr>
              <w:t>Very low certainty:</w:t>
            </w:r>
            <w:r w:rsidRPr="0054775B">
              <w:t xml:space="preserve"> we have very little confidence in the effect estimate: the true effect is likely to be substantially different from the estimate of effect.</w:t>
            </w:r>
          </w:p>
        </w:tc>
      </w:tr>
      <w:tr w:rsidR="00F56704" w:rsidRPr="0054775B" w14:paraId="71F58D43" w14:textId="77777777" w:rsidTr="00F56704">
        <w:trPr>
          <w:cantSplit/>
          <w:trHeight w:val="236"/>
        </w:trPr>
        <w:tc>
          <w:tcPr>
            <w:tcW w:w="5000" w:type="pct"/>
            <w:gridSpan w:val="8"/>
            <w:tcBorders>
              <w:top w:val="single" w:sz="6" w:space="0" w:color="000000"/>
              <w:left w:val="nil"/>
              <w:bottom w:val="single" w:sz="6" w:space="0" w:color="000000"/>
              <w:right w:val="nil"/>
            </w:tcBorders>
          </w:tcPr>
          <w:p w14:paraId="21F2FB50" w14:textId="09AE9FD5" w:rsidR="00F56704" w:rsidRPr="0054775B" w:rsidRDefault="00F56704" w:rsidP="003E4C19">
            <w:pPr>
              <w:pStyle w:val="2024TABLEFOOTER"/>
              <w:rPr>
                <w:b/>
                <w:bCs/>
              </w:rPr>
            </w:pPr>
            <w:r w:rsidRPr="0054775B">
              <w:rPr>
                <w:b/>
                <w:bCs/>
              </w:rPr>
              <w:t>Explanations</w:t>
            </w:r>
          </w:p>
          <w:p w14:paraId="46AACF80" w14:textId="67E53738" w:rsidR="00F56704" w:rsidRPr="0054775B" w:rsidRDefault="00F56704" w:rsidP="003E4C19">
            <w:pPr>
              <w:pStyle w:val="2024TABLEFOOTER"/>
            </w:pPr>
            <w:r w:rsidRPr="0054775B">
              <w:t xml:space="preserve">a. </w:t>
            </w:r>
            <w:r w:rsidR="0080587C" w:rsidRPr="00C52B40">
              <w:t xml:space="preserve">Most studies for most domains were indicated as low risk of bias, except for unclear risk of selection bias in </w:t>
            </w:r>
            <w:r w:rsidR="00927F5D" w:rsidRPr="00C52B40">
              <w:t>most</w:t>
            </w:r>
            <w:r w:rsidR="0080587C" w:rsidRPr="00C52B40">
              <w:t xml:space="preserve"> studies due not describing allocation concealment. On balance, this is unlikely to impact results</w:t>
            </w:r>
            <w:r w:rsidR="0080587C">
              <w:t xml:space="preserve"> (no change for risk of bias). </w:t>
            </w:r>
            <w:r w:rsidR="00307315" w:rsidRPr="00307315">
              <w:t>High I² values and statistically significant heterogeneity, point estimates indicated different directions of effect, CIs have limited overlap (downgrade one for inconsistency).</w:t>
            </w:r>
            <w:r w:rsidRPr="0054775B">
              <w:t xml:space="preserve"> </w:t>
            </w:r>
            <w:r w:rsidR="005418FE" w:rsidRPr="001428E8">
              <w:t xml:space="preserve">CI boundaries suggest different inferences based on MCID (SMD = 0.2), with lower bound approaching the threshold for effect </w:t>
            </w:r>
            <w:r>
              <w:t>(downgrade one for imprecision).</w:t>
            </w:r>
            <w:r w:rsidR="005D143A" w:rsidRPr="0054775B">
              <w:t xml:space="preserve"> </w:t>
            </w:r>
            <w:r w:rsidR="005D143A">
              <w:t>P</w:t>
            </w:r>
            <w:r w:rsidR="005D143A" w:rsidRPr="0054775B">
              <w:t xml:space="preserve">ublication bias </w:t>
            </w:r>
            <w:r w:rsidR="005D143A">
              <w:t xml:space="preserve">unlikely </w:t>
            </w:r>
            <w:r w:rsidR="005D143A" w:rsidRPr="0054775B">
              <w:t>supported by</w:t>
            </w:r>
            <w:r w:rsidR="005D143A">
              <w:t xml:space="preserve"> non-significant Egger test and</w:t>
            </w:r>
            <w:r w:rsidR="005D143A" w:rsidRPr="0054775B">
              <w:t xml:space="preserve"> </w:t>
            </w:r>
            <w:r w:rsidR="005D143A">
              <w:t xml:space="preserve">visual </w:t>
            </w:r>
            <w:r w:rsidR="005D143A" w:rsidRPr="0054775B">
              <w:t>inspection of funnel plot (</w:t>
            </w:r>
            <w:r w:rsidR="005D143A">
              <w:t>no change</w:t>
            </w:r>
            <w:r w:rsidR="005D143A" w:rsidRPr="0054775B">
              <w:t xml:space="preserve"> for publication bias).</w:t>
            </w:r>
          </w:p>
          <w:p w14:paraId="21E730C7" w14:textId="380A2AB8" w:rsidR="00F56704" w:rsidRPr="0054775B" w:rsidRDefault="00F56704" w:rsidP="003E4C19">
            <w:pPr>
              <w:pStyle w:val="2024TABLEFOOTER"/>
            </w:pPr>
            <w:r w:rsidRPr="0054775B">
              <w:t xml:space="preserve">b. </w:t>
            </w:r>
            <w:r w:rsidRPr="00C52B40">
              <w:t>Most studies for most domains were indicated as low risk of bias, except for unclear risk of selection bias in the majority of studies due not describing allocation concealment. On balance, this is unlikely to impact results</w:t>
            </w:r>
            <w:r>
              <w:t xml:space="preserve"> (no change for risk of bias</w:t>
            </w:r>
            <w:r w:rsidR="008A44EC">
              <w:t>)</w:t>
            </w:r>
            <w:r>
              <w:t xml:space="preserve">. </w:t>
            </w:r>
            <w:r w:rsidR="00B22731" w:rsidRPr="001428E8">
              <w:t>High I² values and statistically significant heterogeneity, point estimates varied somewhat, though the majority favoured the intervention (</w:t>
            </w:r>
            <w:r w:rsidR="0078189A">
              <w:t>no change</w:t>
            </w:r>
            <w:r w:rsidR="00B22731" w:rsidRPr="001428E8">
              <w:t xml:space="preserve"> for inconsistency).</w:t>
            </w:r>
            <w:r w:rsidR="00B22731" w:rsidRPr="0054775B" w:rsidDel="00D706F7">
              <w:t xml:space="preserve"> </w:t>
            </w:r>
            <w:r w:rsidR="00E73491">
              <w:t xml:space="preserve">Pooled effect confidence intervals </w:t>
            </w:r>
            <w:r>
              <w:t>were within threshold for MCID for absolute risk difference</w:t>
            </w:r>
            <w:r w:rsidR="0040261D">
              <w:t xml:space="preserve"> (ARD = 5%)</w:t>
            </w:r>
            <w:r>
              <w:t xml:space="preserve"> and crossed MCID for relative estimates of effect, but only just (RR = 20%)</w:t>
            </w:r>
            <w:r w:rsidR="00B22731">
              <w:t>; lower bounds of CIs still suggested an appreciable effect</w:t>
            </w:r>
            <w:r>
              <w:t xml:space="preserve"> </w:t>
            </w:r>
            <w:r w:rsidRPr="0054775B">
              <w:t>(</w:t>
            </w:r>
            <w:r>
              <w:t>no change for imprecision</w:t>
            </w:r>
            <w:r w:rsidRPr="0054775B">
              <w:t>).</w:t>
            </w:r>
            <w:r>
              <w:t xml:space="preserve"> </w:t>
            </w:r>
            <w:r w:rsidRPr="0054775B">
              <w:t>Possible publication bias supported by</w:t>
            </w:r>
            <w:r w:rsidR="005D143A">
              <w:t xml:space="preserve"> significant Egger test and</w:t>
            </w:r>
            <w:r w:rsidRPr="0054775B">
              <w:t xml:space="preserve"> </w:t>
            </w:r>
            <w:r w:rsidR="005D143A">
              <w:t xml:space="preserve">visual </w:t>
            </w:r>
            <w:r w:rsidRPr="0054775B">
              <w:t>inspection of funnel plot (downgraded one for publication bias).</w:t>
            </w:r>
          </w:p>
          <w:p w14:paraId="3D46FC83" w14:textId="4F774032" w:rsidR="00F56704" w:rsidRPr="0054775B" w:rsidRDefault="00F56704" w:rsidP="003E4C19">
            <w:pPr>
              <w:pStyle w:val="2024TABLEFOOTER"/>
            </w:pPr>
            <w:r w:rsidRPr="0054775B">
              <w:t>c.</w:t>
            </w:r>
            <w:r w:rsidR="006D38D6">
              <w:t xml:space="preserve"> </w:t>
            </w:r>
            <w:r w:rsidR="006D38D6" w:rsidRPr="00C52B40">
              <w:t>Most studies for most domains were indicated as low risk of bias, except for unclear risk of selection bias in the majority of studies due not describing allocation concealment. On balance, this is unlikely to impact results</w:t>
            </w:r>
            <w:r w:rsidR="006D38D6">
              <w:t xml:space="preserve"> (no change for risk of bias).</w:t>
            </w:r>
            <w:r w:rsidRPr="0054775B">
              <w:t xml:space="preserve"> </w:t>
            </w:r>
            <w:r w:rsidR="00A60E60" w:rsidRPr="001428E8">
              <w:t>High I² values and statistically significant heterogeneity, point estimates indicated different directions of effect, CIs have limited overlap (downgrade one for inconsistency).</w:t>
            </w:r>
            <w:r w:rsidR="00A60E60" w:rsidRPr="0054775B" w:rsidDel="00DB5382">
              <w:t xml:space="preserve"> </w:t>
            </w:r>
            <w:r w:rsidR="007D2C99" w:rsidRPr="001428E8">
              <w:t>CI boundaries suggest different inferences based on MCID (SMD = 0.2) (downgraded one for imprecision).</w:t>
            </w:r>
            <w:r w:rsidR="007D2C99">
              <w:t xml:space="preserve"> </w:t>
            </w:r>
            <w:r w:rsidR="001022C6">
              <w:t>P</w:t>
            </w:r>
            <w:r w:rsidR="001022C6" w:rsidRPr="0054775B">
              <w:t xml:space="preserve">ublication bias </w:t>
            </w:r>
            <w:r w:rsidR="001022C6">
              <w:t>unlikely</w:t>
            </w:r>
            <w:r w:rsidR="00937D17">
              <w:t>,</w:t>
            </w:r>
            <w:r w:rsidR="001022C6">
              <w:t xml:space="preserve"> </w:t>
            </w:r>
            <w:r w:rsidR="001022C6" w:rsidRPr="0054775B">
              <w:t>supported by</w:t>
            </w:r>
            <w:r w:rsidR="001022C6">
              <w:t xml:space="preserve"> non-significant Egger test and</w:t>
            </w:r>
            <w:r w:rsidR="001022C6" w:rsidRPr="0054775B">
              <w:t xml:space="preserve"> </w:t>
            </w:r>
            <w:r w:rsidR="001022C6">
              <w:t xml:space="preserve">visual </w:t>
            </w:r>
            <w:r w:rsidR="001022C6" w:rsidRPr="0054775B">
              <w:t>inspection of funnel plot (</w:t>
            </w:r>
            <w:r w:rsidR="001022C6">
              <w:t>no change</w:t>
            </w:r>
            <w:r w:rsidR="001022C6" w:rsidRPr="0054775B">
              <w:t xml:space="preserve"> for publication bias).</w:t>
            </w:r>
          </w:p>
          <w:p w14:paraId="67520C99" w14:textId="521D6275" w:rsidR="00F56704" w:rsidRPr="0054775B" w:rsidRDefault="00F56704" w:rsidP="003E4C19">
            <w:pPr>
              <w:pStyle w:val="2024TABLEFOOTER"/>
            </w:pPr>
            <w:r w:rsidRPr="0054775B">
              <w:t xml:space="preserve">d. </w:t>
            </w:r>
            <w:r w:rsidR="00E50966">
              <w:t xml:space="preserve">Most </w:t>
            </w:r>
            <w:r w:rsidR="001022C6">
              <w:t>primary</w:t>
            </w:r>
            <w:r w:rsidR="00E50966">
              <w:t xml:space="preserve"> studies </w:t>
            </w:r>
            <w:r w:rsidR="001022C6">
              <w:t>assessed at</w:t>
            </w:r>
            <w:r w:rsidR="00E50966">
              <w:t xml:space="preserve"> low risk of bias</w:t>
            </w:r>
            <w:r w:rsidRPr="0054775B">
              <w:t xml:space="preserve"> (</w:t>
            </w:r>
            <w:r w:rsidR="00E50966">
              <w:t xml:space="preserve">no change </w:t>
            </w:r>
            <w:r w:rsidRPr="0054775B">
              <w:t xml:space="preserve">for risk of bias). </w:t>
            </w:r>
            <w:r w:rsidR="00DA1035" w:rsidRPr="001428E8">
              <w:t xml:space="preserve">High I² values and statistically significant heterogeneity, point estimates indicated different directions of effect, </w:t>
            </w:r>
            <w:r w:rsidRPr="0054775B" w:rsidDel="00DA1035">
              <w:t xml:space="preserve">inconsistency </w:t>
            </w:r>
            <w:r w:rsidR="00DA1035">
              <w:t>n</w:t>
            </w:r>
            <w:r w:rsidR="00990857">
              <w:t>ot explained by subgroup analysis of duration of treatment</w:t>
            </w:r>
            <w:r w:rsidR="000D28E5">
              <w:t xml:space="preserve"> </w:t>
            </w:r>
            <w:r w:rsidRPr="0054775B">
              <w:t xml:space="preserve">(downgrade </w:t>
            </w:r>
            <w:r w:rsidRPr="0054775B" w:rsidDel="00990857">
              <w:t xml:space="preserve">one </w:t>
            </w:r>
            <w:r w:rsidRPr="0054775B">
              <w:t>for inconsistency).</w:t>
            </w:r>
            <w:r>
              <w:t xml:space="preserve"> </w:t>
            </w:r>
            <w:r w:rsidR="00163755" w:rsidRPr="001428E8">
              <w:t xml:space="preserve">CI boundaries suggest different inferences based on MCID (SMD = 0.2), with lower bound approaching the threshold for effect (downgraded one for imprecision). </w:t>
            </w:r>
            <w:r w:rsidR="003A2395">
              <w:t>P</w:t>
            </w:r>
            <w:r w:rsidR="001A7BE3">
              <w:t>ublication</w:t>
            </w:r>
            <w:r w:rsidR="003A2395">
              <w:t xml:space="preserve"> bias not assessed</w:t>
            </w:r>
            <w:r w:rsidR="008C0B1B">
              <w:t xml:space="preserve"> by review authors; unable to confirm if potential for missing studies</w:t>
            </w:r>
            <w:r w:rsidR="00924299">
              <w:t xml:space="preserve"> (</w:t>
            </w:r>
            <w:r w:rsidR="008C0B1B">
              <w:t>no change</w:t>
            </w:r>
            <w:r w:rsidR="00A4004B">
              <w:t xml:space="preserve"> for publication bias).</w:t>
            </w:r>
          </w:p>
          <w:p w14:paraId="51BA2FB5" w14:textId="042DAE5E" w:rsidR="00F56704" w:rsidRPr="0054775B" w:rsidRDefault="00F56704" w:rsidP="003E4C19">
            <w:pPr>
              <w:pStyle w:val="2024TABLEFOOTER"/>
            </w:pPr>
            <w:r w:rsidRPr="0054775B">
              <w:t xml:space="preserve">e. </w:t>
            </w:r>
            <w:r w:rsidR="0001047D" w:rsidRPr="00C52B40">
              <w:t>Most studies for most domains were indicated as low risk of bias</w:t>
            </w:r>
            <w:r w:rsidR="0001047D">
              <w:t xml:space="preserve"> (no change for risk of bias). </w:t>
            </w:r>
            <w:r w:rsidR="009A364E">
              <w:t>Population</w:t>
            </w:r>
            <w:r w:rsidR="009A364E" w:rsidRPr="0054775B">
              <w:t xml:space="preserve"> included children only (downgrade </w:t>
            </w:r>
            <w:r w:rsidR="009A364E">
              <w:t>one</w:t>
            </w:r>
            <w:r w:rsidR="009A364E" w:rsidRPr="0054775B">
              <w:t xml:space="preserve"> for indirectness). </w:t>
            </w:r>
            <w:r w:rsidR="00163755">
              <w:t>Small sample size</w:t>
            </w:r>
            <w:r w:rsidR="007D3CF0">
              <w:t xml:space="preserve"> raising concerns about optimal information size</w:t>
            </w:r>
            <w:r w:rsidR="00163755">
              <w:t>, n</w:t>
            </w:r>
            <w:r w:rsidR="009A364E" w:rsidRPr="0054775B">
              <w:t xml:space="preserve">o effect estimates provided (downgrade </w:t>
            </w:r>
            <w:r w:rsidR="001D0293">
              <w:t>two</w:t>
            </w:r>
            <w:r w:rsidR="009A364E" w:rsidRPr="0054775B">
              <w:t xml:space="preserve"> for </w:t>
            </w:r>
            <w:r w:rsidR="00AF16A2">
              <w:t xml:space="preserve">serious </w:t>
            </w:r>
            <w:r w:rsidR="009A364E" w:rsidRPr="0054775B">
              <w:t>imprecision).</w:t>
            </w:r>
            <w:r w:rsidR="009A364E">
              <w:t xml:space="preserve"> </w:t>
            </w:r>
            <w:r w:rsidR="00BD421B">
              <w:t>Five of six studies sponsored by pharmaceutical companies which may suggest publication bias (downgrade one for publication bias)</w:t>
            </w:r>
            <w:r w:rsidR="00044291">
              <w:t>.</w:t>
            </w:r>
          </w:p>
          <w:p w14:paraId="6EC522B2" w14:textId="55F1B4D8" w:rsidR="00F56704" w:rsidRPr="0054775B" w:rsidRDefault="00F56704" w:rsidP="003E4C19">
            <w:pPr>
              <w:pStyle w:val="2024TABLEFOOTER"/>
            </w:pPr>
            <w:r w:rsidRPr="0054775B">
              <w:t xml:space="preserve">f. </w:t>
            </w:r>
            <w:r w:rsidR="009F52A4" w:rsidRPr="00C52B40">
              <w:t>Most studies for most domains were indicated as low</w:t>
            </w:r>
            <w:r w:rsidR="00F00638">
              <w:t xml:space="preserve"> or unclear</w:t>
            </w:r>
            <w:r w:rsidR="009F52A4" w:rsidRPr="00C52B40">
              <w:t xml:space="preserve"> risk of bias</w:t>
            </w:r>
            <w:r w:rsidR="00F00638">
              <w:t>, with no assessments of high risk of bias</w:t>
            </w:r>
            <w:r w:rsidR="009F52A4">
              <w:t xml:space="preserve"> (no change for risk of bias). </w:t>
            </w:r>
            <w:r w:rsidR="00AD7173" w:rsidRPr="001428E8">
              <w:t xml:space="preserve">High I² values and statistically significant heterogeneity, </w:t>
            </w:r>
            <w:r w:rsidR="00641E98">
              <w:t>though most point estimates and upper and lower bounds of C</w:t>
            </w:r>
            <w:r w:rsidR="003C0156">
              <w:t>Is were above the threshold for change in effect</w:t>
            </w:r>
            <w:r w:rsidR="00E9243B">
              <w:t xml:space="preserve"> </w:t>
            </w:r>
            <w:r w:rsidRPr="0054775B">
              <w:t>(</w:t>
            </w:r>
            <w:r w:rsidR="008F66E9">
              <w:t>no change</w:t>
            </w:r>
            <w:r w:rsidRPr="0054775B">
              <w:t xml:space="preserve"> for inconsistency). Population included IBS-C subtype only (downgrade one for indirectness).</w:t>
            </w:r>
            <w:r>
              <w:t xml:space="preserve"> </w:t>
            </w:r>
            <w:r w:rsidR="00916673" w:rsidRPr="001428E8">
              <w:t>CI boundaries suggest different inferences based on MCID (</w:t>
            </w:r>
            <w:r w:rsidR="00916673">
              <w:t>BM/week</w:t>
            </w:r>
            <w:r w:rsidR="00916673" w:rsidRPr="001428E8">
              <w:t xml:space="preserve"> = </w:t>
            </w:r>
            <w:r w:rsidR="00916673">
              <w:t>1.3 – 1.6</w:t>
            </w:r>
            <w:r w:rsidR="00916673" w:rsidRPr="001428E8">
              <w:t>)</w:t>
            </w:r>
            <w:r w:rsidR="00916673">
              <w:t xml:space="preserve"> </w:t>
            </w:r>
            <w:r w:rsidR="00916673" w:rsidRPr="001428E8">
              <w:t>(downgraded one for imprecision).</w:t>
            </w:r>
            <w:r w:rsidR="006445BB">
              <w:t xml:space="preserve"> </w:t>
            </w:r>
            <w:r w:rsidR="002A0361">
              <w:t>P</w:t>
            </w:r>
            <w:r w:rsidR="002A0361" w:rsidRPr="0054775B">
              <w:t xml:space="preserve">ublication bias </w:t>
            </w:r>
            <w:r w:rsidR="002A0361">
              <w:t xml:space="preserve">unlikely </w:t>
            </w:r>
            <w:r w:rsidR="002A0361" w:rsidRPr="0054775B">
              <w:t>supported by</w:t>
            </w:r>
            <w:r w:rsidR="002A0361">
              <w:t xml:space="preserve"> non-significant Egger test and</w:t>
            </w:r>
            <w:r w:rsidR="002A0361" w:rsidRPr="0054775B">
              <w:t xml:space="preserve"> </w:t>
            </w:r>
            <w:r w:rsidR="002A0361">
              <w:t xml:space="preserve">visual </w:t>
            </w:r>
            <w:r w:rsidR="002A0361" w:rsidRPr="0054775B">
              <w:t>inspection of funnel plot (</w:t>
            </w:r>
            <w:r w:rsidR="002A0361">
              <w:t>no change</w:t>
            </w:r>
            <w:r w:rsidR="002A0361" w:rsidRPr="0054775B">
              <w:t xml:space="preserve"> for publication bias).</w:t>
            </w:r>
          </w:p>
          <w:p w14:paraId="019FFE90" w14:textId="56058BCD" w:rsidR="00F56704" w:rsidRPr="0054775B" w:rsidRDefault="00F56704" w:rsidP="003E4C19">
            <w:pPr>
              <w:pStyle w:val="2024TABLEFOOTER"/>
            </w:pPr>
            <w:r w:rsidRPr="0054775B">
              <w:t xml:space="preserve">g. </w:t>
            </w:r>
            <w:r w:rsidR="00F00638" w:rsidRPr="00C52B40">
              <w:t>Most studies for most domains were indicated as low</w:t>
            </w:r>
            <w:r w:rsidR="00F00638">
              <w:t xml:space="preserve"> or unclear</w:t>
            </w:r>
            <w:r w:rsidR="00F00638" w:rsidRPr="00C52B40">
              <w:t xml:space="preserve"> risk of bias</w:t>
            </w:r>
            <w:r w:rsidR="00F00638">
              <w:t xml:space="preserve">, with no assessments of high risk of bias (no change for risk of bias). </w:t>
            </w:r>
            <w:r w:rsidR="0007423A" w:rsidRPr="00775ECD">
              <w:t xml:space="preserve">High I² values and statistically significant heterogeneity, </w:t>
            </w:r>
            <w:r w:rsidR="0007423A">
              <w:t xml:space="preserve">though most point estimates and upper and lower bounds of CIs were above the threshold for change in effect </w:t>
            </w:r>
            <w:r w:rsidR="00C840F2">
              <w:t xml:space="preserve">with relative overlap of CIs </w:t>
            </w:r>
            <w:r w:rsidR="0007423A" w:rsidRPr="0054775B">
              <w:t>(</w:t>
            </w:r>
            <w:r w:rsidR="0007423A">
              <w:t>no change</w:t>
            </w:r>
            <w:r w:rsidR="0007423A" w:rsidRPr="0054775B">
              <w:t xml:space="preserve"> for inconsistency). </w:t>
            </w:r>
            <w:r w:rsidRPr="0054775B">
              <w:t>Population included IBS-C subtype only (downgrade one for indirectness).</w:t>
            </w:r>
            <w:r>
              <w:t xml:space="preserve"> </w:t>
            </w:r>
            <w:r w:rsidR="001F7F57" w:rsidRPr="001428E8">
              <w:t xml:space="preserve">CI boundaries suggest different inferences about the </w:t>
            </w:r>
            <w:r w:rsidR="00491D61">
              <w:t>magnitude of</w:t>
            </w:r>
            <w:r w:rsidR="001F7F57" w:rsidRPr="001428E8">
              <w:t xml:space="preserve"> benefit based on MCID (SMD = 0.2), however lower bound</w:t>
            </w:r>
            <w:r w:rsidR="001F68FD">
              <w:t>ar</w:t>
            </w:r>
            <w:r w:rsidR="004A1EC7">
              <w:t>y still</w:t>
            </w:r>
            <w:r w:rsidR="001F68FD">
              <w:t xml:space="preserve"> </w:t>
            </w:r>
            <w:r w:rsidR="00491D61">
              <w:t>falls about the MCID threshold</w:t>
            </w:r>
            <w:r w:rsidR="001F7F57" w:rsidRPr="001428E8">
              <w:t xml:space="preserve"> (downgraded one for imprecision). </w:t>
            </w:r>
            <w:r w:rsidR="00A85910">
              <w:t>P</w:t>
            </w:r>
            <w:r w:rsidR="00A85910" w:rsidRPr="0054775B">
              <w:t xml:space="preserve">ublication bias </w:t>
            </w:r>
            <w:r w:rsidR="00A85910">
              <w:t xml:space="preserve">unlikely </w:t>
            </w:r>
            <w:r w:rsidR="00A85910" w:rsidRPr="0054775B">
              <w:t>supported by</w:t>
            </w:r>
            <w:r w:rsidR="00A85910">
              <w:t xml:space="preserve"> non-significant Egger test and</w:t>
            </w:r>
            <w:r w:rsidR="00A85910" w:rsidRPr="0054775B">
              <w:t xml:space="preserve"> </w:t>
            </w:r>
            <w:r w:rsidR="00A85910">
              <w:t xml:space="preserve">visual </w:t>
            </w:r>
            <w:r w:rsidR="00A85910" w:rsidRPr="0054775B">
              <w:t>inspection of funnel plot (</w:t>
            </w:r>
            <w:r w:rsidR="00A85910">
              <w:t>no change</w:t>
            </w:r>
            <w:r w:rsidR="00A85910" w:rsidRPr="0054775B">
              <w:t xml:space="preserve"> for publication bias).</w:t>
            </w:r>
          </w:p>
        </w:tc>
      </w:tr>
    </w:tbl>
    <w:p w14:paraId="743930F5" w14:textId="77777777" w:rsidR="004D52F5" w:rsidRPr="0054775B" w:rsidRDefault="004D52F5" w:rsidP="009E6F7F">
      <w:pPr>
        <w:pStyle w:val="Caption1"/>
        <w:rPr>
          <w:rFonts w:ascii="Aptos" w:hAnsi="Aptos"/>
        </w:rPr>
      </w:pPr>
    </w:p>
    <w:p w14:paraId="511828B4" w14:textId="77777777" w:rsidR="004D52F5" w:rsidRPr="0054775B" w:rsidRDefault="004D52F5" w:rsidP="009E6F7F">
      <w:pPr>
        <w:rPr>
          <w:color w:val="000000" w:themeColor="text1"/>
          <w:sz w:val="20"/>
          <w:szCs w:val="20"/>
        </w:rPr>
      </w:pPr>
      <w:r w:rsidRPr="0054775B">
        <w:br w:type="page"/>
      </w:r>
    </w:p>
    <w:p w14:paraId="26DE6B6B" w14:textId="5DC99798" w:rsidR="004D52F5" w:rsidRPr="0054775B" w:rsidRDefault="004D52F5" w:rsidP="00DC24F3">
      <w:pPr>
        <w:pStyle w:val="2024TABLECAPTION"/>
        <w:rPr>
          <w:rFonts w:ascii="Aptos" w:hAnsi="Aptos"/>
        </w:rPr>
      </w:pPr>
      <w:bookmarkStart w:id="72" w:name="_Toc185261590"/>
      <w:r w:rsidRPr="0054775B">
        <w:rPr>
          <w:rFonts w:ascii="Aptos" w:hAnsi="Aptos"/>
        </w:rPr>
        <w:lastRenderedPageBreak/>
        <w:t xml:space="preserve">Table </w:t>
      </w:r>
      <w:r w:rsidRPr="0054775B">
        <w:rPr>
          <w:rFonts w:ascii="Aptos" w:hAnsi="Aptos"/>
        </w:rPr>
        <w:fldChar w:fldCharType="begin"/>
      </w:r>
      <w:r w:rsidRPr="0054775B">
        <w:rPr>
          <w:rFonts w:ascii="Aptos" w:hAnsi="Aptos"/>
        </w:rPr>
        <w:instrText>SEQ Table \* ARABIC</w:instrText>
      </w:r>
      <w:r w:rsidRPr="0054775B">
        <w:rPr>
          <w:rFonts w:ascii="Aptos" w:hAnsi="Aptos"/>
        </w:rPr>
        <w:fldChar w:fldCharType="separate"/>
      </w:r>
      <w:r w:rsidR="00651E04">
        <w:rPr>
          <w:rFonts w:ascii="Aptos" w:hAnsi="Aptos"/>
          <w:noProof/>
        </w:rPr>
        <w:t>12</w:t>
      </w:r>
      <w:r w:rsidRPr="0054775B">
        <w:rPr>
          <w:rFonts w:ascii="Aptos" w:hAnsi="Aptos"/>
        </w:rPr>
        <w:fldChar w:fldCharType="end"/>
      </w:r>
      <w:r w:rsidRPr="0054775B">
        <w:rPr>
          <w:rFonts w:ascii="Aptos" w:hAnsi="Aptos"/>
        </w:rPr>
        <w:t>. Probiotics + naturopathy co-intervention compared to placebo</w:t>
      </w:r>
      <w:r w:rsidR="00E6677F" w:rsidRPr="0054775B">
        <w:rPr>
          <w:rFonts w:ascii="Aptos" w:hAnsi="Aptos"/>
        </w:rPr>
        <w:t>/inactive control</w:t>
      </w:r>
      <w:r w:rsidRPr="0054775B">
        <w:rPr>
          <w:rFonts w:ascii="Aptos" w:hAnsi="Aptos"/>
        </w:rPr>
        <w:t xml:space="preserve"> for IBS</w:t>
      </w:r>
      <w:bookmarkEnd w:id="72"/>
    </w:p>
    <w:tbl>
      <w:tblPr>
        <w:tblpPr w:leftFromText="180" w:rightFromText="180" w:vertAnchor="text" w:tblpY="1"/>
        <w:tblOverlap w:val="never"/>
        <w:tblW w:w="4662" w:type="pct"/>
        <w:tblLayout w:type="fixed"/>
        <w:tblCellMar>
          <w:top w:w="28" w:type="dxa"/>
          <w:left w:w="57" w:type="dxa"/>
          <w:bottom w:w="28" w:type="dxa"/>
          <w:right w:w="28" w:type="dxa"/>
        </w:tblCellMar>
        <w:tblLook w:val="04A0" w:firstRow="1" w:lastRow="0" w:firstColumn="1" w:lastColumn="0" w:noHBand="0" w:noVBand="1"/>
      </w:tblPr>
      <w:tblGrid>
        <w:gridCol w:w="836"/>
        <w:gridCol w:w="3768"/>
        <w:gridCol w:w="1256"/>
        <w:gridCol w:w="1395"/>
        <w:gridCol w:w="1395"/>
        <w:gridCol w:w="1256"/>
        <w:gridCol w:w="1256"/>
        <w:gridCol w:w="3014"/>
      </w:tblGrid>
      <w:tr w:rsidR="00AF16A2" w:rsidRPr="0054775B" w14:paraId="77273E91" w14:textId="77777777" w:rsidTr="00AF16A2">
        <w:trPr>
          <w:cantSplit/>
        </w:trPr>
        <w:tc>
          <w:tcPr>
            <w:tcW w:w="5000" w:type="pct"/>
            <w:gridSpan w:val="8"/>
            <w:tcBorders>
              <w:top w:val="single" w:sz="12" w:space="0" w:color="000000"/>
              <w:left w:val="nil"/>
              <w:bottom w:val="single" w:sz="12" w:space="0" w:color="000000"/>
              <w:right w:val="nil"/>
            </w:tcBorders>
          </w:tcPr>
          <w:p w14:paraId="71666363" w14:textId="0741FCCF" w:rsidR="00AF16A2" w:rsidRPr="0054775B" w:rsidRDefault="00AF16A2" w:rsidP="00603677">
            <w:pPr>
              <w:pStyle w:val="2024TABLETEXT"/>
              <w:framePr w:hSpace="0" w:wrap="auto" w:vAnchor="margin" w:yAlign="inline"/>
              <w:suppressOverlap w:val="0"/>
              <w:rPr>
                <w:rStyle w:val="Strong"/>
              </w:rPr>
            </w:pPr>
            <w:r w:rsidRPr="0054775B">
              <w:rPr>
                <w:rStyle w:val="Strong"/>
                <w:b w:val="0"/>
                <w:bCs w:val="0"/>
              </w:rPr>
              <w:t>Patient or population:</w:t>
            </w:r>
            <w:r w:rsidRPr="0054775B">
              <w:rPr>
                <w:rStyle w:val="Strong"/>
              </w:rPr>
              <w:t xml:space="preserve"> IBS</w:t>
            </w:r>
          </w:p>
          <w:p w14:paraId="7FFFC5D2" w14:textId="586405DC" w:rsidR="00AF16A2" w:rsidRPr="0054775B" w:rsidRDefault="00AF16A2" w:rsidP="00603677">
            <w:pPr>
              <w:pStyle w:val="2024TABLETEXT"/>
              <w:framePr w:hSpace="0" w:wrap="auto" w:vAnchor="margin" w:yAlign="inline"/>
              <w:suppressOverlap w:val="0"/>
              <w:rPr>
                <w:rStyle w:val="Strong"/>
              </w:rPr>
            </w:pPr>
            <w:r w:rsidRPr="0054775B">
              <w:rPr>
                <w:rStyle w:val="Strong"/>
                <w:b w:val="0"/>
                <w:bCs w:val="0"/>
              </w:rPr>
              <w:t>Intervention:</w:t>
            </w:r>
            <w:r w:rsidRPr="0054775B">
              <w:rPr>
                <w:rStyle w:val="Strong"/>
              </w:rPr>
              <w:t xml:space="preserve"> Probiotics + naturopathy co-intervention</w:t>
            </w:r>
          </w:p>
          <w:p w14:paraId="0DCFC78E" w14:textId="7ABC209B" w:rsidR="00AF16A2" w:rsidRPr="0054775B" w:rsidRDefault="00AF16A2" w:rsidP="00603677">
            <w:pPr>
              <w:pStyle w:val="2024TABLETEXT"/>
              <w:framePr w:hSpace="0" w:wrap="auto" w:vAnchor="margin" w:yAlign="inline"/>
              <w:suppressOverlap w:val="0"/>
            </w:pPr>
            <w:r w:rsidRPr="0054775B">
              <w:rPr>
                <w:rStyle w:val="Strong"/>
                <w:b w:val="0"/>
                <w:bCs w:val="0"/>
              </w:rPr>
              <w:t>Comparison:</w:t>
            </w:r>
            <w:r w:rsidRPr="0054775B">
              <w:rPr>
                <w:rStyle w:val="Strong"/>
              </w:rPr>
              <w:t xml:space="preserve">  Placebo</w:t>
            </w:r>
            <w:r w:rsidRPr="0054775B">
              <w:rPr>
                <w:b/>
                <w:bCs/>
              </w:rPr>
              <w:t>/inactive control</w:t>
            </w:r>
          </w:p>
        </w:tc>
      </w:tr>
      <w:tr w:rsidR="00336D2E" w:rsidRPr="0054775B" w14:paraId="48247093" w14:textId="77777777" w:rsidTr="005A2736">
        <w:trPr>
          <w:cantSplit/>
          <w:trHeight w:val="567"/>
        </w:trPr>
        <w:tc>
          <w:tcPr>
            <w:tcW w:w="295" w:type="pct"/>
            <w:tcBorders>
              <w:right w:val="single" w:sz="6" w:space="0" w:color="EFEFEF"/>
            </w:tcBorders>
            <w:shd w:val="clear" w:color="auto" w:fill="FFE599" w:themeFill="accent4" w:themeFillTint="66"/>
            <w:vAlign w:val="bottom"/>
          </w:tcPr>
          <w:p w14:paraId="3798326B" w14:textId="77777777" w:rsidR="00AA4B7E" w:rsidRPr="0054775B" w:rsidRDefault="00AA4B7E" w:rsidP="00515FE7">
            <w:pPr>
              <w:pStyle w:val="2024TABLEHEADER"/>
            </w:pPr>
            <w:r w:rsidRPr="0054775B">
              <w:t>NTWC Rating*</w:t>
            </w:r>
          </w:p>
        </w:tc>
        <w:tc>
          <w:tcPr>
            <w:tcW w:w="1329" w:type="pct"/>
            <w:tcBorders>
              <w:right w:val="single" w:sz="6" w:space="0" w:color="EFEFEF"/>
            </w:tcBorders>
            <w:shd w:val="clear" w:color="auto" w:fill="FFE599" w:themeFill="accent4" w:themeFillTint="66"/>
            <w:vAlign w:val="bottom"/>
            <w:hideMark/>
          </w:tcPr>
          <w:p w14:paraId="64D3025E" w14:textId="77777777" w:rsidR="00AA4B7E" w:rsidRPr="0054775B" w:rsidRDefault="00AA4B7E" w:rsidP="00515FE7">
            <w:pPr>
              <w:pStyle w:val="2024TABLEHEADER"/>
            </w:pPr>
            <w:r w:rsidRPr="0054775B">
              <w:t>Outcomes</w:t>
            </w:r>
          </w:p>
        </w:tc>
        <w:tc>
          <w:tcPr>
            <w:tcW w:w="443" w:type="pct"/>
            <w:shd w:val="clear" w:color="auto" w:fill="FFF2CC" w:themeFill="accent4" w:themeFillTint="33"/>
            <w:vAlign w:val="bottom"/>
          </w:tcPr>
          <w:p w14:paraId="0E0EC5A4" w14:textId="6A3BAA4E" w:rsidR="00AA4B7E" w:rsidRPr="0054775B" w:rsidRDefault="00AA4B7E" w:rsidP="00515FE7">
            <w:pPr>
              <w:pStyle w:val="2024TABLEHEADER"/>
            </w:pPr>
            <w:r w:rsidRPr="0054775B">
              <w:t>Contributing review</w:t>
            </w:r>
          </w:p>
        </w:tc>
        <w:tc>
          <w:tcPr>
            <w:tcW w:w="492" w:type="pct"/>
            <w:shd w:val="clear" w:color="auto" w:fill="E0E0E0"/>
            <w:vAlign w:val="bottom"/>
          </w:tcPr>
          <w:p w14:paraId="44D3FF6B" w14:textId="23917EB4" w:rsidR="00AA4B7E" w:rsidRPr="0054775B" w:rsidRDefault="00AA4B7E" w:rsidP="005A2736">
            <w:pPr>
              <w:pStyle w:val="2024TABLEHEADER"/>
            </w:pPr>
            <w:r>
              <w:t>Absolute effect (95% CI)</w:t>
            </w:r>
          </w:p>
        </w:tc>
        <w:tc>
          <w:tcPr>
            <w:tcW w:w="492" w:type="pct"/>
            <w:tcBorders>
              <w:top w:val="single" w:sz="6" w:space="0" w:color="EFEFEF"/>
              <w:right w:val="single" w:sz="6" w:space="0" w:color="EFEFEF"/>
            </w:tcBorders>
            <w:shd w:val="clear" w:color="auto" w:fill="E0E0E0"/>
            <w:vAlign w:val="bottom"/>
          </w:tcPr>
          <w:p w14:paraId="67C0D0DC" w14:textId="330E40AD" w:rsidR="00AA4B7E" w:rsidRPr="0054775B" w:rsidRDefault="00AA4B7E" w:rsidP="005A2736">
            <w:pPr>
              <w:pStyle w:val="2024TABLEHEADER"/>
            </w:pPr>
            <w:r w:rsidRPr="0054775B">
              <w:t>Relative effect</w:t>
            </w:r>
            <w:r w:rsidRPr="0054775B">
              <w:br/>
              <w:t>(95% CI)</w:t>
            </w:r>
          </w:p>
        </w:tc>
        <w:tc>
          <w:tcPr>
            <w:tcW w:w="443" w:type="pct"/>
            <w:tcBorders>
              <w:right w:val="single" w:sz="6" w:space="0" w:color="EFEFEF"/>
            </w:tcBorders>
            <w:shd w:val="clear" w:color="auto" w:fill="FFE599" w:themeFill="accent4" w:themeFillTint="66"/>
            <w:vAlign w:val="bottom"/>
            <w:hideMark/>
          </w:tcPr>
          <w:p w14:paraId="6B196F2C" w14:textId="77777777" w:rsidR="00AA4B7E" w:rsidRPr="0054775B" w:rsidRDefault="00AA4B7E" w:rsidP="00515FE7">
            <w:pPr>
              <w:pStyle w:val="2024TABLEHEADER"/>
            </w:pPr>
            <w:r w:rsidRPr="0054775B">
              <w:t>№ of participants</w:t>
            </w:r>
            <w:r w:rsidRPr="0054775B">
              <w:br/>
              <w:t>(studies)</w:t>
            </w:r>
          </w:p>
        </w:tc>
        <w:tc>
          <w:tcPr>
            <w:tcW w:w="443" w:type="pct"/>
            <w:tcBorders>
              <w:right w:val="single" w:sz="6" w:space="0" w:color="EFEFEF"/>
            </w:tcBorders>
            <w:shd w:val="clear" w:color="auto" w:fill="FFE599" w:themeFill="accent4" w:themeFillTint="66"/>
            <w:vAlign w:val="bottom"/>
            <w:hideMark/>
          </w:tcPr>
          <w:p w14:paraId="49CAD05D" w14:textId="77777777" w:rsidR="00AA4B7E" w:rsidRPr="0054775B" w:rsidRDefault="00AA4B7E" w:rsidP="00515FE7">
            <w:pPr>
              <w:pStyle w:val="2024TABLEHEADER"/>
            </w:pPr>
            <w:r w:rsidRPr="0054775B">
              <w:t>Certainty of the evidence</w:t>
            </w:r>
            <w:r w:rsidRPr="0054775B">
              <w:br/>
              <w:t>(GRADE)</w:t>
            </w:r>
          </w:p>
        </w:tc>
        <w:tc>
          <w:tcPr>
            <w:tcW w:w="1063" w:type="pct"/>
            <w:tcBorders>
              <w:right w:val="single" w:sz="6" w:space="0" w:color="EFEFEF"/>
            </w:tcBorders>
            <w:shd w:val="clear" w:color="auto" w:fill="FFE599" w:themeFill="accent4" w:themeFillTint="66"/>
            <w:vAlign w:val="bottom"/>
            <w:hideMark/>
          </w:tcPr>
          <w:p w14:paraId="04A8507D" w14:textId="77777777" w:rsidR="00AA4B7E" w:rsidRPr="0054775B" w:rsidRDefault="00AA4B7E" w:rsidP="00515FE7">
            <w:pPr>
              <w:pStyle w:val="2024TABLEHEADER"/>
            </w:pPr>
            <w:r w:rsidRPr="0054775B">
              <w:t>Evidence statement</w:t>
            </w:r>
          </w:p>
        </w:tc>
      </w:tr>
      <w:tr w:rsidR="00CA696B" w:rsidRPr="0054775B" w14:paraId="3CC46790" w14:textId="77777777" w:rsidTr="001428E8">
        <w:trPr>
          <w:cantSplit/>
          <w:trHeight w:val="671"/>
        </w:trPr>
        <w:tc>
          <w:tcPr>
            <w:tcW w:w="295" w:type="pct"/>
            <w:tcBorders>
              <w:top w:val="single" w:sz="6" w:space="0" w:color="000000"/>
              <w:left w:val="nil"/>
              <w:bottom w:val="single" w:sz="6" w:space="0" w:color="000000"/>
              <w:right w:val="nil"/>
            </w:tcBorders>
            <w:vAlign w:val="center"/>
          </w:tcPr>
          <w:p w14:paraId="38FF94D7" w14:textId="51EB2228" w:rsidR="00AA4B7E" w:rsidRPr="0054775B" w:rsidRDefault="00AA4B7E" w:rsidP="00761AFF">
            <w:pPr>
              <w:pStyle w:val="2024TABLETEXT"/>
              <w:framePr w:hSpace="0" w:wrap="auto" w:vAnchor="margin" w:yAlign="inline"/>
              <w:suppressOverlap w:val="0"/>
              <w:jc w:val="center"/>
            </w:pPr>
            <w:r w:rsidRPr="0054775B">
              <w:t>9</w:t>
            </w:r>
          </w:p>
        </w:tc>
        <w:tc>
          <w:tcPr>
            <w:tcW w:w="1329" w:type="pct"/>
            <w:tcBorders>
              <w:top w:val="single" w:sz="6" w:space="0" w:color="000000"/>
              <w:left w:val="nil"/>
              <w:bottom w:val="single" w:sz="6" w:space="0" w:color="000000"/>
              <w:right w:val="nil"/>
            </w:tcBorders>
            <w:vAlign w:val="center"/>
            <w:hideMark/>
          </w:tcPr>
          <w:p w14:paraId="0813D1A6" w14:textId="77777777" w:rsidR="00AA4B7E" w:rsidRPr="0054775B" w:rsidRDefault="00AA4B7E" w:rsidP="004B3A33">
            <w:pPr>
              <w:pStyle w:val="2024TABLETEXT"/>
              <w:framePr w:hSpace="0" w:wrap="auto" w:vAnchor="margin" w:yAlign="inline"/>
              <w:spacing w:after="120"/>
              <w:suppressOverlap w:val="0"/>
              <w:rPr>
                <w:b/>
                <w:bCs/>
              </w:rPr>
            </w:pPr>
            <w:r w:rsidRPr="0054775B">
              <w:rPr>
                <w:b/>
                <w:bCs/>
              </w:rPr>
              <w:t>Global improvement of IBS</w:t>
            </w:r>
          </w:p>
          <w:p w14:paraId="735CCBE1" w14:textId="319A7513" w:rsidR="00AA4B7E" w:rsidRPr="0054775B" w:rsidRDefault="00AA4B7E" w:rsidP="0072395F">
            <w:pPr>
              <w:pStyle w:val="2024TABLETEXT"/>
              <w:framePr w:hSpace="0" w:wrap="auto" w:vAnchor="margin" w:yAlign="inline"/>
              <w:ind w:left="370"/>
              <w:suppressOverlap w:val="0"/>
            </w:pPr>
            <w:r w:rsidRPr="0054775B">
              <w:rPr>
                <w:b/>
                <w:bCs/>
              </w:rPr>
              <w:t>Dose:</w:t>
            </w:r>
            <w:r w:rsidRPr="0054775B">
              <w:t xml:space="preserve"> Probiotics (Lactobacillus acidophilus, CUL60, CUL21, Bifidobacterium bifidum CUL20 and Bifidobacterium animalis subsp. lactis CUL34 2.5 × 10</w:t>
            </w:r>
            <w:r w:rsidRPr="0054775B">
              <w:rPr>
                <w:vertAlign w:val="superscript"/>
              </w:rPr>
              <w:t xml:space="preserve">10 </w:t>
            </w:r>
            <w:r w:rsidRPr="0054775B">
              <w:t>CFU per capsule; Vitamin D3 (3000 IU)</w:t>
            </w:r>
          </w:p>
          <w:p w14:paraId="176AE211" w14:textId="1DF5D09E" w:rsidR="00AA4B7E" w:rsidRPr="0054775B" w:rsidRDefault="00AA4B7E" w:rsidP="007B0D85">
            <w:pPr>
              <w:pStyle w:val="2024TABLETEXT"/>
              <w:framePr w:hSpace="0" w:wrap="auto" w:vAnchor="margin" w:yAlign="inline"/>
              <w:ind w:left="370"/>
              <w:suppressOverlap w:val="0"/>
            </w:pPr>
            <w:r w:rsidRPr="0054775B">
              <w:rPr>
                <w:b/>
                <w:bCs/>
              </w:rPr>
              <w:t>Assessed with:</w:t>
            </w:r>
            <w:r w:rsidRPr="0054775B">
              <w:t xml:space="preserve"> Questionnaire</w:t>
            </w:r>
          </w:p>
          <w:p w14:paraId="51523607" w14:textId="3B6AC608" w:rsidR="00AA4B7E" w:rsidRPr="0054775B" w:rsidRDefault="00AA4B7E" w:rsidP="007B0D85">
            <w:pPr>
              <w:pStyle w:val="2024TABLETEXT"/>
              <w:framePr w:hSpace="0" w:wrap="auto" w:vAnchor="margin" w:yAlign="inline"/>
              <w:ind w:left="370"/>
              <w:suppressOverlap w:val="0"/>
              <w:rPr>
                <w:color w:val="000000" w:themeColor="text1"/>
              </w:rPr>
            </w:pPr>
            <w:r w:rsidRPr="0054775B">
              <w:rPr>
                <w:b/>
                <w:bCs/>
              </w:rPr>
              <w:t xml:space="preserve">Follow-up: </w:t>
            </w:r>
            <w:r w:rsidRPr="0054775B">
              <w:t>12 weeks</w:t>
            </w:r>
          </w:p>
        </w:tc>
        <w:tc>
          <w:tcPr>
            <w:tcW w:w="443" w:type="pct"/>
            <w:tcBorders>
              <w:top w:val="single" w:sz="6" w:space="0" w:color="000000"/>
              <w:left w:val="nil"/>
              <w:bottom w:val="single" w:sz="6" w:space="0" w:color="000000"/>
              <w:right w:val="nil"/>
            </w:tcBorders>
            <w:vAlign w:val="center"/>
          </w:tcPr>
          <w:p w14:paraId="59EF7EE9" w14:textId="04137A66" w:rsidR="00AA4B7E" w:rsidRPr="0054775B" w:rsidRDefault="00AA4B7E" w:rsidP="00603677">
            <w:pPr>
              <w:pStyle w:val="2024TABLETEXT"/>
              <w:framePr w:hSpace="0" w:wrap="auto" w:vAnchor="margin" w:yAlign="inline"/>
              <w:suppressOverlap w:val="0"/>
            </w:pPr>
            <w:r w:rsidRPr="0054775B">
              <w:t>Abboud 2020</w:t>
            </w:r>
          </w:p>
        </w:tc>
        <w:tc>
          <w:tcPr>
            <w:tcW w:w="492" w:type="pct"/>
            <w:tcBorders>
              <w:top w:val="single" w:sz="6" w:space="0" w:color="000000"/>
              <w:left w:val="nil"/>
              <w:bottom w:val="single" w:sz="6" w:space="0" w:color="000000"/>
              <w:right w:val="nil"/>
            </w:tcBorders>
            <w:vAlign w:val="center"/>
          </w:tcPr>
          <w:p w14:paraId="4B2CF998" w14:textId="73D95C6B" w:rsidR="00AA4B7E" w:rsidRDefault="005A2736" w:rsidP="00AB40D0">
            <w:pPr>
              <w:pStyle w:val="2024TABLETEXT"/>
              <w:framePr w:hSpace="0" w:wrap="auto" w:vAnchor="margin" w:yAlign="inline"/>
              <w:suppressOverlap w:val="0"/>
            </w:pPr>
            <w:r>
              <w:t>NR</w:t>
            </w:r>
          </w:p>
        </w:tc>
        <w:tc>
          <w:tcPr>
            <w:tcW w:w="492" w:type="pct"/>
            <w:tcBorders>
              <w:top w:val="single" w:sz="6" w:space="0" w:color="000000"/>
              <w:left w:val="nil"/>
              <w:bottom w:val="single" w:sz="6" w:space="0" w:color="000000"/>
              <w:right w:val="nil"/>
            </w:tcBorders>
            <w:shd w:val="clear" w:color="auto" w:fill="auto"/>
            <w:vAlign w:val="center"/>
          </w:tcPr>
          <w:p w14:paraId="53E49EB7" w14:textId="568AC006" w:rsidR="00AA4B7E" w:rsidRPr="0054775B" w:rsidRDefault="00AB40D0" w:rsidP="00AB40D0">
            <w:pPr>
              <w:pStyle w:val="2024TABLETEXT"/>
              <w:framePr w:hSpace="0" w:wrap="auto" w:vAnchor="margin" w:yAlign="inline"/>
              <w:suppressOverlap w:val="0"/>
            </w:pPr>
            <w:r>
              <w:t>Effect sizes NR</w:t>
            </w:r>
            <w:r w:rsidR="00BD21CA">
              <w:t>^</w:t>
            </w:r>
          </w:p>
        </w:tc>
        <w:tc>
          <w:tcPr>
            <w:tcW w:w="443" w:type="pct"/>
            <w:tcBorders>
              <w:top w:val="single" w:sz="6" w:space="0" w:color="000000"/>
              <w:left w:val="nil"/>
              <w:bottom w:val="single" w:sz="6" w:space="0" w:color="000000"/>
              <w:right w:val="nil"/>
            </w:tcBorders>
            <w:vAlign w:val="center"/>
          </w:tcPr>
          <w:p w14:paraId="04A9A5CE" w14:textId="1265EE75" w:rsidR="00AA4B7E" w:rsidRPr="0054775B" w:rsidRDefault="00AA4B7E" w:rsidP="00603677">
            <w:pPr>
              <w:pStyle w:val="2024TABLETEXT"/>
              <w:framePr w:hSpace="0" w:wrap="auto" w:vAnchor="margin" w:yAlign="inline"/>
              <w:suppressOverlap w:val="0"/>
            </w:pPr>
            <w:r w:rsidRPr="0054775B">
              <w:t>51 (1)</w:t>
            </w:r>
          </w:p>
        </w:tc>
        <w:tc>
          <w:tcPr>
            <w:tcW w:w="443" w:type="pct"/>
            <w:tcBorders>
              <w:top w:val="single" w:sz="6" w:space="0" w:color="000000"/>
              <w:left w:val="nil"/>
              <w:bottom w:val="single" w:sz="6" w:space="0" w:color="000000"/>
              <w:right w:val="nil"/>
            </w:tcBorders>
            <w:vAlign w:val="center"/>
          </w:tcPr>
          <w:p w14:paraId="7B4A82B5" w14:textId="6EC39C16" w:rsidR="00AA4B7E" w:rsidRPr="0054775B" w:rsidRDefault="00AA4B7E" w:rsidP="00603677">
            <w:pPr>
              <w:pStyle w:val="2024TABLETEXT"/>
              <w:framePr w:hSpace="0" w:wrap="auto" w:vAnchor="margin" w:yAlign="inline"/>
              <w:suppressOverlap w:val="0"/>
              <w:rPr>
                <w:rStyle w:val="FootnoteReference"/>
                <w:caps/>
              </w:rPr>
            </w:pPr>
            <w:r w:rsidRPr="0054775B">
              <w:rPr>
                <w:rFonts w:ascii="Cambria Math" w:hAnsi="Cambria Math" w:cs="Cambria Math"/>
                <w:sz w:val="22"/>
                <w:szCs w:val="22"/>
              </w:rPr>
              <w:t>⨁</w:t>
            </w:r>
            <w:r w:rsidRPr="0054775B">
              <w:rPr>
                <w:rFonts w:ascii="Segoe UI Symbol" w:hAnsi="Segoe UI Symbol" w:cs="Segoe UI Symbol"/>
              </w:rPr>
              <w:t>◯◯◯</w:t>
            </w:r>
            <w:r w:rsidRPr="0054775B">
              <w:br/>
              <w:t>VERY LOW</w:t>
            </w:r>
            <w:r w:rsidRPr="0054775B">
              <w:rPr>
                <w:rStyle w:val="FootnoteReference"/>
              </w:rPr>
              <w:t xml:space="preserve"> a</w:t>
            </w:r>
          </w:p>
        </w:tc>
        <w:tc>
          <w:tcPr>
            <w:tcW w:w="1063" w:type="pct"/>
            <w:tcBorders>
              <w:top w:val="single" w:sz="6" w:space="0" w:color="000000"/>
              <w:left w:val="nil"/>
              <w:bottom w:val="single" w:sz="6" w:space="0" w:color="000000"/>
              <w:right w:val="nil"/>
            </w:tcBorders>
            <w:vAlign w:val="center"/>
          </w:tcPr>
          <w:p w14:paraId="748566C4" w14:textId="241FF88B" w:rsidR="00AA4B7E" w:rsidRPr="0054775B" w:rsidRDefault="00AA4B7E" w:rsidP="00603677">
            <w:pPr>
              <w:pStyle w:val="2024TABLETEXT"/>
              <w:framePr w:hSpace="0" w:wrap="auto" w:vAnchor="margin" w:yAlign="inline"/>
              <w:suppressOverlap w:val="0"/>
            </w:pPr>
            <w:r w:rsidRPr="0054775B">
              <w:t xml:space="preserve">The evidence is very uncertain about the effect of probiotics + naturopathy co-intervention on global improvement of IBS for </w:t>
            </w:r>
            <w:r w:rsidR="000310D7">
              <w:t xml:space="preserve">people with </w:t>
            </w:r>
            <w:r w:rsidRPr="0054775B">
              <w:t>IBS.</w:t>
            </w:r>
          </w:p>
        </w:tc>
      </w:tr>
      <w:tr w:rsidR="00CA696B" w:rsidRPr="0054775B" w14:paraId="61CCFB85" w14:textId="77777777" w:rsidTr="001428E8">
        <w:trPr>
          <w:cantSplit/>
        </w:trPr>
        <w:tc>
          <w:tcPr>
            <w:tcW w:w="295" w:type="pct"/>
            <w:tcBorders>
              <w:top w:val="single" w:sz="6" w:space="0" w:color="000000"/>
              <w:left w:val="nil"/>
              <w:bottom w:val="single" w:sz="6" w:space="0" w:color="000000"/>
              <w:right w:val="nil"/>
            </w:tcBorders>
            <w:vAlign w:val="center"/>
          </w:tcPr>
          <w:p w14:paraId="55C5CA9D" w14:textId="4BC4B16C" w:rsidR="00AA4B7E" w:rsidRPr="0054775B" w:rsidRDefault="00AA4B7E" w:rsidP="00761AFF">
            <w:pPr>
              <w:pStyle w:val="2024TABLETEXT"/>
              <w:framePr w:hSpace="0" w:wrap="auto" w:vAnchor="margin" w:yAlign="inline"/>
              <w:suppressOverlap w:val="0"/>
              <w:jc w:val="center"/>
            </w:pPr>
            <w:r w:rsidRPr="0054775B">
              <w:t>8</w:t>
            </w:r>
          </w:p>
        </w:tc>
        <w:tc>
          <w:tcPr>
            <w:tcW w:w="1329" w:type="pct"/>
            <w:tcBorders>
              <w:top w:val="single" w:sz="6" w:space="0" w:color="000000"/>
              <w:left w:val="nil"/>
              <w:bottom w:val="single" w:sz="6" w:space="0" w:color="000000"/>
              <w:right w:val="nil"/>
            </w:tcBorders>
            <w:vAlign w:val="center"/>
          </w:tcPr>
          <w:p w14:paraId="1FFAD7EE" w14:textId="06EB6A21" w:rsidR="00AA4B7E" w:rsidRPr="0054775B" w:rsidRDefault="00AA4B7E" w:rsidP="007B0D85">
            <w:pPr>
              <w:pStyle w:val="2024TABLETEXT"/>
              <w:framePr w:hSpace="0" w:wrap="auto" w:vAnchor="margin" w:yAlign="inline"/>
              <w:ind w:left="85"/>
              <w:suppressOverlap w:val="0"/>
              <w:rPr>
                <w:b/>
                <w:bCs/>
              </w:rPr>
            </w:pPr>
            <w:r w:rsidRPr="0054775B">
              <w:rPr>
                <w:b/>
                <w:bCs/>
              </w:rPr>
              <w:t>Abdominal pain burden</w:t>
            </w:r>
          </w:p>
        </w:tc>
        <w:tc>
          <w:tcPr>
            <w:tcW w:w="443" w:type="pct"/>
            <w:tcBorders>
              <w:top w:val="single" w:sz="6" w:space="0" w:color="000000"/>
              <w:left w:val="nil"/>
              <w:bottom w:val="single" w:sz="6" w:space="0" w:color="000000"/>
              <w:right w:val="nil"/>
            </w:tcBorders>
            <w:vAlign w:val="center"/>
          </w:tcPr>
          <w:p w14:paraId="753A98B4" w14:textId="625BBA54" w:rsidR="00AA4B7E" w:rsidRPr="0054775B" w:rsidRDefault="00AA4B7E" w:rsidP="00603677">
            <w:pPr>
              <w:pStyle w:val="2024TABLETEXT"/>
              <w:framePr w:hSpace="0" w:wrap="auto" w:vAnchor="margin" w:yAlign="inline"/>
              <w:suppressOverlap w:val="0"/>
            </w:pPr>
            <w:r w:rsidRPr="0054775B">
              <w:t>-</w:t>
            </w:r>
          </w:p>
        </w:tc>
        <w:tc>
          <w:tcPr>
            <w:tcW w:w="492" w:type="pct"/>
            <w:tcBorders>
              <w:top w:val="single" w:sz="6" w:space="0" w:color="000000"/>
              <w:left w:val="nil"/>
              <w:bottom w:val="single" w:sz="6" w:space="0" w:color="000000"/>
              <w:right w:val="nil"/>
            </w:tcBorders>
          </w:tcPr>
          <w:p w14:paraId="050466BA" w14:textId="3CC019C1" w:rsidR="00AA4B7E" w:rsidRPr="0054775B" w:rsidRDefault="005A2736" w:rsidP="00603677">
            <w:pPr>
              <w:pStyle w:val="2024TABLETEXT"/>
              <w:framePr w:hSpace="0" w:wrap="auto" w:vAnchor="margin" w:yAlign="inline"/>
              <w:suppressOverlap w:val="0"/>
            </w:pPr>
            <w:r>
              <w:t>-</w:t>
            </w:r>
          </w:p>
        </w:tc>
        <w:tc>
          <w:tcPr>
            <w:tcW w:w="492" w:type="pct"/>
            <w:tcBorders>
              <w:top w:val="single" w:sz="6" w:space="0" w:color="000000"/>
              <w:left w:val="nil"/>
              <w:bottom w:val="single" w:sz="6" w:space="0" w:color="000000"/>
              <w:right w:val="nil"/>
            </w:tcBorders>
            <w:shd w:val="clear" w:color="auto" w:fill="auto"/>
            <w:vAlign w:val="center"/>
          </w:tcPr>
          <w:p w14:paraId="64012A06" w14:textId="0474844E" w:rsidR="00AA4B7E" w:rsidRPr="0054775B" w:rsidRDefault="00AA4B7E" w:rsidP="00603677">
            <w:pPr>
              <w:pStyle w:val="2024TABLETEXT"/>
              <w:framePr w:hSpace="0" w:wrap="auto" w:vAnchor="margin" w:yAlign="inline"/>
              <w:suppressOverlap w:val="0"/>
            </w:pPr>
            <w:r w:rsidRPr="0054775B">
              <w:t>-</w:t>
            </w:r>
          </w:p>
        </w:tc>
        <w:tc>
          <w:tcPr>
            <w:tcW w:w="443" w:type="pct"/>
            <w:tcBorders>
              <w:top w:val="single" w:sz="6" w:space="0" w:color="000000"/>
              <w:left w:val="nil"/>
              <w:bottom w:val="single" w:sz="6" w:space="0" w:color="000000"/>
              <w:right w:val="nil"/>
            </w:tcBorders>
            <w:vAlign w:val="center"/>
          </w:tcPr>
          <w:p w14:paraId="1BB612F4" w14:textId="7346639B" w:rsidR="00AA4B7E" w:rsidRPr="0054775B" w:rsidRDefault="00AA4B7E" w:rsidP="00603677">
            <w:pPr>
              <w:pStyle w:val="2024TABLETEXT"/>
              <w:framePr w:hSpace="0" w:wrap="auto" w:vAnchor="margin" w:yAlign="inline"/>
              <w:suppressOverlap w:val="0"/>
            </w:pPr>
            <w:r w:rsidRPr="0054775B">
              <w:t>-</w:t>
            </w:r>
          </w:p>
        </w:tc>
        <w:tc>
          <w:tcPr>
            <w:tcW w:w="443" w:type="pct"/>
            <w:tcBorders>
              <w:top w:val="single" w:sz="6" w:space="0" w:color="000000"/>
              <w:left w:val="nil"/>
              <w:bottom w:val="single" w:sz="6" w:space="0" w:color="000000"/>
              <w:right w:val="nil"/>
            </w:tcBorders>
            <w:vAlign w:val="center"/>
          </w:tcPr>
          <w:p w14:paraId="3301EE43" w14:textId="6E6827EB" w:rsidR="00AA4B7E" w:rsidRPr="0054775B" w:rsidRDefault="00AA4B7E" w:rsidP="00603677">
            <w:pPr>
              <w:pStyle w:val="2024TABLETEXT"/>
              <w:framePr w:hSpace="0" w:wrap="auto" w:vAnchor="margin" w:yAlign="inline"/>
              <w:suppressOverlap w:val="0"/>
            </w:pPr>
            <w:r w:rsidRPr="0054775B">
              <w:t>-</w:t>
            </w:r>
          </w:p>
        </w:tc>
        <w:tc>
          <w:tcPr>
            <w:tcW w:w="1063" w:type="pct"/>
            <w:tcBorders>
              <w:top w:val="single" w:sz="6" w:space="0" w:color="000000"/>
              <w:left w:val="nil"/>
              <w:bottom w:val="single" w:sz="6" w:space="0" w:color="000000"/>
              <w:right w:val="nil"/>
            </w:tcBorders>
            <w:vAlign w:val="center"/>
          </w:tcPr>
          <w:p w14:paraId="6C1E4F16" w14:textId="113F18A8" w:rsidR="00AA4B7E" w:rsidRPr="0054775B" w:rsidRDefault="00AA4B7E" w:rsidP="00603677">
            <w:pPr>
              <w:pStyle w:val="2024TABLETEXT"/>
              <w:framePr w:hSpace="0" w:wrap="auto" w:vAnchor="margin" w:yAlign="inline"/>
              <w:suppressOverlap w:val="0"/>
            </w:pPr>
            <w:r w:rsidRPr="0054775B">
              <w:t xml:space="preserve">No </w:t>
            </w:r>
            <w:r>
              <w:t>reviews</w:t>
            </w:r>
            <w:r w:rsidRPr="0054775B">
              <w:t xml:space="preserve"> found. The effect of probiotics + naturopathy co-intervention on improvement in abdominal pain burden for</w:t>
            </w:r>
            <w:r w:rsidR="000310D7">
              <w:t xml:space="preserve"> people with</w:t>
            </w:r>
            <w:r w:rsidRPr="0054775B">
              <w:t xml:space="preserve"> IBS is unknown.</w:t>
            </w:r>
          </w:p>
        </w:tc>
      </w:tr>
      <w:tr w:rsidR="00CA696B" w:rsidRPr="0054775B" w14:paraId="03E376C8" w14:textId="77777777" w:rsidTr="001428E8">
        <w:trPr>
          <w:cantSplit/>
          <w:trHeight w:val="559"/>
        </w:trPr>
        <w:tc>
          <w:tcPr>
            <w:tcW w:w="295" w:type="pct"/>
            <w:tcBorders>
              <w:top w:val="single" w:sz="6" w:space="0" w:color="000000"/>
              <w:left w:val="nil"/>
              <w:bottom w:val="single" w:sz="6" w:space="0" w:color="000000"/>
              <w:right w:val="nil"/>
            </w:tcBorders>
            <w:vAlign w:val="center"/>
          </w:tcPr>
          <w:p w14:paraId="0FDA192D" w14:textId="62B5FF89" w:rsidR="00AA4B7E" w:rsidRPr="0054775B" w:rsidRDefault="00AA4B7E" w:rsidP="00761AFF">
            <w:pPr>
              <w:pStyle w:val="2024TABLETEXT"/>
              <w:framePr w:hSpace="0" w:wrap="auto" w:vAnchor="margin" w:yAlign="inline"/>
              <w:suppressOverlap w:val="0"/>
              <w:jc w:val="center"/>
            </w:pPr>
            <w:r w:rsidRPr="0054775B">
              <w:t>8</w:t>
            </w:r>
          </w:p>
        </w:tc>
        <w:tc>
          <w:tcPr>
            <w:tcW w:w="1329" w:type="pct"/>
            <w:tcBorders>
              <w:top w:val="single" w:sz="6" w:space="0" w:color="000000"/>
              <w:left w:val="nil"/>
              <w:bottom w:val="single" w:sz="6" w:space="0" w:color="000000"/>
              <w:right w:val="nil"/>
            </w:tcBorders>
            <w:vAlign w:val="center"/>
          </w:tcPr>
          <w:p w14:paraId="3D04907D" w14:textId="0E0B75B8" w:rsidR="00AA4B7E" w:rsidRPr="0054775B" w:rsidRDefault="00AA4B7E" w:rsidP="007B0D85">
            <w:pPr>
              <w:pStyle w:val="2024TABLETEXT"/>
              <w:framePr w:hSpace="0" w:wrap="auto" w:vAnchor="margin" w:yAlign="inline"/>
              <w:ind w:left="85"/>
              <w:suppressOverlap w:val="0"/>
              <w:rPr>
                <w:b/>
                <w:bCs/>
              </w:rPr>
            </w:pPr>
            <w:r w:rsidRPr="0054775B">
              <w:rPr>
                <w:b/>
                <w:bCs/>
              </w:rPr>
              <w:t>Health-related quality of life</w:t>
            </w:r>
          </w:p>
        </w:tc>
        <w:tc>
          <w:tcPr>
            <w:tcW w:w="443" w:type="pct"/>
            <w:tcBorders>
              <w:top w:val="single" w:sz="6" w:space="0" w:color="000000"/>
              <w:left w:val="nil"/>
              <w:bottom w:val="single" w:sz="6" w:space="0" w:color="000000"/>
              <w:right w:val="nil"/>
            </w:tcBorders>
            <w:vAlign w:val="center"/>
          </w:tcPr>
          <w:p w14:paraId="7327EDA3" w14:textId="5DBD4D2B" w:rsidR="00AA4B7E" w:rsidRPr="0054775B" w:rsidRDefault="00AA4B7E" w:rsidP="00603677">
            <w:pPr>
              <w:pStyle w:val="2024TABLETEXT"/>
              <w:framePr w:hSpace="0" w:wrap="auto" w:vAnchor="margin" w:yAlign="inline"/>
              <w:suppressOverlap w:val="0"/>
            </w:pPr>
            <w:r w:rsidRPr="0054775B">
              <w:t>-</w:t>
            </w:r>
          </w:p>
        </w:tc>
        <w:tc>
          <w:tcPr>
            <w:tcW w:w="492" w:type="pct"/>
            <w:tcBorders>
              <w:top w:val="single" w:sz="6" w:space="0" w:color="000000"/>
              <w:left w:val="nil"/>
              <w:bottom w:val="single" w:sz="6" w:space="0" w:color="000000"/>
              <w:right w:val="nil"/>
            </w:tcBorders>
          </w:tcPr>
          <w:p w14:paraId="013C19F2" w14:textId="6ED3B938" w:rsidR="00AA4B7E" w:rsidRPr="0054775B" w:rsidRDefault="005A2736" w:rsidP="00603677">
            <w:pPr>
              <w:pStyle w:val="2024TABLETEXT"/>
              <w:framePr w:hSpace="0" w:wrap="auto" w:vAnchor="margin" w:yAlign="inline"/>
              <w:suppressOverlap w:val="0"/>
            </w:pPr>
            <w:r>
              <w:t>-</w:t>
            </w:r>
          </w:p>
        </w:tc>
        <w:tc>
          <w:tcPr>
            <w:tcW w:w="492" w:type="pct"/>
            <w:tcBorders>
              <w:top w:val="single" w:sz="6" w:space="0" w:color="000000"/>
              <w:left w:val="nil"/>
              <w:bottom w:val="single" w:sz="6" w:space="0" w:color="000000"/>
              <w:right w:val="nil"/>
            </w:tcBorders>
            <w:shd w:val="clear" w:color="auto" w:fill="auto"/>
            <w:vAlign w:val="center"/>
          </w:tcPr>
          <w:p w14:paraId="5DD48B70" w14:textId="049FCB04" w:rsidR="00AA4B7E" w:rsidRPr="0054775B" w:rsidRDefault="00AA4B7E" w:rsidP="00603677">
            <w:pPr>
              <w:pStyle w:val="2024TABLETEXT"/>
              <w:framePr w:hSpace="0" w:wrap="auto" w:vAnchor="margin" w:yAlign="inline"/>
              <w:suppressOverlap w:val="0"/>
            </w:pPr>
            <w:r w:rsidRPr="0054775B">
              <w:t>-</w:t>
            </w:r>
          </w:p>
        </w:tc>
        <w:tc>
          <w:tcPr>
            <w:tcW w:w="443" w:type="pct"/>
            <w:tcBorders>
              <w:top w:val="single" w:sz="6" w:space="0" w:color="000000"/>
              <w:left w:val="nil"/>
              <w:bottom w:val="single" w:sz="6" w:space="0" w:color="000000"/>
              <w:right w:val="nil"/>
            </w:tcBorders>
            <w:vAlign w:val="center"/>
          </w:tcPr>
          <w:p w14:paraId="3DF61FE1" w14:textId="1CC2F448" w:rsidR="00AA4B7E" w:rsidRPr="0054775B" w:rsidRDefault="00AA4B7E" w:rsidP="00603677">
            <w:pPr>
              <w:pStyle w:val="2024TABLETEXT"/>
              <w:framePr w:hSpace="0" w:wrap="auto" w:vAnchor="margin" w:yAlign="inline"/>
              <w:suppressOverlap w:val="0"/>
            </w:pPr>
            <w:r w:rsidRPr="0054775B">
              <w:t>-</w:t>
            </w:r>
          </w:p>
        </w:tc>
        <w:tc>
          <w:tcPr>
            <w:tcW w:w="443" w:type="pct"/>
            <w:tcBorders>
              <w:top w:val="single" w:sz="6" w:space="0" w:color="000000"/>
              <w:left w:val="nil"/>
              <w:bottom w:val="single" w:sz="6" w:space="0" w:color="000000"/>
              <w:right w:val="nil"/>
            </w:tcBorders>
            <w:vAlign w:val="center"/>
          </w:tcPr>
          <w:p w14:paraId="2631CC90" w14:textId="7E223F4D" w:rsidR="00AA4B7E" w:rsidRPr="0054775B" w:rsidRDefault="00AA4B7E" w:rsidP="00603677">
            <w:pPr>
              <w:pStyle w:val="2024TABLETEXT"/>
              <w:framePr w:hSpace="0" w:wrap="auto" w:vAnchor="margin" w:yAlign="inline"/>
              <w:suppressOverlap w:val="0"/>
            </w:pPr>
            <w:r w:rsidRPr="0054775B">
              <w:t>-</w:t>
            </w:r>
          </w:p>
        </w:tc>
        <w:tc>
          <w:tcPr>
            <w:tcW w:w="1063" w:type="pct"/>
            <w:tcBorders>
              <w:top w:val="single" w:sz="6" w:space="0" w:color="000000"/>
              <w:left w:val="nil"/>
              <w:bottom w:val="single" w:sz="6" w:space="0" w:color="000000"/>
              <w:right w:val="nil"/>
            </w:tcBorders>
            <w:vAlign w:val="center"/>
          </w:tcPr>
          <w:p w14:paraId="5F817146" w14:textId="3A368A2D" w:rsidR="00AA4B7E" w:rsidRPr="0054775B" w:rsidRDefault="00AA4B7E" w:rsidP="00603677">
            <w:pPr>
              <w:pStyle w:val="2024TABLETEXT"/>
              <w:framePr w:hSpace="0" w:wrap="auto" w:vAnchor="margin" w:yAlign="inline"/>
              <w:suppressOverlap w:val="0"/>
            </w:pPr>
            <w:r w:rsidRPr="0054775B">
              <w:t>No</w:t>
            </w:r>
            <w:r w:rsidRPr="0054775B" w:rsidDel="0043637E">
              <w:t xml:space="preserve"> </w:t>
            </w:r>
            <w:r>
              <w:t>reviews</w:t>
            </w:r>
            <w:r w:rsidRPr="0054775B">
              <w:t xml:space="preserve"> found. The effect of probiotics + naturopathy co-intervention on improvement in HRQoL for </w:t>
            </w:r>
            <w:r w:rsidR="000310D7">
              <w:t xml:space="preserve">people with </w:t>
            </w:r>
            <w:r w:rsidRPr="0054775B">
              <w:t>IBS is unknown.</w:t>
            </w:r>
          </w:p>
        </w:tc>
      </w:tr>
      <w:tr w:rsidR="00CA696B" w:rsidRPr="0054775B" w14:paraId="7545C3E1" w14:textId="77777777" w:rsidTr="001428E8">
        <w:trPr>
          <w:cantSplit/>
        </w:trPr>
        <w:tc>
          <w:tcPr>
            <w:tcW w:w="295" w:type="pct"/>
            <w:tcBorders>
              <w:top w:val="single" w:sz="6" w:space="0" w:color="000000"/>
              <w:left w:val="nil"/>
              <w:bottom w:val="single" w:sz="6" w:space="0" w:color="000000"/>
              <w:right w:val="nil"/>
            </w:tcBorders>
            <w:vAlign w:val="center"/>
          </w:tcPr>
          <w:p w14:paraId="48507CCB" w14:textId="3DEDFEE3" w:rsidR="00AA4B7E" w:rsidRPr="0054775B" w:rsidRDefault="00AA4B7E" w:rsidP="00761AFF">
            <w:pPr>
              <w:pStyle w:val="2024TABLETEXT"/>
              <w:framePr w:hSpace="0" w:wrap="auto" w:vAnchor="margin" w:yAlign="inline"/>
              <w:suppressOverlap w:val="0"/>
              <w:jc w:val="center"/>
            </w:pPr>
            <w:r w:rsidRPr="0054775B">
              <w:t>8</w:t>
            </w:r>
          </w:p>
        </w:tc>
        <w:tc>
          <w:tcPr>
            <w:tcW w:w="1329" w:type="pct"/>
            <w:tcBorders>
              <w:top w:val="single" w:sz="6" w:space="0" w:color="000000"/>
              <w:left w:val="nil"/>
              <w:bottom w:val="single" w:sz="6" w:space="0" w:color="000000"/>
              <w:right w:val="nil"/>
            </w:tcBorders>
            <w:vAlign w:val="center"/>
          </w:tcPr>
          <w:p w14:paraId="52D0630B" w14:textId="47220E40" w:rsidR="00AA4B7E" w:rsidRPr="0054775B" w:rsidRDefault="00AA4B7E" w:rsidP="007B0D85">
            <w:pPr>
              <w:pStyle w:val="2024TABLETEXT"/>
              <w:framePr w:hSpace="0" w:wrap="auto" w:vAnchor="margin" w:yAlign="inline"/>
              <w:ind w:left="85"/>
              <w:suppressOverlap w:val="0"/>
              <w:rPr>
                <w:b/>
                <w:bCs/>
              </w:rPr>
            </w:pPr>
            <w:r w:rsidRPr="0054775B">
              <w:rPr>
                <w:b/>
                <w:bCs/>
              </w:rPr>
              <w:t>Number of recurrent episodes</w:t>
            </w:r>
          </w:p>
        </w:tc>
        <w:tc>
          <w:tcPr>
            <w:tcW w:w="443" w:type="pct"/>
            <w:tcBorders>
              <w:top w:val="single" w:sz="6" w:space="0" w:color="000000"/>
              <w:left w:val="nil"/>
              <w:bottom w:val="single" w:sz="6" w:space="0" w:color="000000"/>
              <w:right w:val="nil"/>
            </w:tcBorders>
            <w:vAlign w:val="center"/>
          </w:tcPr>
          <w:p w14:paraId="1F747B09" w14:textId="02E36250" w:rsidR="00AA4B7E" w:rsidRPr="0054775B" w:rsidRDefault="00AA4B7E" w:rsidP="00603677">
            <w:pPr>
              <w:pStyle w:val="2024TABLETEXT"/>
              <w:framePr w:hSpace="0" w:wrap="auto" w:vAnchor="margin" w:yAlign="inline"/>
              <w:suppressOverlap w:val="0"/>
            </w:pPr>
            <w:r w:rsidRPr="0054775B">
              <w:t>-</w:t>
            </w:r>
          </w:p>
        </w:tc>
        <w:tc>
          <w:tcPr>
            <w:tcW w:w="492" w:type="pct"/>
            <w:tcBorders>
              <w:top w:val="single" w:sz="6" w:space="0" w:color="000000"/>
              <w:left w:val="nil"/>
              <w:bottom w:val="single" w:sz="6" w:space="0" w:color="000000"/>
              <w:right w:val="nil"/>
            </w:tcBorders>
          </w:tcPr>
          <w:p w14:paraId="691ECC16" w14:textId="4513E14E" w:rsidR="00AA4B7E" w:rsidRPr="0054775B" w:rsidRDefault="005A2736" w:rsidP="00603677">
            <w:pPr>
              <w:pStyle w:val="2024TABLETEXT"/>
              <w:framePr w:hSpace="0" w:wrap="auto" w:vAnchor="margin" w:yAlign="inline"/>
              <w:suppressOverlap w:val="0"/>
            </w:pPr>
            <w:r>
              <w:t>-</w:t>
            </w:r>
          </w:p>
        </w:tc>
        <w:tc>
          <w:tcPr>
            <w:tcW w:w="492" w:type="pct"/>
            <w:tcBorders>
              <w:top w:val="single" w:sz="6" w:space="0" w:color="000000"/>
              <w:left w:val="nil"/>
              <w:bottom w:val="single" w:sz="6" w:space="0" w:color="000000"/>
              <w:right w:val="nil"/>
            </w:tcBorders>
            <w:shd w:val="clear" w:color="auto" w:fill="auto"/>
            <w:vAlign w:val="center"/>
          </w:tcPr>
          <w:p w14:paraId="52A0BA2C" w14:textId="2B9408B5" w:rsidR="00AA4B7E" w:rsidRPr="0054775B" w:rsidRDefault="00AA4B7E" w:rsidP="00603677">
            <w:pPr>
              <w:pStyle w:val="2024TABLETEXT"/>
              <w:framePr w:hSpace="0" w:wrap="auto" w:vAnchor="margin" w:yAlign="inline"/>
              <w:suppressOverlap w:val="0"/>
            </w:pPr>
            <w:r w:rsidRPr="0054775B">
              <w:t>-</w:t>
            </w:r>
          </w:p>
        </w:tc>
        <w:tc>
          <w:tcPr>
            <w:tcW w:w="443" w:type="pct"/>
            <w:tcBorders>
              <w:top w:val="single" w:sz="6" w:space="0" w:color="000000"/>
              <w:left w:val="nil"/>
              <w:bottom w:val="single" w:sz="6" w:space="0" w:color="000000"/>
              <w:right w:val="nil"/>
            </w:tcBorders>
            <w:vAlign w:val="center"/>
          </w:tcPr>
          <w:p w14:paraId="7B1302C5" w14:textId="61B0840F" w:rsidR="00AA4B7E" w:rsidRPr="0054775B" w:rsidRDefault="00AA4B7E" w:rsidP="00603677">
            <w:pPr>
              <w:pStyle w:val="2024TABLETEXT"/>
              <w:framePr w:hSpace="0" w:wrap="auto" w:vAnchor="margin" w:yAlign="inline"/>
              <w:suppressOverlap w:val="0"/>
            </w:pPr>
            <w:r w:rsidRPr="0054775B">
              <w:t>-</w:t>
            </w:r>
          </w:p>
        </w:tc>
        <w:tc>
          <w:tcPr>
            <w:tcW w:w="443" w:type="pct"/>
            <w:tcBorders>
              <w:top w:val="single" w:sz="6" w:space="0" w:color="000000"/>
              <w:left w:val="nil"/>
              <w:bottom w:val="single" w:sz="6" w:space="0" w:color="000000"/>
              <w:right w:val="nil"/>
            </w:tcBorders>
            <w:vAlign w:val="center"/>
          </w:tcPr>
          <w:p w14:paraId="235E4923" w14:textId="4BC72F15" w:rsidR="00AA4B7E" w:rsidRPr="0054775B" w:rsidRDefault="00AA4B7E" w:rsidP="00603677">
            <w:pPr>
              <w:pStyle w:val="2024TABLETEXT"/>
              <w:framePr w:hSpace="0" w:wrap="auto" w:vAnchor="margin" w:yAlign="inline"/>
              <w:suppressOverlap w:val="0"/>
            </w:pPr>
            <w:r w:rsidRPr="0054775B">
              <w:t>-</w:t>
            </w:r>
          </w:p>
        </w:tc>
        <w:tc>
          <w:tcPr>
            <w:tcW w:w="1063" w:type="pct"/>
            <w:tcBorders>
              <w:top w:val="single" w:sz="6" w:space="0" w:color="000000"/>
              <w:left w:val="nil"/>
              <w:bottom w:val="single" w:sz="6" w:space="0" w:color="000000"/>
              <w:right w:val="nil"/>
            </w:tcBorders>
            <w:vAlign w:val="center"/>
          </w:tcPr>
          <w:p w14:paraId="73288A12" w14:textId="5719B015" w:rsidR="00AA4B7E" w:rsidRPr="0054775B" w:rsidRDefault="00AA4B7E" w:rsidP="00603677">
            <w:pPr>
              <w:pStyle w:val="2024TABLETEXT"/>
              <w:framePr w:hSpace="0" w:wrap="auto" w:vAnchor="margin" w:yAlign="inline"/>
              <w:suppressOverlap w:val="0"/>
            </w:pPr>
            <w:r w:rsidRPr="0054775B">
              <w:t>No</w:t>
            </w:r>
            <w:r w:rsidRPr="0054775B" w:rsidDel="0043637E">
              <w:t xml:space="preserve"> </w:t>
            </w:r>
            <w:r>
              <w:t>reviews</w:t>
            </w:r>
            <w:r w:rsidRPr="0054775B">
              <w:t xml:space="preserve"> found. The effect of probiotics + naturopathy co-intervention on improvement in number of recurrent episodes for </w:t>
            </w:r>
            <w:r w:rsidR="000310D7">
              <w:t xml:space="preserve">people with </w:t>
            </w:r>
            <w:r w:rsidRPr="0054775B">
              <w:t>IBS is unknown.</w:t>
            </w:r>
          </w:p>
        </w:tc>
      </w:tr>
      <w:tr w:rsidR="00CA696B" w:rsidRPr="0054775B" w14:paraId="23F5876F" w14:textId="77777777" w:rsidTr="001428E8">
        <w:trPr>
          <w:cantSplit/>
        </w:trPr>
        <w:tc>
          <w:tcPr>
            <w:tcW w:w="295" w:type="pct"/>
            <w:tcBorders>
              <w:top w:val="single" w:sz="6" w:space="0" w:color="000000"/>
              <w:left w:val="nil"/>
              <w:bottom w:val="single" w:sz="6" w:space="0" w:color="000000"/>
              <w:right w:val="nil"/>
            </w:tcBorders>
            <w:vAlign w:val="center"/>
          </w:tcPr>
          <w:p w14:paraId="10788BCC" w14:textId="346FAD4A" w:rsidR="00AA4B7E" w:rsidRPr="0054775B" w:rsidRDefault="00AA4B7E" w:rsidP="00761AFF">
            <w:pPr>
              <w:pStyle w:val="2024TABLETEXT"/>
              <w:framePr w:hSpace="0" w:wrap="auto" w:vAnchor="margin" w:yAlign="inline"/>
              <w:suppressOverlap w:val="0"/>
              <w:jc w:val="center"/>
            </w:pPr>
            <w:r w:rsidRPr="0054775B">
              <w:t>7</w:t>
            </w:r>
          </w:p>
        </w:tc>
        <w:tc>
          <w:tcPr>
            <w:tcW w:w="1329" w:type="pct"/>
            <w:tcBorders>
              <w:top w:val="single" w:sz="6" w:space="0" w:color="000000"/>
              <w:left w:val="nil"/>
              <w:bottom w:val="single" w:sz="6" w:space="0" w:color="000000"/>
              <w:right w:val="nil"/>
            </w:tcBorders>
            <w:vAlign w:val="center"/>
          </w:tcPr>
          <w:p w14:paraId="7B97CABA" w14:textId="329A931B" w:rsidR="00AA4B7E" w:rsidRPr="0054775B" w:rsidRDefault="00AA4B7E" w:rsidP="007B0D85">
            <w:pPr>
              <w:pStyle w:val="2024TABLETEXT"/>
              <w:framePr w:hSpace="0" w:wrap="auto" w:vAnchor="margin" w:yAlign="inline"/>
              <w:ind w:left="85"/>
              <w:suppressOverlap w:val="0"/>
              <w:rPr>
                <w:b/>
                <w:bCs/>
              </w:rPr>
            </w:pPr>
            <w:r w:rsidRPr="0054775B">
              <w:rPr>
                <w:b/>
                <w:bCs/>
              </w:rPr>
              <w:t>Functioning</w:t>
            </w:r>
          </w:p>
        </w:tc>
        <w:tc>
          <w:tcPr>
            <w:tcW w:w="443" w:type="pct"/>
            <w:tcBorders>
              <w:top w:val="single" w:sz="6" w:space="0" w:color="000000"/>
              <w:left w:val="nil"/>
              <w:bottom w:val="single" w:sz="6" w:space="0" w:color="000000"/>
              <w:right w:val="nil"/>
            </w:tcBorders>
            <w:vAlign w:val="center"/>
          </w:tcPr>
          <w:p w14:paraId="09493590" w14:textId="3366073B" w:rsidR="00AA4B7E" w:rsidRPr="0054775B" w:rsidRDefault="00AA4B7E" w:rsidP="00603677">
            <w:pPr>
              <w:pStyle w:val="2024TABLETEXT"/>
              <w:framePr w:hSpace="0" w:wrap="auto" w:vAnchor="margin" w:yAlign="inline"/>
              <w:suppressOverlap w:val="0"/>
            </w:pPr>
            <w:r w:rsidRPr="0054775B">
              <w:t>-</w:t>
            </w:r>
          </w:p>
        </w:tc>
        <w:tc>
          <w:tcPr>
            <w:tcW w:w="492" w:type="pct"/>
            <w:tcBorders>
              <w:top w:val="single" w:sz="6" w:space="0" w:color="000000"/>
              <w:left w:val="nil"/>
              <w:bottom w:val="single" w:sz="6" w:space="0" w:color="000000"/>
              <w:right w:val="nil"/>
            </w:tcBorders>
          </w:tcPr>
          <w:p w14:paraId="2FFD30E4" w14:textId="26B74262" w:rsidR="00AA4B7E" w:rsidRPr="0054775B" w:rsidRDefault="005A2736" w:rsidP="00603677">
            <w:pPr>
              <w:pStyle w:val="2024TABLETEXT"/>
              <w:framePr w:hSpace="0" w:wrap="auto" w:vAnchor="margin" w:yAlign="inline"/>
              <w:suppressOverlap w:val="0"/>
            </w:pPr>
            <w:r>
              <w:t>-</w:t>
            </w:r>
          </w:p>
        </w:tc>
        <w:tc>
          <w:tcPr>
            <w:tcW w:w="492" w:type="pct"/>
            <w:tcBorders>
              <w:top w:val="single" w:sz="6" w:space="0" w:color="000000"/>
              <w:left w:val="nil"/>
              <w:bottom w:val="single" w:sz="6" w:space="0" w:color="000000"/>
              <w:right w:val="nil"/>
            </w:tcBorders>
            <w:shd w:val="clear" w:color="auto" w:fill="auto"/>
            <w:vAlign w:val="center"/>
          </w:tcPr>
          <w:p w14:paraId="58988FAE" w14:textId="61C07960" w:rsidR="00AA4B7E" w:rsidRPr="0054775B" w:rsidRDefault="00AA4B7E" w:rsidP="00603677">
            <w:pPr>
              <w:pStyle w:val="2024TABLETEXT"/>
              <w:framePr w:hSpace="0" w:wrap="auto" w:vAnchor="margin" w:yAlign="inline"/>
              <w:suppressOverlap w:val="0"/>
            </w:pPr>
            <w:r w:rsidRPr="0054775B">
              <w:t>-</w:t>
            </w:r>
          </w:p>
        </w:tc>
        <w:tc>
          <w:tcPr>
            <w:tcW w:w="443" w:type="pct"/>
            <w:tcBorders>
              <w:top w:val="single" w:sz="6" w:space="0" w:color="000000"/>
              <w:left w:val="nil"/>
              <w:bottom w:val="single" w:sz="6" w:space="0" w:color="000000"/>
              <w:right w:val="nil"/>
            </w:tcBorders>
            <w:vAlign w:val="center"/>
          </w:tcPr>
          <w:p w14:paraId="6FCCF327" w14:textId="0EE1997F" w:rsidR="00AA4B7E" w:rsidRPr="0054775B" w:rsidRDefault="00AA4B7E" w:rsidP="00603677">
            <w:pPr>
              <w:pStyle w:val="2024TABLETEXT"/>
              <w:framePr w:hSpace="0" w:wrap="auto" w:vAnchor="margin" w:yAlign="inline"/>
              <w:suppressOverlap w:val="0"/>
            </w:pPr>
            <w:r w:rsidRPr="0054775B">
              <w:t>-</w:t>
            </w:r>
          </w:p>
        </w:tc>
        <w:tc>
          <w:tcPr>
            <w:tcW w:w="443" w:type="pct"/>
            <w:tcBorders>
              <w:top w:val="single" w:sz="6" w:space="0" w:color="000000"/>
              <w:left w:val="nil"/>
              <w:bottom w:val="single" w:sz="6" w:space="0" w:color="000000"/>
              <w:right w:val="nil"/>
            </w:tcBorders>
            <w:vAlign w:val="center"/>
          </w:tcPr>
          <w:p w14:paraId="2499236B" w14:textId="7FCA599A" w:rsidR="00AA4B7E" w:rsidRPr="0054775B" w:rsidRDefault="00AA4B7E" w:rsidP="00603677">
            <w:pPr>
              <w:pStyle w:val="2024TABLETEXT"/>
              <w:framePr w:hSpace="0" w:wrap="auto" w:vAnchor="margin" w:yAlign="inline"/>
              <w:suppressOverlap w:val="0"/>
            </w:pPr>
            <w:r w:rsidRPr="0054775B">
              <w:t>-</w:t>
            </w:r>
          </w:p>
        </w:tc>
        <w:tc>
          <w:tcPr>
            <w:tcW w:w="1063" w:type="pct"/>
            <w:tcBorders>
              <w:top w:val="single" w:sz="6" w:space="0" w:color="000000"/>
              <w:left w:val="nil"/>
              <w:bottom w:val="single" w:sz="6" w:space="0" w:color="000000"/>
              <w:right w:val="nil"/>
            </w:tcBorders>
            <w:vAlign w:val="center"/>
          </w:tcPr>
          <w:p w14:paraId="21F08A47" w14:textId="158B1204" w:rsidR="00AA4B7E" w:rsidRPr="0054775B" w:rsidRDefault="00AA4B7E" w:rsidP="00603677">
            <w:pPr>
              <w:pStyle w:val="2024TABLETEXT"/>
              <w:framePr w:hSpace="0" w:wrap="auto" w:vAnchor="margin" w:yAlign="inline"/>
              <w:suppressOverlap w:val="0"/>
            </w:pPr>
            <w:r w:rsidRPr="0054775B">
              <w:t>No</w:t>
            </w:r>
            <w:r w:rsidRPr="0054775B" w:rsidDel="0043637E">
              <w:t xml:space="preserve"> </w:t>
            </w:r>
            <w:r>
              <w:t>reviews</w:t>
            </w:r>
            <w:r w:rsidRPr="0054775B">
              <w:t xml:space="preserve"> found. The effect of probiotics + naturopathy co-intervention on improvement in functioning for </w:t>
            </w:r>
            <w:r w:rsidR="000310D7">
              <w:t xml:space="preserve">people with </w:t>
            </w:r>
            <w:r w:rsidRPr="0054775B">
              <w:t>IBS is unknown.</w:t>
            </w:r>
          </w:p>
        </w:tc>
      </w:tr>
      <w:tr w:rsidR="00CA696B" w:rsidRPr="0054775B" w14:paraId="2A50E8AF" w14:textId="77777777" w:rsidTr="001428E8">
        <w:trPr>
          <w:cantSplit/>
        </w:trPr>
        <w:tc>
          <w:tcPr>
            <w:tcW w:w="295" w:type="pct"/>
            <w:tcBorders>
              <w:top w:val="single" w:sz="6" w:space="0" w:color="000000"/>
              <w:left w:val="nil"/>
              <w:bottom w:val="single" w:sz="6" w:space="0" w:color="000000"/>
              <w:right w:val="nil"/>
            </w:tcBorders>
            <w:vAlign w:val="center"/>
          </w:tcPr>
          <w:p w14:paraId="1D59654C" w14:textId="7645AF57" w:rsidR="00AA4B7E" w:rsidRPr="0054775B" w:rsidRDefault="00AA4B7E" w:rsidP="00761AFF">
            <w:pPr>
              <w:pStyle w:val="2024TABLETEXT"/>
              <w:framePr w:hSpace="0" w:wrap="auto" w:vAnchor="margin" w:yAlign="inline"/>
              <w:suppressOverlap w:val="0"/>
              <w:jc w:val="center"/>
            </w:pPr>
            <w:r w:rsidRPr="0054775B">
              <w:t>7</w:t>
            </w:r>
          </w:p>
        </w:tc>
        <w:tc>
          <w:tcPr>
            <w:tcW w:w="1329" w:type="pct"/>
            <w:tcBorders>
              <w:top w:val="single" w:sz="6" w:space="0" w:color="000000"/>
              <w:left w:val="nil"/>
              <w:bottom w:val="single" w:sz="6" w:space="0" w:color="000000"/>
              <w:right w:val="nil"/>
            </w:tcBorders>
            <w:vAlign w:val="center"/>
          </w:tcPr>
          <w:p w14:paraId="098FE263" w14:textId="2F2B969B" w:rsidR="00AA4B7E" w:rsidRPr="0054775B" w:rsidRDefault="00AA4B7E" w:rsidP="007B0D85">
            <w:pPr>
              <w:pStyle w:val="2024TABLETEXT"/>
              <w:framePr w:hSpace="0" w:wrap="auto" w:vAnchor="margin" w:yAlign="inline"/>
              <w:ind w:left="85"/>
              <w:suppressOverlap w:val="0"/>
              <w:rPr>
                <w:b/>
                <w:bCs/>
              </w:rPr>
            </w:pPr>
            <w:r w:rsidRPr="0054775B">
              <w:rPr>
                <w:b/>
                <w:bCs/>
              </w:rPr>
              <w:t>Stool frequency, bowel transit time</w:t>
            </w:r>
          </w:p>
        </w:tc>
        <w:tc>
          <w:tcPr>
            <w:tcW w:w="443" w:type="pct"/>
            <w:tcBorders>
              <w:top w:val="single" w:sz="6" w:space="0" w:color="000000"/>
              <w:left w:val="nil"/>
              <w:bottom w:val="single" w:sz="6" w:space="0" w:color="000000"/>
              <w:right w:val="nil"/>
            </w:tcBorders>
            <w:vAlign w:val="center"/>
          </w:tcPr>
          <w:p w14:paraId="6FECB845" w14:textId="10DC5931" w:rsidR="00AA4B7E" w:rsidRPr="0054775B" w:rsidRDefault="00AA4B7E" w:rsidP="00603677">
            <w:pPr>
              <w:pStyle w:val="2024TABLETEXT"/>
              <w:framePr w:hSpace="0" w:wrap="auto" w:vAnchor="margin" w:yAlign="inline"/>
              <w:suppressOverlap w:val="0"/>
            </w:pPr>
            <w:r w:rsidRPr="0054775B">
              <w:t>-</w:t>
            </w:r>
          </w:p>
        </w:tc>
        <w:tc>
          <w:tcPr>
            <w:tcW w:w="492" w:type="pct"/>
            <w:tcBorders>
              <w:top w:val="single" w:sz="6" w:space="0" w:color="000000"/>
              <w:left w:val="nil"/>
              <w:bottom w:val="single" w:sz="6" w:space="0" w:color="000000"/>
              <w:right w:val="nil"/>
            </w:tcBorders>
          </w:tcPr>
          <w:p w14:paraId="1E81450B" w14:textId="7F60B788" w:rsidR="00AA4B7E" w:rsidRPr="0054775B" w:rsidRDefault="005A2736" w:rsidP="00603677">
            <w:pPr>
              <w:pStyle w:val="2024TABLETEXT"/>
              <w:framePr w:hSpace="0" w:wrap="auto" w:vAnchor="margin" w:yAlign="inline"/>
              <w:suppressOverlap w:val="0"/>
            </w:pPr>
            <w:r>
              <w:t>-</w:t>
            </w:r>
          </w:p>
        </w:tc>
        <w:tc>
          <w:tcPr>
            <w:tcW w:w="492" w:type="pct"/>
            <w:tcBorders>
              <w:top w:val="single" w:sz="6" w:space="0" w:color="000000"/>
              <w:left w:val="nil"/>
              <w:bottom w:val="single" w:sz="6" w:space="0" w:color="000000"/>
              <w:right w:val="nil"/>
            </w:tcBorders>
            <w:shd w:val="clear" w:color="auto" w:fill="auto"/>
            <w:vAlign w:val="center"/>
          </w:tcPr>
          <w:p w14:paraId="676613C5" w14:textId="7E83B9F1" w:rsidR="00AA4B7E" w:rsidRPr="0054775B" w:rsidRDefault="00AA4B7E" w:rsidP="00603677">
            <w:pPr>
              <w:pStyle w:val="2024TABLETEXT"/>
              <w:framePr w:hSpace="0" w:wrap="auto" w:vAnchor="margin" w:yAlign="inline"/>
              <w:suppressOverlap w:val="0"/>
            </w:pPr>
            <w:r w:rsidRPr="0054775B">
              <w:t>-</w:t>
            </w:r>
          </w:p>
        </w:tc>
        <w:tc>
          <w:tcPr>
            <w:tcW w:w="443" w:type="pct"/>
            <w:tcBorders>
              <w:top w:val="single" w:sz="6" w:space="0" w:color="000000"/>
              <w:left w:val="nil"/>
              <w:bottom w:val="single" w:sz="6" w:space="0" w:color="000000"/>
              <w:right w:val="nil"/>
            </w:tcBorders>
            <w:vAlign w:val="center"/>
          </w:tcPr>
          <w:p w14:paraId="52114B33" w14:textId="3D480F00" w:rsidR="00AA4B7E" w:rsidRPr="0054775B" w:rsidRDefault="00AA4B7E" w:rsidP="00603677">
            <w:pPr>
              <w:pStyle w:val="2024TABLETEXT"/>
              <w:framePr w:hSpace="0" w:wrap="auto" w:vAnchor="margin" w:yAlign="inline"/>
              <w:suppressOverlap w:val="0"/>
            </w:pPr>
            <w:r w:rsidRPr="0054775B">
              <w:t>-</w:t>
            </w:r>
          </w:p>
        </w:tc>
        <w:tc>
          <w:tcPr>
            <w:tcW w:w="443" w:type="pct"/>
            <w:tcBorders>
              <w:top w:val="single" w:sz="6" w:space="0" w:color="000000"/>
              <w:left w:val="nil"/>
              <w:bottom w:val="single" w:sz="6" w:space="0" w:color="000000"/>
              <w:right w:val="nil"/>
            </w:tcBorders>
            <w:vAlign w:val="center"/>
          </w:tcPr>
          <w:p w14:paraId="7C7ECD2C" w14:textId="10743E28" w:rsidR="00AA4B7E" w:rsidRPr="0054775B" w:rsidRDefault="00AA4B7E" w:rsidP="00603677">
            <w:pPr>
              <w:pStyle w:val="2024TABLETEXT"/>
              <w:framePr w:hSpace="0" w:wrap="auto" w:vAnchor="margin" w:yAlign="inline"/>
              <w:suppressOverlap w:val="0"/>
            </w:pPr>
            <w:r w:rsidRPr="0054775B">
              <w:t>-</w:t>
            </w:r>
          </w:p>
        </w:tc>
        <w:tc>
          <w:tcPr>
            <w:tcW w:w="1063" w:type="pct"/>
            <w:tcBorders>
              <w:top w:val="single" w:sz="6" w:space="0" w:color="000000"/>
              <w:left w:val="nil"/>
              <w:bottom w:val="single" w:sz="6" w:space="0" w:color="000000"/>
              <w:right w:val="nil"/>
            </w:tcBorders>
            <w:vAlign w:val="center"/>
          </w:tcPr>
          <w:p w14:paraId="27921589" w14:textId="64C9DCF1" w:rsidR="00AA4B7E" w:rsidRPr="0054775B" w:rsidRDefault="00AA4B7E" w:rsidP="00603677">
            <w:pPr>
              <w:pStyle w:val="2024TABLETEXT"/>
              <w:framePr w:hSpace="0" w:wrap="auto" w:vAnchor="margin" w:yAlign="inline"/>
              <w:suppressOverlap w:val="0"/>
            </w:pPr>
            <w:r w:rsidRPr="0054775B">
              <w:t xml:space="preserve">No </w:t>
            </w:r>
            <w:r>
              <w:t>reviews</w:t>
            </w:r>
            <w:r w:rsidRPr="0054775B">
              <w:t xml:space="preserve"> found. The effect of probiotics + naturopathy co-intervention on improvement in stool frequency for </w:t>
            </w:r>
            <w:r w:rsidR="000310D7">
              <w:t xml:space="preserve">people with </w:t>
            </w:r>
            <w:r w:rsidRPr="0054775B">
              <w:t>IBS is unknown.</w:t>
            </w:r>
          </w:p>
        </w:tc>
      </w:tr>
      <w:tr w:rsidR="00CA696B" w:rsidRPr="0054775B" w14:paraId="0C44B578" w14:textId="77777777" w:rsidTr="001428E8">
        <w:trPr>
          <w:cantSplit/>
        </w:trPr>
        <w:tc>
          <w:tcPr>
            <w:tcW w:w="295" w:type="pct"/>
            <w:tcBorders>
              <w:top w:val="single" w:sz="6" w:space="0" w:color="000000"/>
              <w:left w:val="nil"/>
              <w:bottom w:val="single" w:sz="6" w:space="0" w:color="000000"/>
              <w:right w:val="nil"/>
            </w:tcBorders>
            <w:vAlign w:val="center"/>
          </w:tcPr>
          <w:p w14:paraId="7CFB5916" w14:textId="7039CEB6" w:rsidR="00AA4B7E" w:rsidRPr="0054775B" w:rsidRDefault="00AA4B7E" w:rsidP="00761AFF">
            <w:pPr>
              <w:pStyle w:val="2024TABLETEXT"/>
              <w:framePr w:hSpace="0" w:wrap="auto" w:vAnchor="margin" w:yAlign="inline"/>
              <w:suppressOverlap w:val="0"/>
              <w:jc w:val="center"/>
            </w:pPr>
            <w:r w:rsidRPr="0054775B">
              <w:lastRenderedPageBreak/>
              <w:t>7</w:t>
            </w:r>
          </w:p>
        </w:tc>
        <w:tc>
          <w:tcPr>
            <w:tcW w:w="1329" w:type="pct"/>
            <w:tcBorders>
              <w:top w:val="single" w:sz="6" w:space="0" w:color="000000"/>
              <w:left w:val="nil"/>
              <w:bottom w:val="single" w:sz="6" w:space="0" w:color="000000"/>
              <w:right w:val="nil"/>
            </w:tcBorders>
            <w:vAlign w:val="center"/>
          </w:tcPr>
          <w:p w14:paraId="5195A730" w14:textId="6D44423B" w:rsidR="00AA4B7E" w:rsidRPr="0054775B" w:rsidRDefault="00AA4B7E" w:rsidP="007B0D85">
            <w:pPr>
              <w:pStyle w:val="2024TABLETEXT"/>
              <w:framePr w:hSpace="0" w:wrap="auto" w:vAnchor="margin" w:yAlign="inline"/>
              <w:ind w:left="85"/>
              <w:suppressOverlap w:val="0"/>
            </w:pPr>
            <w:r w:rsidRPr="0054775B">
              <w:rPr>
                <w:b/>
                <w:bCs/>
              </w:rPr>
              <w:t>Stool consistency</w:t>
            </w:r>
          </w:p>
        </w:tc>
        <w:tc>
          <w:tcPr>
            <w:tcW w:w="443" w:type="pct"/>
            <w:tcBorders>
              <w:top w:val="single" w:sz="6" w:space="0" w:color="000000"/>
              <w:left w:val="nil"/>
              <w:bottom w:val="single" w:sz="6" w:space="0" w:color="000000"/>
              <w:right w:val="nil"/>
            </w:tcBorders>
            <w:vAlign w:val="center"/>
          </w:tcPr>
          <w:p w14:paraId="753BC290" w14:textId="56813F20" w:rsidR="00AA4B7E" w:rsidRPr="0054775B" w:rsidRDefault="00AA4B7E" w:rsidP="00603677">
            <w:pPr>
              <w:pStyle w:val="2024TABLETEXT"/>
              <w:framePr w:hSpace="0" w:wrap="auto" w:vAnchor="margin" w:yAlign="inline"/>
              <w:suppressOverlap w:val="0"/>
            </w:pPr>
            <w:r w:rsidRPr="0054775B">
              <w:t>-</w:t>
            </w:r>
          </w:p>
        </w:tc>
        <w:tc>
          <w:tcPr>
            <w:tcW w:w="492" w:type="pct"/>
            <w:tcBorders>
              <w:top w:val="single" w:sz="6" w:space="0" w:color="000000"/>
              <w:left w:val="nil"/>
              <w:bottom w:val="single" w:sz="6" w:space="0" w:color="000000"/>
              <w:right w:val="nil"/>
            </w:tcBorders>
          </w:tcPr>
          <w:p w14:paraId="23DA90D1" w14:textId="657684FC" w:rsidR="00AA4B7E" w:rsidRPr="0054775B" w:rsidRDefault="005A2736" w:rsidP="00603677">
            <w:pPr>
              <w:pStyle w:val="2024TABLETEXT"/>
              <w:framePr w:hSpace="0" w:wrap="auto" w:vAnchor="margin" w:yAlign="inline"/>
              <w:suppressOverlap w:val="0"/>
            </w:pPr>
            <w:r>
              <w:t>-</w:t>
            </w:r>
          </w:p>
        </w:tc>
        <w:tc>
          <w:tcPr>
            <w:tcW w:w="492" w:type="pct"/>
            <w:tcBorders>
              <w:top w:val="single" w:sz="6" w:space="0" w:color="000000"/>
              <w:left w:val="nil"/>
              <w:bottom w:val="single" w:sz="6" w:space="0" w:color="000000"/>
              <w:right w:val="nil"/>
            </w:tcBorders>
            <w:shd w:val="clear" w:color="auto" w:fill="auto"/>
            <w:vAlign w:val="center"/>
          </w:tcPr>
          <w:p w14:paraId="10A3FE42" w14:textId="5CE04C43" w:rsidR="00AA4B7E" w:rsidRPr="0054775B" w:rsidRDefault="00AA4B7E" w:rsidP="00603677">
            <w:pPr>
              <w:pStyle w:val="2024TABLETEXT"/>
              <w:framePr w:hSpace="0" w:wrap="auto" w:vAnchor="margin" w:yAlign="inline"/>
              <w:suppressOverlap w:val="0"/>
            </w:pPr>
            <w:r w:rsidRPr="0054775B">
              <w:t>-</w:t>
            </w:r>
          </w:p>
        </w:tc>
        <w:tc>
          <w:tcPr>
            <w:tcW w:w="443" w:type="pct"/>
            <w:tcBorders>
              <w:top w:val="single" w:sz="6" w:space="0" w:color="000000"/>
              <w:left w:val="nil"/>
              <w:bottom w:val="single" w:sz="6" w:space="0" w:color="000000"/>
              <w:right w:val="nil"/>
            </w:tcBorders>
            <w:vAlign w:val="center"/>
          </w:tcPr>
          <w:p w14:paraId="7E5DEBAF" w14:textId="67424C0E" w:rsidR="00AA4B7E" w:rsidRPr="0054775B" w:rsidRDefault="00AA4B7E" w:rsidP="00603677">
            <w:pPr>
              <w:pStyle w:val="2024TABLETEXT"/>
              <w:framePr w:hSpace="0" w:wrap="auto" w:vAnchor="margin" w:yAlign="inline"/>
              <w:suppressOverlap w:val="0"/>
            </w:pPr>
            <w:r w:rsidRPr="0054775B">
              <w:t>-</w:t>
            </w:r>
          </w:p>
        </w:tc>
        <w:tc>
          <w:tcPr>
            <w:tcW w:w="443" w:type="pct"/>
            <w:tcBorders>
              <w:top w:val="single" w:sz="6" w:space="0" w:color="000000"/>
              <w:left w:val="nil"/>
              <w:bottom w:val="single" w:sz="6" w:space="0" w:color="000000"/>
              <w:right w:val="nil"/>
            </w:tcBorders>
            <w:vAlign w:val="center"/>
          </w:tcPr>
          <w:p w14:paraId="7427A43D" w14:textId="756CA6E6" w:rsidR="00AA4B7E" w:rsidRPr="0054775B" w:rsidRDefault="00AA4B7E" w:rsidP="00603677">
            <w:pPr>
              <w:pStyle w:val="2024TABLETEXT"/>
              <w:framePr w:hSpace="0" w:wrap="auto" w:vAnchor="margin" w:yAlign="inline"/>
              <w:suppressOverlap w:val="0"/>
            </w:pPr>
            <w:r w:rsidRPr="0054775B">
              <w:t>-</w:t>
            </w:r>
          </w:p>
        </w:tc>
        <w:tc>
          <w:tcPr>
            <w:tcW w:w="1063" w:type="pct"/>
            <w:tcBorders>
              <w:top w:val="single" w:sz="6" w:space="0" w:color="000000"/>
              <w:left w:val="nil"/>
              <w:bottom w:val="single" w:sz="6" w:space="0" w:color="000000"/>
              <w:right w:val="nil"/>
            </w:tcBorders>
            <w:vAlign w:val="center"/>
          </w:tcPr>
          <w:p w14:paraId="2FD4A82E" w14:textId="4FC72354" w:rsidR="00AA4B7E" w:rsidRPr="0054775B" w:rsidRDefault="00AA4B7E" w:rsidP="00603677">
            <w:pPr>
              <w:pStyle w:val="2024TABLETEXT"/>
              <w:framePr w:hSpace="0" w:wrap="auto" w:vAnchor="margin" w:yAlign="inline"/>
              <w:suppressOverlap w:val="0"/>
            </w:pPr>
            <w:r w:rsidRPr="0054775B">
              <w:t>No</w:t>
            </w:r>
            <w:r w:rsidRPr="0054775B" w:rsidDel="0043637E">
              <w:t xml:space="preserve"> </w:t>
            </w:r>
            <w:r>
              <w:t>reviews</w:t>
            </w:r>
            <w:r w:rsidRPr="0054775B">
              <w:t xml:space="preserve"> found. The effect of probiotics + naturopathy co-intervention on improvement in stool consistency for</w:t>
            </w:r>
            <w:r w:rsidR="000310D7">
              <w:t xml:space="preserve"> people with </w:t>
            </w:r>
            <w:r w:rsidRPr="0054775B">
              <w:t xml:space="preserve"> IBS is unknown.</w:t>
            </w:r>
          </w:p>
        </w:tc>
      </w:tr>
      <w:tr w:rsidR="005A2736" w:rsidRPr="0054775B" w14:paraId="20E2D620" w14:textId="77777777" w:rsidTr="005A2736">
        <w:trPr>
          <w:cantSplit/>
          <w:trHeight w:val="50"/>
        </w:trPr>
        <w:tc>
          <w:tcPr>
            <w:tcW w:w="5000" w:type="pct"/>
            <w:gridSpan w:val="8"/>
            <w:tcBorders>
              <w:top w:val="single" w:sz="6" w:space="0" w:color="000000"/>
              <w:left w:val="nil"/>
              <w:bottom w:val="single" w:sz="6" w:space="0" w:color="000000"/>
              <w:right w:val="nil"/>
            </w:tcBorders>
          </w:tcPr>
          <w:p w14:paraId="725FF08B" w14:textId="77777777" w:rsidR="00BD21CA" w:rsidRPr="0054775B" w:rsidRDefault="00BD21CA" w:rsidP="00BD21CA">
            <w:pPr>
              <w:pStyle w:val="2024TABLEFOOTER"/>
            </w:pPr>
            <w:r w:rsidRPr="0054775B">
              <w:t>*Ratings 1-3 = of limited importance to decision making; 4-6 = important, but not critical, to decision making; 7-9 = critical for decision-making</w:t>
            </w:r>
          </w:p>
          <w:p w14:paraId="05F6E5C5" w14:textId="0C6099AC" w:rsidR="005A2736" w:rsidRPr="0054775B" w:rsidRDefault="00BD21CA" w:rsidP="005A2736">
            <w:pPr>
              <w:pStyle w:val="2024TABLEFOOTER"/>
            </w:pPr>
            <w:r>
              <w:t>^</w:t>
            </w:r>
            <w:r w:rsidR="005A2736">
              <w:t>Outcome measure not reported in review, so MCID undeterminable.</w:t>
            </w:r>
          </w:p>
          <w:p w14:paraId="0B48FF08" w14:textId="77777777" w:rsidR="005A2736" w:rsidRDefault="005A2736" w:rsidP="009760CB">
            <w:pPr>
              <w:pStyle w:val="2024TABLEFOOTER"/>
            </w:pPr>
          </w:p>
          <w:p w14:paraId="6BE73B82" w14:textId="092FD69D" w:rsidR="005A2736" w:rsidRPr="0054775B" w:rsidRDefault="005A2736" w:rsidP="009760CB">
            <w:pPr>
              <w:pStyle w:val="2024TABLEFOOTER"/>
            </w:pPr>
            <w:r w:rsidRPr="0054775B">
              <w:t>Abbreviations: CI=confidence interval, IBS=Irritable bowel syndrome</w:t>
            </w:r>
          </w:p>
        </w:tc>
      </w:tr>
      <w:tr w:rsidR="005A2736" w:rsidRPr="0054775B" w14:paraId="0099BAE0" w14:textId="77777777" w:rsidTr="005A2736">
        <w:trPr>
          <w:cantSplit/>
          <w:trHeight w:val="236"/>
        </w:trPr>
        <w:tc>
          <w:tcPr>
            <w:tcW w:w="5000" w:type="pct"/>
            <w:gridSpan w:val="8"/>
            <w:tcBorders>
              <w:top w:val="single" w:sz="6" w:space="0" w:color="000000"/>
              <w:left w:val="nil"/>
              <w:bottom w:val="single" w:sz="6" w:space="0" w:color="000000"/>
              <w:right w:val="nil"/>
            </w:tcBorders>
          </w:tcPr>
          <w:p w14:paraId="393D52AE" w14:textId="4502D81C" w:rsidR="005A2736" w:rsidRPr="0054775B" w:rsidRDefault="005A2736" w:rsidP="009760CB">
            <w:pPr>
              <w:pStyle w:val="2024TABLEFOOTER"/>
            </w:pPr>
            <w:r w:rsidRPr="0054775B">
              <w:t>GRADE Working Group grades of evidence</w:t>
            </w:r>
            <w:r w:rsidRPr="0054775B">
              <w:br/>
            </w:r>
            <w:r w:rsidRPr="0054775B">
              <w:rPr>
                <w:b/>
                <w:bCs/>
              </w:rPr>
              <w:t>High certainty:</w:t>
            </w:r>
            <w:r w:rsidRPr="0054775B">
              <w:t xml:space="preserve"> we are very confident that the true effect lies close to that of the estimate of the effect.</w:t>
            </w:r>
            <w:r w:rsidRPr="0054775B">
              <w:br/>
            </w:r>
            <w:r w:rsidRPr="0054775B">
              <w:rPr>
                <w:b/>
                <w:bCs/>
              </w:rPr>
              <w:t>Moderate certainty:</w:t>
            </w:r>
            <w:r w:rsidRPr="0054775B">
              <w:t xml:space="preserve"> we are moderately confident in the effect estimate: the true effect is likely to be close to the estimate of the effect, but there is a possibility that it is substantially different.</w:t>
            </w:r>
            <w:r w:rsidRPr="0054775B">
              <w:br/>
            </w:r>
            <w:r w:rsidRPr="0054775B">
              <w:rPr>
                <w:b/>
                <w:bCs/>
              </w:rPr>
              <w:t>Low certainty:</w:t>
            </w:r>
            <w:r w:rsidRPr="0054775B">
              <w:t xml:space="preserve"> our confidence in the effect estimate is limited: the true effect may be substantially different from the estimate of the effect.</w:t>
            </w:r>
            <w:r w:rsidRPr="0054775B">
              <w:br/>
            </w:r>
            <w:r w:rsidRPr="0054775B">
              <w:rPr>
                <w:b/>
                <w:bCs/>
              </w:rPr>
              <w:t>Very low certainty:</w:t>
            </w:r>
            <w:r w:rsidRPr="0054775B">
              <w:t xml:space="preserve"> we have very little confidence in the effect estimate: the true effect is likely to be substantially different from the estimate of effect.</w:t>
            </w:r>
          </w:p>
        </w:tc>
      </w:tr>
      <w:tr w:rsidR="00AF62F4" w:rsidRPr="0054775B" w14:paraId="141AFCB3" w14:textId="77777777" w:rsidTr="00AF62F4">
        <w:trPr>
          <w:cantSplit/>
          <w:trHeight w:val="236"/>
        </w:trPr>
        <w:tc>
          <w:tcPr>
            <w:tcW w:w="5000" w:type="pct"/>
            <w:gridSpan w:val="8"/>
            <w:tcBorders>
              <w:top w:val="single" w:sz="6" w:space="0" w:color="000000"/>
              <w:left w:val="nil"/>
              <w:bottom w:val="single" w:sz="6" w:space="0" w:color="000000"/>
              <w:right w:val="nil"/>
            </w:tcBorders>
          </w:tcPr>
          <w:p w14:paraId="24A2D8CD" w14:textId="39AFE86F" w:rsidR="00AF62F4" w:rsidRPr="0054775B" w:rsidRDefault="00AF62F4" w:rsidP="009760CB">
            <w:pPr>
              <w:pStyle w:val="2024TABLEFOOTER"/>
            </w:pPr>
            <w:r w:rsidRPr="0054775B">
              <w:t>Explanations</w:t>
            </w:r>
          </w:p>
          <w:p w14:paraId="1663F782" w14:textId="5376FC15" w:rsidR="00AF62F4" w:rsidRPr="0054775B" w:rsidRDefault="00FD6BC6" w:rsidP="00107BEE">
            <w:pPr>
              <w:pStyle w:val="2024TABLEFOOTER"/>
              <w:numPr>
                <w:ilvl w:val="0"/>
                <w:numId w:val="29"/>
              </w:numPr>
            </w:pPr>
            <w:r>
              <w:t xml:space="preserve">Low risk of bias across all assessed domains for primary study (no change for risk of bias). </w:t>
            </w:r>
            <w:r w:rsidR="00AF62F4" w:rsidRPr="0054775B">
              <w:t xml:space="preserve">Study questionnaire not provided, therefore cannot be sure if aligns with outcome (downgrade one for indirectness). </w:t>
            </w:r>
            <w:r w:rsidR="00AF62F4">
              <w:t xml:space="preserve">Very </w:t>
            </w:r>
            <w:r w:rsidR="00AF62F4" w:rsidRPr="0054775B" w:rsidDel="00AF62F4">
              <w:t>s</w:t>
            </w:r>
            <w:r w:rsidR="00AF62F4" w:rsidRPr="0054775B">
              <w:t>mall sample size</w:t>
            </w:r>
            <w:r w:rsidR="00F20E72">
              <w:t xml:space="preserve"> raising concerns about optimal information size</w:t>
            </w:r>
            <w:r w:rsidR="00AF62F4" w:rsidRPr="0054775B">
              <w:t xml:space="preserve">, no effect estimates provided (downgraded </w:t>
            </w:r>
            <w:r w:rsidR="00656621">
              <w:t>3</w:t>
            </w:r>
            <w:r w:rsidR="00AB40D0" w:rsidRPr="0054775B">
              <w:t xml:space="preserve"> </w:t>
            </w:r>
            <w:r w:rsidR="00AF62F4" w:rsidRPr="0054775B">
              <w:t>for</w:t>
            </w:r>
            <w:r w:rsidR="00EA4A62">
              <w:t xml:space="preserve"> very serious</w:t>
            </w:r>
            <w:r w:rsidR="00AF62F4" w:rsidRPr="0054775B">
              <w:t xml:space="preserve"> imprecision).</w:t>
            </w:r>
            <w:r w:rsidR="00AF62F4" w:rsidRPr="0054775B" w:rsidDel="00AF62F4">
              <w:t xml:space="preserve"> </w:t>
            </w:r>
            <w:r w:rsidR="00AF62F4">
              <w:t>No inconsistency due to singular study (no change for inconsistency).</w:t>
            </w:r>
            <w:r w:rsidR="007D3CF0">
              <w:t xml:space="preserve"> </w:t>
            </w:r>
            <w:r w:rsidR="007D3CF0" w:rsidRPr="007D3CF0">
              <w:rPr>
                <w:lang w:val="en-GB"/>
              </w:rPr>
              <w:t>Publication bias not assessed due to insufficient number of studies (no change for publication bias).</w:t>
            </w:r>
          </w:p>
        </w:tc>
      </w:tr>
    </w:tbl>
    <w:p w14:paraId="129CED3E" w14:textId="77777777" w:rsidR="004D52F5" w:rsidRPr="0054775B" w:rsidRDefault="004D52F5" w:rsidP="009E6F7F">
      <w:pPr>
        <w:sectPr w:rsidR="004D52F5" w:rsidRPr="0054775B" w:rsidSect="006A72DC">
          <w:pgSz w:w="16840" w:h="11910" w:orient="landscape"/>
          <w:pgMar w:top="1340" w:right="280" w:bottom="1340" w:left="1356" w:header="720" w:footer="720" w:gutter="0"/>
          <w:cols w:space="720"/>
          <w:docGrid w:linePitch="299"/>
        </w:sectPr>
      </w:pPr>
    </w:p>
    <w:p w14:paraId="7BFD4320" w14:textId="2A5C427B" w:rsidR="001465D0" w:rsidRPr="0054775B" w:rsidRDefault="00764746" w:rsidP="00F9201F">
      <w:pPr>
        <w:pStyle w:val="2024HEADER2"/>
      </w:pPr>
      <w:bookmarkStart w:id="73" w:name="_Toc179379619"/>
      <w:r w:rsidRPr="0054775B">
        <w:lastRenderedPageBreak/>
        <w:t xml:space="preserve">Insomnia/sleeping disorders, </w:t>
      </w:r>
      <w:r w:rsidR="00BE552B" w:rsidRPr="0054775B">
        <w:t>m</w:t>
      </w:r>
      <w:r w:rsidRPr="0054775B">
        <w:t>agnesium</w:t>
      </w:r>
      <w:bookmarkEnd w:id="73"/>
    </w:p>
    <w:p w14:paraId="400747CA" w14:textId="6542F547" w:rsidR="00764746" w:rsidRPr="0054775B" w:rsidRDefault="00764746" w:rsidP="009E6F7F">
      <w:pPr>
        <w:pStyle w:val="2024HEADER3"/>
        <w:rPr>
          <w:rFonts w:ascii="Aptos" w:hAnsi="Aptos"/>
        </w:rPr>
      </w:pPr>
      <w:r w:rsidRPr="0054775B">
        <w:rPr>
          <w:rFonts w:ascii="Aptos" w:hAnsi="Aptos"/>
        </w:rPr>
        <w:t>Description of condition</w:t>
      </w:r>
    </w:p>
    <w:p w14:paraId="52095FB9" w14:textId="4FD49F74" w:rsidR="00450F53" w:rsidRPr="0054775B" w:rsidRDefault="00A152C9" w:rsidP="009E6F7F">
      <w:r w:rsidRPr="0054775B">
        <w:t>Sleep disorders are a broad category of conditions that disrupt sleep patterns, quality, and duration.</w:t>
      </w:r>
      <w:r w:rsidR="00345D28" w:rsidRPr="0054775B">
        <w:t xml:space="preserve"> Common sleep disorders include insomnia, obstructive sleep </w:t>
      </w:r>
      <w:r w:rsidR="007E2287" w:rsidRPr="0054775B">
        <w:t>apnoea</w:t>
      </w:r>
      <w:r w:rsidR="00345D28" w:rsidRPr="0054775B">
        <w:t xml:space="preserve">, </w:t>
      </w:r>
      <w:r w:rsidR="004D73A1" w:rsidRPr="0054775B">
        <w:t xml:space="preserve">and </w:t>
      </w:r>
      <w:r w:rsidR="007E2287" w:rsidRPr="0054775B">
        <w:t xml:space="preserve">movement-related sleep disorders </w:t>
      </w:r>
      <w:r w:rsidR="004D73A1" w:rsidRPr="0054775B">
        <w:t xml:space="preserve">(e.g. </w:t>
      </w:r>
      <w:r w:rsidR="00345D28" w:rsidRPr="0054775B">
        <w:t>restless legs syndrome</w:t>
      </w:r>
      <w:r w:rsidR="004D73A1" w:rsidRPr="0054775B">
        <w:t>)</w:t>
      </w:r>
      <w:r w:rsidR="00345D28" w:rsidRPr="0054775B">
        <w:t xml:space="preserve"> </w:t>
      </w:r>
      <w:r w:rsidR="00A61385">
        <w:rPr>
          <w:noProof/>
        </w:rPr>
        <w:t>(70, 71)</w:t>
      </w:r>
      <w:r w:rsidR="001544F8" w:rsidRPr="0054775B">
        <w:t xml:space="preserve">. </w:t>
      </w:r>
      <w:r w:rsidR="00AF7034" w:rsidRPr="0054775B">
        <w:t xml:space="preserve">Estimates of prevalence </w:t>
      </w:r>
      <w:r w:rsidR="001676FA" w:rsidRPr="0054775B">
        <w:t xml:space="preserve">of these conditions </w:t>
      </w:r>
      <w:r w:rsidR="0080104B" w:rsidRPr="0054775B">
        <w:t>vary</w:t>
      </w:r>
      <w:r w:rsidR="00450F53" w:rsidRPr="0054775B">
        <w:t>; recent c</w:t>
      </w:r>
      <w:r w:rsidR="0052682B" w:rsidRPr="0054775B">
        <w:t xml:space="preserve">ross-sectional results have reported between 13.0% to </w:t>
      </w:r>
      <w:r w:rsidR="0080104B" w:rsidRPr="0054775B">
        <w:t xml:space="preserve">42.3% </w:t>
      </w:r>
      <w:r w:rsidR="0052682B" w:rsidRPr="0054775B">
        <w:t xml:space="preserve">of </w:t>
      </w:r>
      <w:r w:rsidR="00450F53" w:rsidRPr="0054775B">
        <w:t xml:space="preserve">Australian </w:t>
      </w:r>
      <w:r w:rsidR="0052682B" w:rsidRPr="0054775B">
        <w:t xml:space="preserve">participants </w:t>
      </w:r>
      <w:r w:rsidR="00450F53" w:rsidRPr="0054775B">
        <w:t>have at</w:t>
      </w:r>
      <w:r w:rsidR="0080104B" w:rsidRPr="0054775B">
        <w:t xml:space="preserve"> least one sleep disorder</w:t>
      </w:r>
      <w:r w:rsidR="009948B2" w:rsidRPr="0054775B">
        <w:t xml:space="preserve"> </w:t>
      </w:r>
      <w:r w:rsidR="00A61385">
        <w:rPr>
          <w:noProof/>
        </w:rPr>
        <w:t>(72, 73)</w:t>
      </w:r>
      <w:r w:rsidR="009948B2" w:rsidRPr="0054775B">
        <w:t>.</w:t>
      </w:r>
      <w:r w:rsidR="00DD04DC" w:rsidRPr="0054775B">
        <w:t xml:space="preserve"> </w:t>
      </w:r>
      <w:r w:rsidR="00C23831" w:rsidRPr="0054775B">
        <w:t xml:space="preserve">Sleep disorders cause significant impairment in social, occupational, educational, and behavioural function. Sleep disorders are also associated with an increased risk of other health conditions, including heart disease, hypertension, diabetes, stroke, and mental health conditions </w:t>
      </w:r>
      <w:r w:rsidR="00A61385">
        <w:rPr>
          <w:noProof/>
        </w:rPr>
        <w:t>(74)</w:t>
      </w:r>
      <w:r w:rsidR="00C23831" w:rsidRPr="0054775B">
        <w:t>.</w:t>
      </w:r>
    </w:p>
    <w:p w14:paraId="397AFF62" w14:textId="4A0F738A" w:rsidR="003948F3" w:rsidRPr="0054775B" w:rsidRDefault="00E95578" w:rsidP="009E6F7F">
      <w:r w:rsidRPr="0054775B">
        <w:t>Insomnia is one of the most common sleep conditions, with symptoms</w:t>
      </w:r>
      <w:r w:rsidR="003948F3" w:rsidRPr="0054775B">
        <w:t xml:space="preserve"> </w:t>
      </w:r>
      <w:r w:rsidR="00C23831" w:rsidRPr="0054775B">
        <w:t>of</w:t>
      </w:r>
      <w:r w:rsidR="003948F3" w:rsidRPr="0054775B">
        <w:t xml:space="preserve"> </w:t>
      </w:r>
      <w:r w:rsidR="00C23831" w:rsidRPr="0054775B">
        <w:t xml:space="preserve">non-restorative sleep, </w:t>
      </w:r>
      <w:r w:rsidR="003948F3" w:rsidRPr="0054775B">
        <w:t xml:space="preserve">difficulty initiating or maintaining sleep, early morning awakenings, and excessive daytime sleepiness </w:t>
      </w:r>
      <w:r w:rsidR="00A61385">
        <w:rPr>
          <w:noProof/>
        </w:rPr>
        <w:t>(70)</w:t>
      </w:r>
      <w:r w:rsidR="003948F3" w:rsidRPr="0054775B">
        <w:t xml:space="preserve">. Symptoms </w:t>
      </w:r>
      <w:r w:rsidR="00C23831" w:rsidRPr="0054775B">
        <w:t>are</w:t>
      </w:r>
      <w:r w:rsidR="003948F3" w:rsidRPr="0054775B">
        <w:t xml:space="preserve"> experienced regularly (e.g. at least 3 nights per week, for at least 3 months), and continue despite adequate opportunities for sleep </w:t>
      </w:r>
      <w:r w:rsidR="00A61385">
        <w:rPr>
          <w:noProof/>
        </w:rPr>
        <w:t>(70)</w:t>
      </w:r>
      <w:r w:rsidR="003948F3" w:rsidRPr="0054775B">
        <w:t>. Other sleep disorders like sleep apnoea, restless legs syndrome, and narcolepsy present with other distinct symptoms.</w:t>
      </w:r>
    </w:p>
    <w:p w14:paraId="2481BF34" w14:textId="6ECD3A3E" w:rsidR="00E328C7" w:rsidRPr="0054775B" w:rsidRDefault="00044ECB" w:rsidP="009E6F7F">
      <w:r w:rsidRPr="0054775B">
        <w:t xml:space="preserve">Diagnosing sleep disorders typically involves a clinical evaluation, sleep history, and potential sleep studies. </w:t>
      </w:r>
      <w:r w:rsidR="00A36747" w:rsidRPr="0054775B">
        <w:t xml:space="preserve">Diagnostic criteria </w:t>
      </w:r>
      <w:r w:rsidR="00134F8E" w:rsidRPr="0054775B">
        <w:t>include</w:t>
      </w:r>
      <w:r w:rsidR="00A36747" w:rsidRPr="0054775B">
        <w:t xml:space="preserve"> The International Classification of Sleep Disorders, Third Edition (ICSD-3), the Sleep Disorders section of the Diagnostic and Statistical Manual of Mental Disorders, Fifth Edition (DSM-5), or the International Classification of Diseases, Tenth Edition (ICD-10) </w:t>
      </w:r>
      <w:r w:rsidR="00A61385">
        <w:rPr>
          <w:noProof/>
        </w:rPr>
        <w:t>(70)</w:t>
      </w:r>
      <w:r w:rsidR="00A36747" w:rsidRPr="0054775B">
        <w:t xml:space="preserve">. </w:t>
      </w:r>
      <w:r w:rsidR="00FA6F01" w:rsidRPr="0054775B">
        <w:t>Polysomnography is a type of sleep study monitoring brainwaves, muscle activity, and other physiological parameters, and can aid in diagnosing specific sleep disorders like apnoea.</w:t>
      </w:r>
    </w:p>
    <w:p w14:paraId="37E8BFDF" w14:textId="427406DE" w:rsidR="000220A1" w:rsidRPr="0054775B" w:rsidRDefault="00764746" w:rsidP="000220A1">
      <w:pPr>
        <w:pStyle w:val="2024HEADER3"/>
        <w:rPr>
          <w:rFonts w:ascii="Aptos" w:hAnsi="Aptos"/>
        </w:rPr>
      </w:pPr>
      <w:r w:rsidRPr="0054775B">
        <w:rPr>
          <w:rFonts w:ascii="Aptos" w:hAnsi="Aptos"/>
        </w:rPr>
        <w:t>Description of the intervention</w:t>
      </w:r>
    </w:p>
    <w:p w14:paraId="1A1D77E6" w14:textId="235BB857" w:rsidR="000220A1" w:rsidRPr="0054775B" w:rsidRDefault="000220A1" w:rsidP="000220A1">
      <w:r w:rsidRPr="0054775B">
        <w:t xml:space="preserve">Magnesium (often abbreviated as its chemical symbol: Mg) is a naturally occurring mineral in the human body. It is an essential mineral playing numerous crucial roles in the human body, including enzymatic reactions, energy production, muscle function, and bone health </w:t>
      </w:r>
      <w:r w:rsidR="00A61385">
        <w:rPr>
          <w:noProof/>
        </w:rPr>
        <w:t>(16, 17)</w:t>
      </w:r>
      <w:r w:rsidRPr="0054775B">
        <w:t xml:space="preserve">. Recent evidence suggests that magnesium levels in the body may be associated with some health conditions, including Diabetes Mellitus (Type II), cardiovascular disease, osteoporosis, and migraines </w:t>
      </w:r>
      <w:r w:rsidR="00A61385">
        <w:rPr>
          <w:noProof/>
        </w:rPr>
        <w:t>(17)</w:t>
      </w:r>
      <w:r w:rsidRPr="0054775B">
        <w:t>.</w:t>
      </w:r>
    </w:p>
    <w:p w14:paraId="778D63DB" w14:textId="0B32CBB0" w:rsidR="000220A1" w:rsidRPr="0054775B" w:rsidRDefault="000220A1" w:rsidP="000220A1">
      <w:r w:rsidRPr="0054775B">
        <w:t xml:space="preserve">It is thought that Magnesium </w:t>
      </w:r>
      <w:r w:rsidRPr="0054775B" w:rsidDel="001909D9">
        <w:t xml:space="preserve">may </w:t>
      </w:r>
      <w:r w:rsidR="001909D9">
        <w:rPr>
          <w:lang w:val="en-GB"/>
        </w:rPr>
        <w:t>p</w:t>
      </w:r>
      <w:r w:rsidR="001909D9" w:rsidRPr="001909D9">
        <w:rPr>
          <w:lang w:val="en-GB"/>
        </w:rPr>
        <w:t>lay a role in lowering abnormal levels of</w:t>
      </w:r>
      <w:r w:rsidRPr="001909D9" w:rsidDel="001909D9">
        <w:rPr>
          <w:lang w:val="en-GB"/>
        </w:rPr>
        <w:t xml:space="preserve"> cortisol</w:t>
      </w:r>
      <w:r w:rsidDel="001909D9">
        <w:rPr>
          <w:lang w:val="en-GB"/>
        </w:rPr>
        <w:t xml:space="preserve"> </w:t>
      </w:r>
      <w:r w:rsidRPr="0054775B">
        <w:t xml:space="preserve">and regulate neurotransmitters in the brain </w:t>
      </w:r>
      <w:r w:rsidR="00A61385">
        <w:rPr>
          <w:noProof/>
        </w:rPr>
        <w:t>(18)</w:t>
      </w:r>
      <w:r w:rsidRPr="0054775B">
        <w:t xml:space="preserve">. Cortisol, a stress hormone, can worsen anxiety when chronically elevated, and magnesium may help reduce cortisol, thereby reducing anxiety. The proposed mechanism for this is that Magnesium blunts the release of the excitatory neurotransmitter glutamate and promotes the release of the inhibitory neurotransmitter GABA, helping keep anxiety in check. </w:t>
      </w:r>
    </w:p>
    <w:p w14:paraId="063CB655" w14:textId="5796902B" w:rsidR="000220A1" w:rsidRPr="0054775B" w:rsidRDefault="000220A1" w:rsidP="000220A1">
      <w:r w:rsidRPr="0054775B">
        <w:t xml:space="preserve">The recommended dietary intake for magnesium varies depending on age and sex, typically ranging from 310-420 mg daily for adults </w:t>
      </w:r>
      <w:r w:rsidR="00A61385">
        <w:rPr>
          <w:noProof/>
        </w:rPr>
        <w:t>(19)</w:t>
      </w:r>
      <w:r w:rsidRPr="0054775B">
        <w:t xml:space="preserve">. While it is a </w:t>
      </w:r>
      <w:r w:rsidRPr="0054775B">
        <w:rPr>
          <w:sz w:val="21"/>
          <w:szCs w:val="21"/>
        </w:rPr>
        <w:t>typical</w:t>
      </w:r>
      <w:r w:rsidRPr="0054775B">
        <w:t xml:space="preserve"> component of most diets, and is abundant in foods such as leafy vegetables, nuts, legumes, and grains, supplementation is available. Magnesium supplements come in several forms with varying bioavailability (absorption rates), including magnesium oxide, citrate, glycinate, or lactate </w:t>
      </w:r>
      <w:r w:rsidR="00A61385">
        <w:rPr>
          <w:noProof/>
        </w:rPr>
        <w:t>(17)</w:t>
      </w:r>
      <w:r w:rsidRPr="0054775B">
        <w:t xml:space="preserve">. </w:t>
      </w:r>
    </w:p>
    <w:p w14:paraId="4F7B20AC" w14:textId="02A7CF89" w:rsidR="000220A1" w:rsidRPr="0054775B" w:rsidRDefault="000220A1" w:rsidP="000220A1">
      <w:r w:rsidRPr="0054775B">
        <w:t xml:space="preserve">Oral magnesium supplements are readily available without prescription and are sometimes sold in tandem with one or multiple other nutritional supplements. Magnesium supplements are </w:t>
      </w:r>
      <w:r w:rsidRPr="0054775B">
        <w:lastRenderedPageBreak/>
        <w:t>generally safe for most people when taken at appropriate doses</w:t>
      </w:r>
      <w:r w:rsidR="00577A9E">
        <w:rPr>
          <w:rStyle w:val="FootnoteReference"/>
        </w:rPr>
        <w:footnoteReference w:id="4"/>
      </w:r>
      <w:r w:rsidRPr="0054775B">
        <w:t xml:space="preserve">; though some medications may interact with magnesium (including antibiotics, diuretics and bisphosphonates) </w:t>
      </w:r>
      <w:r w:rsidR="00A61385">
        <w:rPr>
          <w:noProof/>
        </w:rPr>
        <w:t>(17)</w:t>
      </w:r>
      <w:r w:rsidRPr="0054775B">
        <w:t>. Excess magnesium is usually</w:t>
      </w:r>
      <w:r w:rsidRPr="0054775B" w:rsidDel="001909D9">
        <w:t xml:space="preserve"> </w:t>
      </w:r>
      <w:r w:rsidR="001909D9">
        <w:t>excreted</w:t>
      </w:r>
      <w:r w:rsidR="001909D9" w:rsidRPr="0054775B">
        <w:t xml:space="preserve"> </w:t>
      </w:r>
      <w:r w:rsidRPr="0054775B">
        <w:t xml:space="preserve">by the kidneys as urine, though very high amounts of magnesium from dietary supplements can result in diarrhea, nausea and abdominal cramping </w:t>
      </w:r>
      <w:r w:rsidR="00A61385">
        <w:rPr>
          <w:noProof/>
        </w:rPr>
        <w:t>(17)</w:t>
      </w:r>
      <w:r w:rsidRPr="0054775B">
        <w:t>.</w:t>
      </w:r>
    </w:p>
    <w:p w14:paraId="002D6ADB" w14:textId="2F382A47" w:rsidR="00764746" w:rsidRPr="0054775B" w:rsidRDefault="00764746" w:rsidP="009E6F7F">
      <w:pPr>
        <w:pStyle w:val="2024HEADER3"/>
        <w:rPr>
          <w:rFonts w:ascii="Aptos" w:hAnsi="Aptos"/>
        </w:rPr>
      </w:pPr>
      <w:r w:rsidRPr="0054775B">
        <w:rPr>
          <w:rFonts w:ascii="Aptos" w:hAnsi="Aptos"/>
        </w:rPr>
        <w:t>Prioritised outcomes</w:t>
      </w:r>
    </w:p>
    <w:p w14:paraId="7BF279FE" w14:textId="755D2BA9" w:rsidR="007B22B2" w:rsidRPr="0054775B" w:rsidRDefault="007B22B2" w:rsidP="009E6F7F">
      <w:r w:rsidRPr="0054775B">
        <w:t xml:space="preserve">Seven </w:t>
      </w:r>
      <w:r w:rsidR="00150E1C" w:rsidRPr="0054775B">
        <w:t xml:space="preserve">priority outcomes were identified </w:t>
      </w:r>
      <w:r w:rsidR="007F404D" w:rsidRPr="0054775B">
        <w:t>by NTWC as part of the Outcome Prioritisation Exercise. These are listed below by order of priority.</w:t>
      </w:r>
      <w:r w:rsidR="007F404D" w:rsidRPr="0054775B" w:rsidDel="00913358">
        <w:t xml:space="preserve"> </w:t>
      </w:r>
      <w:r w:rsidR="00150E1C" w:rsidRPr="0054775B">
        <w:t>Outcomes were rated by their importance to decision-making, with those rated 7-9 being critical for decision-making.</w:t>
      </w:r>
    </w:p>
    <w:p w14:paraId="6968FE31" w14:textId="0DE6D49E" w:rsidR="00764746" w:rsidRPr="0054775B" w:rsidRDefault="00134F8E" w:rsidP="009760CB">
      <w:pPr>
        <w:pStyle w:val="2024TABLECAPTION"/>
        <w:rPr>
          <w:rFonts w:ascii="Aptos" w:hAnsi="Aptos"/>
        </w:rPr>
      </w:pPr>
      <w:bookmarkStart w:id="74" w:name="_Toc185261591"/>
      <w:r w:rsidRPr="0054775B">
        <w:rPr>
          <w:rFonts w:ascii="Aptos" w:hAnsi="Aptos"/>
        </w:rPr>
        <w:t xml:space="preserve">Table </w:t>
      </w:r>
      <w:r w:rsidR="002F1F6C" w:rsidRPr="0054775B">
        <w:rPr>
          <w:rFonts w:ascii="Aptos" w:hAnsi="Aptos"/>
        </w:rPr>
        <w:fldChar w:fldCharType="begin"/>
      </w:r>
      <w:r w:rsidR="002F1F6C" w:rsidRPr="0054775B">
        <w:rPr>
          <w:rFonts w:ascii="Aptos" w:hAnsi="Aptos"/>
        </w:rPr>
        <w:instrText xml:space="preserve"> SEQ Table \* ARABIC </w:instrText>
      </w:r>
      <w:r w:rsidR="002F1F6C" w:rsidRPr="0054775B">
        <w:rPr>
          <w:rFonts w:ascii="Aptos" w:hAnsi="Aptos"/>
        </w:rPr>
        <w:fldChar w:fldCharType="separate"/>
      </w:r>
      <w:r w:rsidR="00651E04">
        <w:rPr>
          <w:rFonts w:ascii="Aptos" w:hAnsi="Aptos"/>
          <w:noProof/>
        </w:rPr>
        <w:t>13</w:t>
      </w:r>
      <w:r w:rsidR="002F1F6C" w:rsidRPr="0054775B">
        <w:rPr>
          <w:rFonts w:ascii="Aptos" w:hAnsi="Aptos"/>
          <w:noProof/>
        </w:rPr>
        <w:fldChar w:fldCharType="end"/>
      </w:r>
      <w:r w:rsidRPr="0054775B">
        <w:rPr>
          <w:rFonts w:ascii="Aptos" w:hAnsi="Aptos"/>
        </w:rPr>
        <w:t xml:space="preserve">. </w:t>
      </w:r>
      <w:r w:rsidR="00764746" w:rsidRPr="0054775B">
        <w:rPr>
          <w:rFonts w:ascii="Aptos" w:hAnsi="Aptos"/>
        </w:rPr>
        <w:t xml:space="preserve">List of prioritised outcomes – </w:t>
      </w:r>
      <w:r w:rsidR="00150E1C" w:rsidRPr="0054775B">
        <w:rPr>
          <w:rFonts w:ascii="Aptos" w:hAnsi="Aptos"/>
        </w:rPr>
        <w:t>i</w:t>
      </w:r>
      <w:r w:rsidR="0012437F" w:rsidRPr="0054775B">
        <w:rPr>
          <w:rFonts w:ascii="Aptos" w:hAnsi="Aptos"/>
        </w:rPr>
        <w:t xml:space="preserve">nsomnia/sleeping disorders, </w:t>
      </w:r>
      <w:r w:rsidR="00150E1C" w:rsidRPr="0054775B">
        <w:rPr>
          <w:rFonts w:ascii="Aptos" w:hAnsi="Aptos"/>
        </w:rPr>
        <w:t>m</w:t>
      </w:r>
      <w:r w:rsidR="00764746" w:rsidRPr="0054775B">
        <w:rPr>
          <w:rFonts w:ascii="Aptos" w:hAnsi="Aptos"/>
        </w:rPr>
        <w:t>agnesium (as assessed as part of the Outcome Prioritisation Exercise by NTWC).</w:t>
      </w:r>
      <w:bookmarkEnd w:id="74"/>
      <w:r w:rsidR="00764746" w:rsidRPr="0054775B">
        <w:rPr>
          <w:rFonts w:ascii="Aptos" w:hAnsi="Aptos"/>
        </w:rPr>
        <w:t> </w:t>
      </w:r>
    </w:p>
    <w:tbl>
      <w:tblPr>
        <w:tblW w:w="8642" w:type="dxa"/>
        <w:tblCellMar>
          <w:top w:w="28" w:type="dxa"/>
          <w:left w:w="57" w:type="dxa"/>
          <w:bottom w:w="28" w:type="dxa"/>
          <w:right w:w="28" w:type="dxa"/>
        </w:tblCellMar>
        <w:tblLook w:val="04A0" w:firstRow="1" w:lastRow="0" w:firstColumn="1" w:lastColumn="0" w:noHBand="0" w:noVBand="1"/>
      </w:tblPr>
      <w:tblGrid>
        <w:gridCol w:w="349"/>
        <w:gridCol w:w="1249"/>
        <w:gridCol w:w="1229"/>
        <w:gridCol w:w="758"/>
        <w:gridCol w:w="5057"/>
      </w:tblGrid>
      <w:tr w:rsidR="007E3399" w:rsidRPr="0054775B" w14:paraId="2E3FCE33" w14:textId="77777777" w:rsidTr="00913358">
        <w:trPr>
          <w:trHeight w:val="95"/>
        </w:trPr>
        <w:tc>
          <w:tcPr>
            <w:tcW w:w="0" w:type="auto"/>
            <w:vMerge w:val="restart"/>
            <w:tcBorders>
              <w:top w:val="single" w:sz="4" w:space="0" w:color="auto"/>
              <w:left w:val="single" w:sz="4" w:space="0" w:color="auto"/>
              <w:right w:val="single" w:sz="4" w:space="0" w:color="auto"/>
            </w:tcBorders>
            <w:shd w:val="clear" w:color="auto" w:fill="D9D9D9" w:themeFill="background1" w:themeFillShade="D9"/>
            <w:vAlign w:val="center"/>
            <w:hideMark/>
          </w:tcPr>
          <w:p w14:paraId="7BEC8533" w14:textId="77777777" w:rsidR="00913358" w:rsidRPr="0054775B" w:rsidRDefault="00913358" w:rsidP="00515FE7">
            <w:pPr>
              <w:pStyle w:val="2024TABLEHEADER"/>
            </w:pPr>
            <w:r w:rsidRPr="0054775B">
              <w:t> #</w:t>
            </w:r>
          </w:p>
        </w:tc>
        <w:tc>
          <w:tcPr>
            <w:tcW w:w="1249" w:type="dxa"/>
            <w:vMerge w:val="restart"/>
            <w:tcBorders>
              <w:top w:val="single" w:sz="4" w:space="0" w:color="auto"/>
              <w:left w:val="nil"/>
              <w:right w:val="single" w:sz="4" w:space="0" w:color="auto"/>
            </w:tcBorders>
            <w:shd w:val="clear" w:color="auto" w:fill="D9D9D9" w:themeFill="background1" w:themeFillShade="D9"/>
            <w:vAlign w:val="center"/>
            <w:hideMark/>
          </w:tcPr>
          <w:p w14:paraId="3BBEF73B" w14:textId="77777777" w:rsidR="00913358" w:rsidRPr="0054775B" w:rsidRDefault="00913358" w:rsidP="00515FE7">
            <w:pPr>
              <w:pStyle w:val="2024TABLEHEADER"/>
              <w:rPr>
                <w:color w:val="000000"/>
              </w:rPr>
            </w:pPr>
            <w:r w:rsidRPr="0054775B">
              <w:t>Priority population</w:t>
            </w:r>
          </w:p>
        </w:tc>
        <w:tc>
          <w:tcPr>
            <w:tcW w:w="1229" w:type="dxa"/>
            <w:vMerge w:val="restart"/>
            <w:tcBorders>
              <w:top w:val="single" w:sz="4" w:space="0" w:color="auto"/>
              <w:left w:val="nil"/>
              <w:right w:val="single" w:sz="4" w:space="0" w:color="auto"/>
            </w:tcBorders>
            <w:shd w:val="clear" w:color="auto" w:fill="D9D9D9" w:themeFill="background1" w:themeFillShade="D9"/>
            <w:vAlign w:val="center"/>
            <w:hideMark/>
          </w:tcPr>
          <w:p w14:paraId="281F5618" w14:textId="77777777" w:rsidR="00913358" w:rsidRPr="0054775B" w:rsidRDefault="00913358" w:rsidP="00515FE7">
            <w:pPr>
              <w:pStyle w:val="2024TABLEHEADER"/>
              <w:rPr>
                <w:color w:val="000000"/>
              </w:rPr>
            </w:pPr>
            <w:r w:rsidRPr="0054775B">
              <w:t xml:space="preserve">Priority intervention </w:t>
            </w:r>
          </w:p>
        </w:tc>
        <w:tc>
          <w:tcPr>
            <w:tcW w:w="5815" w:type="dxa"/>
            <w:gridSpan w:val="2"/>
            <w:tcBorders>
              <w:top w:val="single" w:sz="4" w:space="0" w:color="auto"/>
              <w:left w:val="nil"/>
              <w:bottom w:val="single" w:sz="4" w:space="0" w:color="auto"/>
              <w:right w:val="single" w:sz="4" w:space="0" w:color="auto"/>
            </w:tcBorders>
            <w:shd w:val="clear" w:color="auto" w:fill="D9D9D9" w:themeFill="background1" w:themeFillShade="D9"/>
            <w:vAlign w:val="center"/>
          </w:tcPr>
          <w:p w14:paraId="054FED1E" w14:textId="67E2DBE8" w:rsidR="00913358" w:rsidRPr="0054775B" w:rsidRDefault="00913358" w:rsidP="00515FE7">
            <w:pPr>
              <w:pStyle w:val="2024TABLEHEADER"/>
            </w:pPr>
            <w:r w:rsidRPr="0054775B">
              <w:t>Priority outcomes</w:t>
            </w:r>
          </w:p>
        </w:tc>
      </w:tr>
      <w:tr w:rsidR="007E3399" w:rsidRPr="0054775B" w14:paraId="691D5622" w14:textId="77777777" w:rsidTr="00913358">
        <w:trPr>
          <w:trHeight w:val="95"/>
        </w:trPr>
        <w:tc>
          <w:tcPr>
            <w:tcW w:w="0" w:type="auto"/>
            <w:vMerge/>
            <w:tcBorders>
              <w:left w:val="single" w:sz="4" w:space="0" w:color="auto"/>
              <w:bottom w:val="single" w:sz="4" w:space="0" w:color="auto"/>
              <w:right w:val="single" w:sz="4" w:space="0" w:color="auto"/>
            </w:tcBorders>
            <w:shd w:val="clear" w:color="auto" w:fill="D9D9D9" w:themeFill="background1" w:themeFillShade="D9"/>
            <w:vAlign w:val="center"/>
          </w:tcPr>
          <w:p w14:paraId="60D64CF2" w14:textId="77777777" w:rsidR="00913358" w:rsidRPr="0054775B" w:rsidRDefault="00913358" w:rsidP="00515FE7">
            <w:pPr>
              <w:pStyle w:val="2024TABLEHEADER"/>
            </w:pPr>
          </w:p>
        </w:tc>
        <w:tc>
          <w:tcPr>
            <w:tcW w:w="1249" w:type="dxa"/>
            <w:vMerge/>
            <w:tcBorders>
              <w:left w:val="nil"/>
              <w:bottom w:val="single" w:sz="4" w:space="0" w:color="auto"/>
              <w:right w:val="single" w:sz="4" w:space="0" w:color="auto"/>
            </w:tcBorders>
            <w:shd w:val="clear" w:color="auto" w:fill="D9D9D9" w:themeFill="background1" w:themeFillShade="D9"/>
            <w:vAlign w:val="center"/>
          </w:tcPr>
          <w:p w14:paraId="1852D8A0" w14:textId="77777777" w:rsidR="00913358" w:rsidRPr="0054775B" w:rsidRDefault="00913358" w:rsidP="00515FE7">
            <w:pPr>
              <w:pStyle w:val="2024TABLEHEADER"/>
            </w:pPr>
          </w:p>
        </w:tc>
        <w:tc>
          <w:tcPr>
            <w:tcW w:w="1229" w:type="dxa"/>
            <w:vMerge/>
            <w:tcBorders>
              <w:left w:val="nil"/>
              <w:bottom w:val="single" w:sz="4" w:space="0" w:color="auto"/>
              <w:right w:val="single" w:sz="4" w:space="0" w:color="auto"/>
            </w:tcBorders>
            <w:shd w:val="clear" w:color="auto" w:fill="D9D9D9" w:themeFill="background1" w:themeFillShade="D9"/>
            <w:vAlign w:val="center"/>
          </w:tcPr>
          <w:p w14:paraId="3D4D3D81" w14:textId="77777777" w:rsidR="00913358" w:rsidRPr="0054775B" w:rsidRDefault="00913358" w:rsidP="00515FE7">
            <w:pPr>
              <w:pStyle w:val="2024TABLEHEADER"/>
            </w:pPr>
          </w:p>
        </w:tc>
        <w:tc>
          <w:tcPr>
            <w:tcW w:w="758" w:type="dxa"/>
            <w:tcBorders>
              <w:top w:val="nil"/>
              <w:left w:val="nil"/>
              <w:bottom w:val="single" w:sz="4" w:space="0" w:color="auto"/>
              <w:right w:val="single" w:sz="4" w:space="0" w:color="auto"/>
            </w:tcBorders>
            <w:shd w:val="clear" w:color="auto" w:fill="D9D9D9" w:themeFill="background1" w:themeFillShade="D9"/>
            <w:vAlign w:val="center"/>
          </w:tcPr>
          <w:p w14:paraId="573D4D5C" w14:textId="77777777" w:rsidR="00913358" w:rsidRPr="0054775B" w:rsidRDefault="00913358" w:rsidP="00515FE7">
            <w:pPr>
              <w:pStyle w:val="2024TABLEHEADER"/>
            </w:pPr>
            <w:r w:rsidRPr="0054775B">
              <w:t>NTWC Rating</w:t>
            </w:r>
          </w:p>
        </w:tc>
        <w:tc>
          <w:tcPr>
            <w:tcW w:w="5057" w:type="dxa"/>
            <w:tcBorders>
              <w:top w:val="nil"/>
              <w:left w:val="nil"/>
              <w:bottom w:val="single" w:sz="4" w:space="0" w:color="auto"/>
              <w:right w:val="single" w:sz="4" w:space="0" w:color="auto"/>
            </w:tcBorders>
            <w:shd w:val="clear" w:color="auto" w:fill="D9D9D9" w:themeFill="background1" w:themeFillShade="D9"/>
            <w:vAlign w:val="center"/>
          </w:tcPr>
          <w:p w14:paraId="65CDB7E8" w14:textId="20F49A32" w:rsidR="00913358" w:rsidRPr="0054775B" w:rsidRDefault="00913358" w:rsidP="00515FE7">
            <w:pPr>
              <w:pStyle w:val="2024TABLEHEADER"/>
            </w:pPr>
            <w:r w:rsidRPr="0054775B">
              <w:t>Outcome</w:t>
            </w:r>
            <w:r>
              <w:t xml:space="preserve"> domain</w:t>
            </w:r>
          </w:p>
        </w:tc>
      </w:tr>
      <w:tr w:rsidR="00913358" w:rsidRPr="0054775B" w14:paraId="7F8A7504" w14:textId="77777777" w:rsidTr="00486D1A">
        <w:trPr>
          <w:trHeight w:val="95"/>
        </w:trPr>
        <w:tc>
          <w:tcPr>
            <w:tcW w:w="0" w:type="auto"/>
            <w:vMerge w:val="restart"/>
            <w:tcBorders>
              <w:top w:val="nil"/>
              <w:left w:val="single" w:sz="4" w:space="0" w:color="auto"/>
              <w:right w:val="single" w:sz="4" w:space="0" w:color="auto"/>
            </w:tcBorders>
            <w:shd w:val="clear" w:color="auto" w:fill="auto"/>
            <w:vAlign w:val="center"/>
          </w:tcPr>
          <w:p w14:paraId="257E3BBB" w14:textId="107C7773" w:rsidR="00913358" w:rsidRPr="0054775B" w:rsidRDefault="00913358" w:rsidP="002E5449">
            <w:pPr>
              <w:pStyle w:val="2024TABLETEXT"/>
              <w:framePr w:hSpace="0" w:wrap="auto" w:vAnchor="margin" w:yAlign="inline"/>
              <w:suppressOverlap w:val="0"/>
            </w:pPr>
            <w:r w:rsidRPr="0054775B">
              <w:t>4</w:t>
            </w:r>
          </w:p>
        </w:tc>
        <w:tc>
          <w:tcPr>
            <w:tcW w:w="1249" w:type="dxa"/>
            <w:vMerge w:val="restart"/>
            <w:tcBorders>
              <w:top w:val="nil"/>
              <w:left w:val="nil"/>
              <w:right w:val="single" w:sz="4" w:space="0" w:color="auto"/>
            </w:tcBorders>
            <w:shd w:val="clear" w:color="auto" w:fill="auto"/>
            <w:vAlign w:val="center"/>
          </w:tcPr>
          <w:p w14:paraId="76C6458E" w14:textId="11FF2131" w:rsidR="00913358" w:rsidRPr="0054775B" w:rsidRDefault="00913358" w:rsidP="002E5449">
            <w:pPr>
              <w:pStyle w:val="2024TABLETEXT"/>
              <w:framePr w:hSpace="0" w:wrap="auto" w:vAnchor="margin" w:yAlign="inline"/>
              <w:suppressOverlap w:val="0"/>
            </w:pPr>
            <w:r w:rsidRPr="0054775B">
              <w:t>Insomnia/ Sleeping disorders</w:t>
            </w:r>
          </w:p>
        </w:tc>
        <w:tc>
          <w:tcPr>
            <w:tcW w:w="1229" w:type="dxa"/>
            <w:vMerge w:val="restart"/>
            <w:tcBorders>
              <w:top w:val="nil"/>
              <w:left w:val="nil"/>
              <w:right w:val="single" w:sz="4" w:space="0" w:color="auto"/>
            </w:tcBorders>
            <w:shd w:val="clear" w:color="auto" w:fill="auto"/>
            <w:vAlign w:val="center"/>
          </w:tcPr>
          <w:p w14:paraId="2F674383" w14:textId="03A900F0" w:rsidR="00913358" w:rsidRPr="0054775B" w:rsidRDefault="00913358" w:rsidP="002E5449">
            <w:pPr>
              <w:pStyle w:val="2024TABLETEXT"/>
              <w:framePr w:hSpace="0" w:wrap="auto" w:vAnchor="margin" w:yAlign="inline"/>
              <w:suppressOverlap w:val="0"/>
            </w:pPr>
            <w:r w:rsidRPr="0054775B">
              <w:t>Magnesium</w:t>
            </w:r>
          </w:p>
        </w:tc>
        <w:tc>
          <w:tcPr>
            <w:tcW w:w="758" w:type="dxa"/>
            <w:tcBorders>
              <w:top w:val="nil"/>
              <w:left w:val="nil"/>
              <w:bottom w:val="single" w:sz="4" w:space="0" w:color="auto"/>
              <w:right w:val="single" w:sz="4" w:space="0" w:color="auto"/>
            </w:tcBorders>
            <w:shd w:val="clear" w:color="auto" w:fill="auto"/>
            <w:vAlign w:val="center"/>
          </w:tcPr>
          <w:p w14:paraId="2795B3DC" w14:textId="0595AA25" w:rsidR="00913358" w:rsidRPr="0054775B" w:rsidRDefault="00913358" w:rsidP="002E5449">
            <w:pPr>
              <w:pStyle w:val="2024TABLETEXT"/>
              <w:framePr w:hSpace="0" w:wrap="auto" w:vAnchor="margin" w:yAlign="inline"/>
              <w:suppressOverlap w:val="0"/>
            </w:pPr>
            <w:r w:rsidRPr="0054775B">
              <w:t>9</w:t>
            </w:r>
          </w:p>
        </w:tc>
        <w:tc>
          <w:tcPr>
            <w:tcW w:w="5057" w:type="dxa"/>
            <w:tcBorders>
              <w:top w:val="nil"/>
              <w:left w:val="nil"/>
              <w:bottom w:val="single" w:sz="4" w:space="0" w:color="auto"/>
              <w:right w:val="single" w:sz="4" w:space="0" w:color="auto"/>
            </w:tcBorders>
            <w:shd w:val="clear" w:color="auto" w:fill="auto"/>
          </w:tcPr>
          <w:p w14:paraId="3521CC66" w14:textId="59ACEE55" w:rsidR="00913358" w:rsidRPr="0054775B" w:rsidRDefault="00913358" w:rsidP="002E5449">
            <w:pPr>
              <w:pStyle w:val="2024TABLETEXT"/>
              <w:framePr w:hSpace="0" w:wrap="auto" w:vAnchor="margin" w:yAlign="inline"/>
              <w:suppressOverlap w:val="0"/>
            </w:pPr>
            <w:r w:rsidRPr="0054775B">
              <w:t>Improvement in clinical levels of insomnia</w:t>
            </w:r>
          </w:p>
        </w:tc>
      </w:tr>
      <w:tr w:rsidR="00913358" w:rsidRPr="0054775B" w14:paraId="38592398" w14:textId="77777777" w:rsidTr="00486D1A">
        <w:trPr>
          <w:trHeight w:val="95"/>
        </w:trPr>
        <w:tc>
          <w:tcPr>
            <w:tcW w:w="0" w:type="auto"/>
            <w:vMerge/>
            <w:tcBorders>
              <w:left w:val="single" w:sz="4" w:space="0" w:color="auto"/>
              <w:right w:val="single" w:sz="4" w:space="0" w:color="auto"/>
            </w:tcBorders>
            <w:shd w:val="clear" w:color="auto" w:fill="auto"/>
            <w:vAlign w:val="center"/>
          </w:tcPr>
          <w:p w14:paraId="7DB81DF3" w14:textId="77777777" w:rsidR="00913358" w:rsidRPr="0054775B" w:rsidRDefault="00913358" w:rsidP="002E5449">
            <w:pPr>
              <w:pStyle w:val="2024TABLETEXT"/>
              <w:framePr w:hSpace="0" w:wrap="auto" w:vAnchor="margin" w:yAlign="inline"/>
              <w:suppressOverlap w:val="0"/>
            </w:pPr>
          </w:p>
        </w:tc>
        <w:tc>
          <w:tcPr>
            <w:tcW w:w="1249" w:type="dxa"/>
            <w:vMerge/>
            <w:tcBorders>
              <w:left w:val="nil"/>
              <w:right w:val="single" w:sz="4" w:space="0" w:color="auto"/>
            </w:tcBorders>
            <w:shd w:val="clear" w:color="auto" w:fill="auto"/>
            <w:vAlign w:val="center"/>
          </w:tcPr>
          <w:p w14:paraId="1B61EB17" w14:textId="77777777" w:rsidR="00913358" w:rsidRPr="0054775B" w:rsidRDefault="00913358" w:rsidP="002E5449">
            <w:pPr>
              <w:pStyle w:val="2024TABLETEXT"/>
              <w:framePr w:hSpace="0" w:wrap="auto" w:vAnchor="margin" w:yAlign="inline"/>
              <w:suppressOverlap w:val="0"/>
            </w:pPr>
          </w:p>
        </w:tc>
        <w:tc>
          <w:tcPr>
            <w:tcW w:w="1229" w:type="dxa"/>
            <w:vMerge/>
            <w:tcBorders>
              <w:left w:val="nil"/>
              <w:right w:val="single" w:sz="4" w:space="0" w:color="auto"/>
            </w:tcBorders>
            <w:shd w:val="clear" w:color="auto" w:fill="auto"/>
            <w:vAlign w:val="center"/>
          </w:tcPr>
          <w:p w14:paraId="168495EB" w14:textId="77777777" w:rsidR="00913358" w:rsidRPr="0054775B" w:rsidRDefault="00913358" w:rsidP="002E5449">
            <w:pPr>
              <w:pStyle w:val="2024TABLETEXT"/>
              <w:framePr w:hSpace="0" w:wrap="auto" w:vAnchor="margin" w:yAlign="inline"/>
              <w:suppressOverlap w:val="0"/>
            </w:pPr>
          </w:p>
        </w:tc>
        <w:tc>
          <w:tcPr>
            <w:tcW w:w="758" w:type="dxa"/>
            <w:tcBorders>
              <w:top w:val="nil"/>
              <w:left w:val="nil"/>
              <w:bottom w:val="single" w:sz="4" w:space="0" w:color="auto"/>
              <w:right w:val="single" w:sz="4" w:space="0" w:color="auto"/>
            </w:tcBorders>
            <w:shd w:val="clear" w:color="auto" w:fill="auto"/>
            <w:vAlign w:val="center"/>
          </w:tcPr>
          <w:p w14:paraId="77781390" w14:textId="5A40291D" w:rsidR="00913358" w:rsidRPr="0054775B" w:rsidRDefault="00913358" w:rsidP="002E5449">
            <w:pPr>
              <w:pStyle w:val="2024TABLETEXT"/>
              <w:framePr w:hSpace="0" w:wrap="auto" w:vAnchor="margin" w:yAlign="inline"/>
              <w:suppressOverlap w:val="0"/>
            </w:pPr>
            <w:r w:rsidRPr="0054775B">
              <w:t>8</w:t>
            </w:r>
          </w:p>
        </w:tc>
        <w:tc>
          <w:tcPr>
            <w:tcW w:w="5057" w:type="dxa"/>
            <w:tcBorders>
              <w:top w:val="nil"/>
              <w:left w:val="nil"/>
              <w:bottom w:val="single" w:sz="4" w:space="0" w:color="auto"/>
              <w:right w:val="single" w:sz="4" w:space="0" w:color="auto"/>
            </w:tcBorders>
            <w:shd w:val="clear" w:color="auto" w:fill="auto"/>
          </w:tcPr>
          <w:p w14:paraId="5493682F" w14:textId="6A762F80" w:rsidR="00913358" w:rsidRPr="0054775B" w:rsidRDefault="00913358" w:rsidP="002E5449">
            <w:pPr>
              <w:pStyle w:val="2024TABLETEXT"/>
              <w:framePr w:hSpace="0" w:wrap="auto" w:vAnchor="margin" w:yAlign="inline"/>
              <w:suppressOverlap w:val="0"/>
            </w:pPr>
            <w:r w:rsidRPr="0054775B">
              <w:t>Global improvement in sleep quality or quantity (subjective)</w:t>
            </w:r>
          </w:p>
        </w:tc>
      </w:tr>
      <w:tr w:rsidR="00913358" w:rsidRPr="0054775B" w14:paraId="478F915D" w14:textId="77777777" w:rsidTr="00486D1A">
        <w:trPr>
          <w:trHeight w:val="95"/>
        </w:trPr>
        <w:tc>
          <w:tcPr>
            <w:tcW w:w="0" w:type="auto"/>
            <w:vMerge/>
            <w:tcBorders>
              <w:left w:val="single" w:sz="4" w:space="0" w:color="auto"/>
              <w:right w:val="single" w:sz="4" w:space="0" w:color="auto"/>
            </w:tcBorders>
            <w:shd w:val="clear" w:color="auto" w:fill="auto"/>
            <w:vAlign w:val="center"/>
          </w:tcPr>
          <w:p w14:paraId="4EB75AC1" w14:textId="77777777" w:rsidR="00913358" w:rsidRPr="0054775B" w:rsidRDefault="00913358" w:rsidP="002E5449">
            <w:pPr>
              <w:pStyle w:val="2024TABLETEXT"/>
              <w:framePr w:hSpace="0" w:wrap="auto" w:vAnchor="margin" w:yAlign="inline"/>
              <w:suppressOverlap w:val="0"/>
            </w:pPr>
          </w:p>
        </w:tc>
        <w:tc>
          <w:tcPr>
            <w:tcW w:w="1249" w:type="dxa"/>
            <w:vMerge/>
            <w:tcBorders>
              <w:left w:val="nil"/>
              <w:right w:val="single" w:sz="4" w:space="0" w:color="auto"/>
            </w:tcBorders>
            <w:shd w:val="clear" w:color="auto" w:fill="auto"/>
            <w:vAlign w:val="center"/>
          </w:tcPr>
          <w:p w14:paraId="6B218477" w14:textId="77777777" w:rsidR="00913358" w:rsidRPr="0054775B" w:rsidRDefault="00913358" w:rsidP="002E5449">
            <w:pPr>
              <w:pStyle w:val="2024TABLETEXT"/>
              <w:framePr w:hSpace="0" w:wrap="auto" w:vAnchor="margin" w:yAlign="inline"/>
              <w:suppressOverlap w:val="0"/>
            </w:pPr>
          </w:p>
        </w:tc>
        <w:tc>
          <w:tcPr>
            <w:tcW w:w="1229" w:type="dxa"/>
            <w:vMerge/>
            <w:tcBorders>
              <w:left w:val="nil"/>
              <w:right w:val="single" w:sz="4" w:space="0" w:color="auto"/>
            </w:tcBorders>
            <w:shd w:val="clear" w:color="auto" w:fill="auto"/>
            <w:vAlign w:val="center"/>
          </w:tcPr>
          <w:p w14:paraId="7FE3A7B6" w14:textId="77777777" w:rsidR="00913358" w:rsidRPr="0054775B" w:rsidRDefault="00913358" w:rsidP="002E5449">
            <w:pPr>
              <w:pStyle w:val="2024TABLETEXT"/>
              <w:framePr w:hSpace="0" w:wrap="auto" w:vAnchor="margin" w:yAlign="inline"/>
              <w:suppressOverlap w:val="0"/>
            </w:pPr>
          </w:p>
        </w:tc>
        <w:tc>
          <w:tcPr>
            <w:tcW w:w="758" w:type="dxa"/>
            <w:tcBorders>
              <w:top w:val="nil"/>
              <w:left w:val="nil"/>
              <w:bottom w:val="single" w:sz="4" w:space="0" w:color="auto"/>
              <w:right w:val="single" w:sz="4" w:space="0" w:color="auto"/>
            </w:tcBorders>
            <w:shd w:val="clear" w:color="auto" w:fill="auto"/>
            <w:vAlign w:val="center"/>
          </w:tcPr>
          <w:p w14:paraId="5BA5F344" w14:textId="530925E7" w:rsidR="00913358" w:rsidRPr="0054775B" w:rsidRDefault="00913358" w:rsidP="002E5449">
            <w:pPr>
              <w:pStyle w:val="2024TABLETEXT"/>
              <w:framePr w:hSpace="0" w:wrap="auto" w:vAnchor="margin" w:yAlign="inline"/>
              <w:suppressOverlap w:val="0"/>
            </w:pPr>
            <w:r w:rsidRPr="0054775B">
              <w:t>8</w:t>
            </w:r>
          </w:p>
        </w:tc>
        <w:tc>
          <w:tcPr>
            <w:tcW w:w="5057" w:type="dxa"/>
            <w:tcBorders>
              <w:top w:val="nil"/>
              <w:left w:val="nil"/>
              <w:bottom w:val="single" w:sz="4" w:space="0" w:color="auto"/>
              <w:right w:val="single" w:sz="4" w:space="0" w:color="auto"/>
            </w:tcBorders>
            <w:shd w:val="clear" w:color="auto" w:fill="auto"/>
          </w:tcPr>
          <w:p w14:paraId="0872652D" w14:textId="20FFF80B" w:rsidR="00913358" w:rsidRPr="0054775B" w:rsidRDefault="00913358" w:rsidP="002E5449">
            <w:pPr>
              <w:pStyle w:val="2024TABLETEXT"/>
              <w:framePr w:hSpace="0" w:wrap="auto" w:vAnchor="margin" w:yAlign="inline"/>
              <w:suppressOverlap w:val="0"/>
            </w:pPr>
            <w:r w:rsidRPr="0054775B">
              <w:t>Global improvement in sleep quality or quantity (objective)</w:t>
            </w:r>
          </w:p>
        </w:tc>
      </w:tr>
      <w:tr w:rsidR="00913358" w:rsidRPr="0054775B" w14:paraId="6BD03BDD" w14:textId="77777777" w:rsidTr="00486D1A">
        <w:trPr>
          <w:trHeight w:val="95"/>
        </w:trPr>
        <w:tc>
          <w:tcPr>
            <w:tcW w:w="0" w:type="auto"/>
            <w:vMerge/>
            <w:tcBorders>
              <w:left w:val="single" w:sz="4" w:space="0" w:color="auto"/>
              <w:right w:val="single" w:sz="4" w:space="0" w:color="auto"/>
            </w:tcBorders>
            <w:shd w:val="clear" w:color="auto" w:fill="auto"/>
            <w:vAlign w:val="center"/>
          </w:tcPr>
          <w:p w14:paraId="69C88070" w14:textId="77777777" w:rsidR="00913358" w:rsidRPr="0054775B" w:rsidRDefault="00913358" w:rsidP="002E5449">
            <w:pPr>
              <w:pStyle w:val="2024TABLETEXT"/>
              <w:framePr w:hSpace="0" w:wrap="auto" w:vAnchor="margin" w:yAlign="inline"/>
              <w:suppressOverlap w:val="0"/>
            </w:pPr>
          </w:p>
        </w:tc>
        <w:tc>
          <w:tcPr>
            <w:tcW w:w="1249" w:type="dxa"/>
            <w:vMerge/>
            <w:tcBorders>
              <w:left w:val="nil"/>
              <w:right w:val="single" w:sz="4" w:space="0" w:color="auto"/>
            </w:tcBorders>
            <w:shd w:val="clear" w:color="auto" w:fill="auto"/>
            <w:vAlign w:val="center"/>
          </w:tcPr>
          <w:p w14:paraId="4BF438DB" w14:textId="77777777" w:rsidR="00913358" w:rsidRPr="0054775B" w:rsidRDefault="00913358" w:rsidP="002E5449">
            <w:pPr>
              <w:pStyle w:val="2024TABLETEXT"/>
              <w:framePr w:hSpace="0" w:wrap="auto" w:vAnchor="margin" w:yAlign="inline"/>
              <w:suppressOverlap w:val="0"/>
            </w:pPr>
          </w:p>
        </w:tc>
        <w:tc>
          <w:tcPr>
            <w:tcW w:w="1229" w:type="dxa"/>
            <w:vMerge/>
            <w:tcBorders>
              <w:left w:val="nil"/>
              <w:right w:val="single" w:sz="4" w:space="0" w:color="auto"/>
            </w:tcBorders>
            <w:shd w:val="clear" w:color="auto" w:fill="auto"/>
            <w:vAlign w:val="center"/>
          </w:tcPr>
          <w:p w14:paraId="7336002C" w14:textId="77777777" w:rsidR="00913358" w:rsidRPr="0054775B" w:rsidRDefault="00913358" w:rsidP="002E5449">
            <w:pPr>
              <w:pStyle w:val="2024TABLETEXT"/>
              <w:framePr w:hSpace="0" w:wrap="auto" w:vAnchor="margin" w:yAlign="inline"/>
              <w:suppressOverlap w:val="0"/>
            </w:pPr>
          </w:p>
        </w:tc>
        <w:tc>
          <w:tcPr>
            <w:tcW w:w="758" w:type="dxa"/>
            <w:tcBorders>
              <w:top w:val="nil"/>
              <w:left w:val="nil"/>
              <w:bottom w:val="single" w:sz="4" w:space="0" w:color="auto"/>
              <w:right w:val="single" w:sz="4" w:space="0" w:color="auto"/>
            </w:tcBorders>
            <w:shd w:val="clear" w:color="auto" w:fill="auto"/>
            <w:vAlign w:val="center"/>
          </w:tcPr>
          <w:p w14:paraId="79B19749" w14:textId="16DB91C5" w:rsidR="00913358" w:rsidRPr="0054775B" w:rsidRDefault="00913358" w:rsidP="002E5449">
            <w:pPr>
              <w:pStyle w:val="2024TABLETEXT"/>
              <w:framePr w:hSpace="0" w:wrap="auto" w:vAnchor="margin" w:yAlign="inline"/>
              <w:suppressOverlap w:val="0"/>
            </w:pPr>
            <w:r w:rsidRPr="0054775B">
              <w:t>8</w:t>
            </w:r>
          </w:p>
        </w:tc>
        <w:tc>
          <w:tcPr>
            <w:tcW w:w="5057" w:type="dxa"/>
            <w:tcBorders>
              <w:top w:val="nil"/>
              <w:left w:val="nil"/>
              <w:bottom w:val="single" w:sz="4" w:space="0" w:color="auto"/>
              <w:right w:val="single" w:sz="4" w:space="0" w:color="auto"/>
            </w:tcBorders>
            <w:shd w:val="clear" w:color="auto" w:fill="auto"/>
          </w:tcPr>
          <w:p w14:paraId="2D05BCBD" w14:textId="0073E8E5" w:rsidR="00913358" w:rsidRPr="0054775B" w:rsidRDefault="00913358" w:rsidP="002E5449">
            <w:pPr>
              <w:pStyle w:val="2024TABLETEXT"/>
              <w:framePr w:hSpace="0" w:wrap="auto" w:vAnchor="margin" w:yAlign="inline"/>
              <w:suppressOverlap w:val="0"/>
            </w:pPr>
            <w:r w:rsidRPr="0054775B">
              <w:t>Improvement in individual sleep parameters (Sleep onset latency, Total sleep duration, Total wake</w:t>
            </w:r>
            <w:r w:rsidRPr="0054775B">
              <w:rPr>
                <w:rFonts w:ascii="Cambria Math" w:hAnsi="Cambria Math" w:cs="Cambria Math"/>
              </w:rPr>
              <w:t>‐</w:t>
            </w:r>
            <w:r w:rsidRPr="0054775B">
              <w:t>time, Wake after sleep onset (WASO), Nocturnal and early morning wakening, Sleep efficiency (ratio of time asleep to time in bed), parasomnias)</w:t>
            </w:r>
          </w:p>
        </w:tc>
      </w:tr>
      <w:tr w:rsidR="00913358" w:rsidRPr="0054775B" w14:paraId="34A70FA2" w14:textId="77777777" w:rsidTr="00486D1A">
        <w:trPr>
          <w:trHeight w:val="95"/>
        </w:trPr>
        <w:tc>
          <w:tcPr>
            <w:tcW w:w="0" w:type="auto"/>
            <w:vMerge/>
            <w:tcBorders>
              <w:left w:val="single" w:sz="4" w:space="0" w:color="auto"/>
              <w:right w:val="single" w:sz="4" w:space="0" w:color="auto"/>
            </w:tcBorders>
            <w:shd w:val="clear" w:color="auto" w:fill="auto"/>
            <w:vAlign w:val="center"/>
          </w:tcPr>
          <w:p w14:paraId="2E957F8D" w14:textId="77777777" w:rsidR="00913358" w:rsidRPr="0054775B" w:rsidRDefault="00913358" w:rsidP="002E5449">
            <w:pPr>
              <w:pStyle w:val="2024TABLETEXT"/>
              <w:framePr w:hSpace="0" w:wrap="auto" w:vAnchor="margin" w:yAlign="inline"/>
              <w:suppressOverlap w:val="0"/>
            </w:pPr>
          </w:p>
        </w:tc>
        <w:tc>
          <w:tcPr>
            <w:tcW w:w="1249" w:type="dxa"/>
            <w:vMerge/>
            <w:tcBorders>
              <w:left w:val="nil"/>
              <w:right w:val="single" w:sz="4" w:space="0" w:color="auto"/>
            </w:tcBorders>
            <w:shd w:val="clear" w:color="auto" w:fill="auto"/>
            <w:vAlign w:val="center"/>
          </w:tcPr>
          <w:p w14:paraId="384B1E36" w14:textId="77777777" w:rsidR="00913358" w:rsidRPr="0054775B" w:rsidRDefault="00913358" w:rsidP="002E5449">
            <w:pPr>
              <w:pStyle w:val="2024TABLETEXT"/>
              <w:framePr w:hSpace="0" w:wrap="auto" w:vAnchor="margin" w:yAlign="inline"/>
              <w:suppressOverlap w:val="0"/>
            </w:pPr>
          </w:p>
        </w:tc>
        <w:tc>
          <w:tcPr>
            <w:tcW w:w="1229" w:type="dxa"/>
            <w:vMerge/>
            <w:tcBorders>
              <w:left w:val="nil"/>
              <w:right w:val="single" w:sz="4" w:space="0" w:color="auto"/>
            </w:tcBorders>
            <w:shd w:val="clear" w:color="auto" w:fill="auto"/>
            <w:vAlign w:val="center"/>
          </w:tcPr>
          <w:p w14:paraId="34D2DD3A" w14:textId="77777777" w:rsidR="00913358" w:rsidRPr="0054775B" w:rsidRDefault="00913358" w:rsidP="002E5449">
            <w:pPr>
              <w:pStyle w:val="2024TABLETEXT"/>
              <w:framePr w:hSpace="0" w:wrap="auto" w:vAnchor="margin" w:yAlign="inline"/>
              <w:suppressOverlap w:val="0"/>
            </w:pPr>
          </w:p>
        </w:tc>
        <w:tc>
          <w:tcPr>
            <w:tcW w:w="758" w:type="dxa"/>
            <w:tcBorders>
              <w:top w:val="nil"/>
              <w:left w:val="nil"/>
              <w:bottom w:val="single" w:sz="4" w:space="0" w:color="auto"/>
              <w:right w:val="single" w:sz="4" w:space="0" w:color="auto"/>
            </w:tcBorders>
            <w:shd w:val="clear" w:color="auto" w:fill="auto"/>
            <w:vAlign w:val="center"/>
          </w:tcPr>
          <w:p w14:paraId="187DCB38" w14:textId="79BA40C0" w:rsidR="00913358" w:rsidRPr="0054775B" w:rsidRDefault="00913358" w:rsidP="002E5449">
            <w:pPr>
              <w:pStyle w:val="2024TABLETEXT"/>
              <w:framePr w:hSpace="0" w:wrap="auto" w:vAnchor="margin" w:yAlign="inline"/>
              <w:suppressOverlap w:val="0"/>
            </w:pPr>
            <w:r w:rsidRPr="0054775B">
              <w:t>8</w:t>
            </w:r>
          </w:p>
        </w:tc>
        <w:tc>
          <w:tcPr>
            <w:tcW w:w="5057" w:type="dxa"/>
            <w:tcBorders>
              <w:top w:val="nil"/>
              <w:left w:val="nil"/>
              <w:bottom w:val="single" w:sz="4" w:space="0" w:color="auto"/>
              <w:right w:val="single" w:sz="4" w:space="0" w:color="auto"/>
            </w:tcBorders>
            <w:shd w:val="clear" w:color="auto" w:fill="auto"/>
          </w:tcPr>
          <w:p w14:paraId="2CE9F252" w14:textId="7953025B" w:rsidR="00913358" w:rsidRPr="0054775B" w:rsidRDefault="00913358" w:rsidP="002E5449">
            <w:pPr>
              <w:pStyle w:val="2024TABLETEXT"/>
              <w:framePr w:hSpace="0" w:wrap="auto" w:vAnchor="margin" w:yAlign="inline"/>
              <w:suppressOverlap w:val="0"/>
            </w:pPr>
            <w:r w:rsidRPr="0054775B">
              <w:t>Quality of life</w:t>
            </w:r>
          </w:p>
        </w:tc>
      </w:tr>
      <w:tr w:rsidR="00913358" w:rsidRPr="0054775B" w14:paraId="767BEB8F" w14:textId="77777777" w:rsidTr="00486D1A">
        <w:trPr>
          <w:trHeight w:val="95"/>
        </w:trPr>
        <w:tc>
          <w:tcPr>
            <w:tcW w:w="0" w:type="auto"/>
            <w:vMerge/>
            <w:tcBorders>
              <w:left w:val="single" w:sz="4" w:space="0" w:color="auto"/>
              <w:right w:val="single" w:sz="4" w:space="0" w:color="auto"/>
            </w:tcBorders>
            <w:shd w:val="clear" w:color="auto" w:fill="auto"/>
            <w:vAlign w:val="center"/>
          </w:tcPr>
          <w:p w14:paraId="080F781F" w14:textId="77777777" w:rsidR="00913358" w:rsidRPr="0054775B" w:rsidRDefault="00913358" w:rsidP="002E5449">
            <w:pPr>
              <w:pStyle w:val="2024TABLETEXT"/>
              <w:framePr w:hSpace="0" w:wrap="auto" w:vAnchor="margin" w:yAlign="inline"/>
              <w:suppressOverlap w:val="0"/>
            </w:pPr>
          </w:p>
        </w:tc>
        <w:tc>
          <w:tcPr>
            <w:tcW w:w="1249" w:type="dxa"/>
            <w:vMerge/>
            <w:tcBorders>
              <w:left w:val="nil"/>
              <w:right w:val="single" w:sz="4" w:space="0" w:color="auto"/>
            </w:tcBorders>
            <w:shd w:val="clear" w:color="auto" w:fill="auto"/>
            <w:vAlign w:val="center"/>
          </w:tcPr>
          <w:p w14:paraId="547FEE90" w14:textId="77777777" w:rsidR="00913358" w:rsidRPr="0054775B" w:rsidRDefault="00913358" w:rsidP="002E5449">
            <w:pPr>
              <w:pStyle w:val="2024TABLETEXT"/>
              <w:framePr w:hSpace="0" w:wrap="auto" w:vAnchor="margin" w:yAlign="inline"/>
              <w:suppressOverlap w:val="0"/>
            </w:pPr>
          </w:p>
        </w:tc>
        <w:tc>
          <w:tcPr>
            <w:tcW w:w="1229" w:type="dxa"/>
            <w:vMerge/>
            <w:tcBorders>
              <w:left w:val="nil"/>
              <w:right w:val="single" w:sz="4" w:space="0" w:color="auto"/>
            </w:tcBorders>
            <w:shd w:val="clear" w:color="auto" w:fill="auto"/>
            <w:vAlign w:val="center"/>
          </w:tcPr>
          <w:p w14:paraId="4AEFF815" w14:textId="77777777" w:rsidR="00913358" w:rsidRPr="0054775B" w:rsidRDefault="00913358" w:rsidP="002E5449">
            <w:pPr>
              <w:pStyle w:val="2024TABLETEXT"/>
              <w:framePr w:hSpace="0" w:wrap="auto" w:vAnchor="margin" w:yAlign="inline"/>
              <w:suppressOverlap w:val="0"/>
            </w:pPr>
          </w:p>
        </w:tc>
        <w:tc>
          <w:tcPr>
            <w:tcW w:w="758" w:type="dxa"/>
            <w:tcBorders>
              <w:top w:val="nil"/>
              <w:left w:val="nil"/>
              <w:bottom w:val="single" w:sz="4" w:space="0" w:color="auto"/>
              <w:right w:val="single" w:sz="4" w:space="0" w:color="auto"/>
            </w:tcBorders>
            <w:shd w:val="clear" w:color="auto" w:fill="auto"/>
            <w:vAlign w:val="center"/>
          </w:tcPr>
          <w:p w14:paraId="730D1B70" w14:textId="008E44FD" w:rsidR="00913358" w:rsidRPr="0054775B" w:rsidRDefault="00913358" w:rsidP="002E5449">
            <w:pPr>
              <w:pStyle w:val="2024TABLETEXT"/>
              <w:framePr w:hSpace="0" w:wrap="auto" w:vAnchor="margin" w:yAlign="inline"/>
              <w:suppressOverlap w:val="0"/>
            </w:pPr>
            <w:r w:rsidRPr="0054775B">
              <w:t>7</w:t>
            </w:r>
          </w:p>
        </w:tc>
        <w:tc>
          <w:tcPr>
            <w:tcW w:w="5057" w:type="dxa"/>
            <w:tcBorders>
              <w:top w:val="nil"/>
              <w:left w:val="nil"/>
              <w:bottom w:val="single" w:sz="4" w:space="0" w:color="auto"/>
              <w:right w:val="single" w:sz="4" w:space="0" w:color="auto"/>
            </w:tcBorders>
            <w:shd w:val="clear" w:color="auto" w:fill="auto"/>
          </w:tcPr>
          <w:p w14:paraId="58E28169" w14:textId="6CF94EFC" w:rsidR="00913358" w:rsidRPr="0054775B" w:rsidRDefault="00913358" w:rsidP="002E5449">
            <w:pPr>
              <w:pStyle w:val="2024TABLETEXT"/>
              <w:framePr w:hSpace="0" w:wrap="auto" w:vAnchor="margin" w:yAlign="inline"/>
              <w:suppressOverlap w:val="0"/>
            </w:pPr>
            <w:r w:rsidRPr="0054775B">
              <w:t>Daytime functioning</w:t>
            </w:r>
          </w:p>
        </w:tc>
      </w:tr>
      <w:tr w:rsidR="00913358" w:rsidRPr="0054775B" w14:paraId="2FED6916" w14:textId="77777777" w:rsidTr="00486D1A">
        <w:trPr>
          <w:trHeight w:val="95"/>
        </w:trPr>
        <w:tc>
          <w:tcPr>
            <w:tcW w:w="0" w:type="auto"/>
            <w:vMerge/>
            <w:tcBorders>
              <w:left w:val="single" w:sz="4" w:space="0" w:color="auto"/>
              <w:bottom w:val="single" w:sz="4" w:space="0" w:color="auto"/>
              <w:right w:val="single" w:sz="4" w:space="0" w:color="auto"/>
            </w:tcBorders>
            <w:shd w:val="clear" w:color="auto" w:fill="auto"/>
            <w:vAlign w:val="center"/>
          </w:tcPr>
          <w:p w14:paraId="0B08C01E" w14:textId="77777777" w:rsidR="00913358" w:rsidRPr="0054775B" w:rsidRDefault="00913358" w:rsidP="002E5449">
            <w:pPr>
              <w:pStyle w:val="2024TABLETEXT"/>
              <w:framePr w:hSpace="0" w:wrap="auto" w:vAnchor="margin" w:yAlign="inline"/>
              <w:suppressOverlap w:val="0"/>
            </w:pPr>
          </w:p>
        </w:tc>
        <w:tc>
          <w:tcPr>
            <w:tcW w:w="1249" w:type="dxa"/>
            <w:vMerge/>
            <w:tcBorders>
              <w:left w:val="nil"/>
              <w:bottom w:val="single" w:sz="4" w:space="0" w:color="auto"/>
              <w:right w:val="single" w:sz="4" w:space="0" w:color="auto"/>
            </w:tcBorders>
            <w:shd w:val="clear" w:color="auto" w:fill="auto"/>
            <w:vAlign w:val="center"/>
          </w:tcPr>
          <w:p w14:paraId="69BEF96A" w14:textId="77777777" w:rsidR="00913358" w:rsidRPr="0054775B" w:rsidRDefault="00913358" w:rsidP="002E5449">
            <w:pPr>
              <w:pStyle w:val="2024TABLETEXT"/>
              <w:framePr w:hSpace="0" w:wrap="auto" w:vAnchor="margin" w:yAlign="inline"/>
              <w:suppressOverlap w:val="0"/>
            </w:pPr>
          </w:p>
        </w:tc>
        <w:tc>
          <w:tcPr>
            <w:tcW w:w="1229" w:type="dxa"/>
            <w:vMerge/>
            <w:tcBorders>
              <w:left w:val="nil"/>
              <w:bottom w:val="single" w:sz="4" w:space="0" w:color="auto"/>
              <w:right w:val="single" w:sz="4" w:space="0" w:color="auto"/>
            </w:tcBorders>
            <w:shd w:val="clear" w:color="auto" w:fill="auto"/>
            <w:vAlign w:val="center"/>
          </w:tcPr>
          <w:p w14:paraId="5E735264" w14:textId="77777777" w:rsidR="00913358" w:rsidRPr="0054775B" w:rsidRDefault="00913358" w:rsidP="002E5449">
            <w:pPr>
              <w:pStyle w:val="2024TABLETEXT"/>
              <w:framePr w:hSpace="0" w:wrap="auto" w:vAnchor="margin" w:yAlign="inline"/>
              <w:suppressOverlap w:val="0"/>
            </w:pPr>
          </w:p>
        </w:tc>
        <w:tc>
          <w:tcPr>
            <w:tcW w:w="758" w:type="dxa"/>
            <w:tcBorders>
              <w:top w:val="nil"/>
              <w:left w:val="nil"/>
              <w:bottom w:val="single" w:sz="4" w:space="0" w:color="auto"/>
              <w:right w:val="single" w:sz="4" w:space="0" w:color="auto"/>
            </w:tcBorders>
            <w:shd w:val="clear" w:color="auto" w:fill="auto"/>
            <w:vAlign w:val="center"/>
          </w:tcPr>
          <w:p w14:paraId="092C9BFA" w14:textId="335818C7" w:rsidR="00913358" w:rsidRPr="0054775B" w:rsidRDefault="00913358" w:rsidP="002E5449">
            <w:pPr>
              <w:pStyle w:val="2024TABLETEXT"/>
              <w:framePr w:hSpace="0" w:wrap="auto" w:vAnchor="margin" w:yAlign="inline"/>
              <w:suppressOverlap w:val="0"/>
            </w:pPr>
            <w:r w:rsidRPr="0054775B">
              <w:t>7</w:t>
            </w:r>
          </w:p>
        </w:tc>
        <w:tc>
          <w:tcPr>
            <w:tcW w:w="5057" w:type="dxa"/>
            <w:tcBorders>
              <w:top w:val="nil"/>
              <w:left w:val="nil"/>
              <w:bottom w:val="single" w:sz="4" w:space="0" w:color="auto"/>
              <w:right w:val="single" w:sz="4" w:space="0" w:color="auto"/>
            </w:tcBorders>
            <w:shd w:val="clear" w:color="auto" w:fill="auto"/>
          </w:tcPr>
          <w:p w14:paraId="0F686A8A" w14:textId="55BB59A4" w:rsidR="00913358" w:rsidRPr="0054775B" w:rsidRDefault="00913358" w:rsidP="002E5449">
            <w:pPr>
              <w:pStyle w:val="2024TABLETEXT"/>
              <w:framePr w:hSpace="0" w:wrap="auto" w:vAnchor="margin" w:yAlign="inline"/>
              <w:suppressOverlap w:val="0"/>
            </w:pPr>
            <w:r w:rsidRPr="0054775B">
              <w:t>Fatigue</w:t>
            </w:r>
          </w:p>
        </w:tc>
      </w:tr>
    </w:tbl>
    <w:p w14:paraId="25AC51AA" w14:textId="77777777" w:rsidR="007B22B2" w:rsidRPr="0054775B" w:rsidRDefault="007B22B2" w:rsidP="009760CB">
      <w:pPr>
        <w:pStyle w:val="2024TABLEFOOTER"/>
      </w:pPr>
      <w:r w:rsidRPr="0054775B">
        <w:t>Abbreviations: BP=blood pressure; HRQoL=health-related quality of life; NTWC=Natural Therapies Working Group</w:t>
      </w:r>
    </w:p>
    <w:p w14:paraId="5EC5B941" w14:textId="05E609C0" w:rsidR="007B22B2" w:rsidRPr="0054775B" w:rsidRDefault="007B22B2" w:rsidP="009760CB">
      <w:pPr>
        <w:pStyle w:val="2024TABLEFOOTER"/>
      </w:pPr>
      <w:r w:rsidRPr="0054775B">
        <w:t>*1-3 = of limited importance to decision making; 4-6 = important, but not critical, to decision making; 7-9 = critical for decision-making</w:t>
      </w:r>
    </w:p>
    <w:p w14:paraId="52FAB261" w14:textId="77777777" w:rsidR="009D663C" w:rsidRPr="0054775B" w:rsidRDefault="009D663C" w:rsidP="009E6F7F">
      <w:pPr>
        <w:pStyle w:val="2024HEADER3"/>
        <w:rPr>
          <w:rFonts w:ascii="Aptos" w:hAnsi="Aptos"/>
        </w:rPr>
      </w:pPr>
      <w:r w:rsidRPr="0054775B">
        <w:rPr>
          <w:rFonts w:ascii="Aptos" w:hAnsi="Aptos"/>
        </w:rPr>
        <w:t>Search findings</w:t>
      </w:r>
    </w:p>
    <w:p w14:paraId="20B9FA04" w14:textId="2097151F" w:rsidR="009D663C" w:rsidRPr="0054775B" w:rsidRDefault="009D663C" w:rsidP="009E6F7F">
      <w:r w:rsidRPr="0054775B">
        <w:t xml:space="preserve">In total, </w:t>
      </w:r>
      <w:r w:rsidR="00E71477" w:rsidRPr="0054775B">
        <w:t>84</w:t>
      </w:r>
      <w:r w:rsidRPr="0054775B">
        <w:t xml:space="preserve"> </w:t>
      </w:r>
      <w:r w:rsidR="00417802">
        <w:t>reviews</w:t>
      </w:r>
      <w:r w:rsidR="00417802" w:rsidRPr="0054775B">
        <w:t xml:space="preserve"> </w:t>
      </w:r>
      <w:r w:rsidRPr="0054775B">
        <w:t>were identified in the searches</w:t>
      </w:r>
      <w:r w:rsidR="00C91440" w:rsidRPr="0054775B">
        <w:t xml:space="preserve"> after de-duplication</w:t>
      </w:r>
      <w:r w:rsidR="00C5623B" w:rsidRPr="0054775B">
        <w:t xml:space="preserve"> and underwent screening</w:t>
      </w:r>
      <w:r w:rsidRPr="0054775B">
        <w:t>. No</w:t>
      </w:r>
      <w:r w:rsidR="005F2907" w:rsidRPr="0054775B">
        <w:t>ne</w:t>
      </w:r>
      <w:r w:rsidR="00F2713C" w:rsidRPr="0054775B">
        <w:t xml:space="preserve"> </w:t>
      </w:r>
      <w:r w:rsidR="005F2907" w:rsidRPr="0054775B">
        <w:t xml:space="preserve">of the </w:t>
      </w:r>
      <w:r w:rsidR="00417802">
        <w:t>reviews</w:t>
      </w:r>
      <w:r w:rsidR="00417802" w:rsidRPr="0054775B">
        <w:t xml:space="preserve"> </w:t>
      </w:r>
      <w:r w:rsidRPr="0054775B">
        <w:t>provided by the Department’s call for evidence</w:t>
      </w:r>
      <w:r w:rsidR="005F2907" w:rsidRPr="0054775B">
        <w:t xml:space="preserve"> were relevant to this population-</w:t>
      </w:r>
      <w:r w:rsidR="0032560B">
        <w:t>supplement pair</w:t>
      </w:r>
      <w:r w:rsidRPr="0054775B">
        <w:t>. After title and abstract screening, 1</w:t>
      </w:r>
      <w:r w:rsidR="00255A73" w:rsidRPr="0054775B">
        <w:t>0</w:t>
      </w:r>
      <w:r w:rsidRPr="0054775B">
        <w:t xml:space="preserve"> </w:t>
      </w:r>
      <w:r w:rsidR="00417802">
        <w:t>reviews</w:t>
      </w:r>
      <w:r w:rsidR="00417802" w:rsidRPr="0054775B">
        <w:t xml:space="preserve"> </w:t>
      </w:r>
      <w:r w:rsidRPr="0054775B">
        <w:t xml:space="preserve">were </w:t>
      </w:r>
      <w:r w:rsidR="00944C46" w:rsidRPr="0054775B">
        <w:t>sought for retrieval for</w:t>
      </w:r>
      <w:r w:rsidRPr="0054775B">
        <w:t xml:space="preserve"> full-text screening: </w:t>
      </w:r>
    </w:p>
    <w:p w14:paraId="19B93FC0" w14:textId="18383BD4" w:rsidR="009D663C" w:rsidRPr="0054775B" w:rsidRDefault="00255A73" w:rsidP="00107BEE">
      <w:pPr>
        <w:pStyle w:val="ListParagraph"/>
        <w:numPr>
          <w:ilvl w:val="0"/>
          <w:numId w:val="6"/>
        </w:numPr>
      </w:pPr>
      <w:r w:rsidRPr="0054775B">
        <w:t>6</w:t>
      </w:r>
      <w:r w:rsidR="009D663C" w:rsidRPr="0054775B">
        <w:t xml:space="preserve"> </w:t>
      </w:r>
      <w:r w:rsidR="00417802">
        <w:t>reviews</w:t>
      </w:r>
      <w:r w:rsidR="00417802" w:rsidRPr="0054775B">
        <w:t xml:space="preserve"> </w:t>
      </w:r>
      <w:r w:rsidR="009D663C" w:rsidRPr="0054775B">
        <w:t xml:space="preserve">did not meet inclusion criteria (citation details and </w:t>
      </w:r>
      <w:r w:rsidR="001332AF" w:rsidRPr="0054775B">
        <w:t>reasons for exclusion recorded in Appendix</w:t>
      </w:r>
      <w:r w:rsidR="00531DAA">
        <w:t>C1</w:t>
      </w:r>
      <w:r w:rsidR="009D663C" w:rsidRPr="0054775B">
        <w:t xml:space="preserve">) </w:t>
      </w:r>
    </w:p>
    <w:p w14:paraId="1A0EB7DB" w14:textId="1FAB4FA3" w:rsidR="009D663C" w:rsidRPr="0054775B" w:rsidRDefault="00007460" w:rsidP="009E6F7F">
      <w:r w:rsidRPr="0054775B">
        <w:t>Therefore, a</w:t>
      </w:r>
      <w:r w:rsidR="009D663C" w:rsidRPr="0054775B">
        <w:t xml:space="preserve"> final </w:t>
      </w:r>
      <w:r w:rsidR="003066E4" w:rsidRPr="0054775B">
        <w:t>4</w:t>
      </w:r>
      <w:r w:rsidR="009D663C" w:rsidRPr="0054775B">
        <w:t xml:space="preserve"> </w:t>
      </w:r>
      <w:r w:rsidR="00104480" w:rsidRPr="0054775B">
        <w:t xml:space="preserve">reviews </w:t>
      </w:r>
      <w:r w:rsidR="009D663C" w:rsidRPr="0054775B">
        <w:t xml:space="preserve">met the inclusion criteria. Characteristics of included reviews are presented in Appendix </w:t>
      </w:r>
      <w:r w:rsidR="00531DAA">
        <w:t>D</w:t>
      </w:r>
      <w:r w:rsidR="009D663C" w:rsidRPr="0054775B">
        <w:t>. A full PRISMA flowchart is presented below.</w:t>
      </w:r>
      <w:r w:rsidR="009D663C" w:rsidRPr="0054775B">
        <w:rPr>
          <w:highlight w:val="yellow"/>
        </w:rPr>
        <w:t xml:space="preserve"> </w:t>
      </w:r>
    </w:p>
    <w:p w14:paraId="6655F696" w14:textId="1AD81F80" w:rsidR="009D663C" w:rsidRPr="0054775B" w:rsidRDefault="009D663C" w:rsidP="002E5449">
      <w:pPr>
        <w:pStyle w:val="2024TABLECAPTION"/>
        <w:rPr>
          <w:rFonts w:ascii="Aptos" w:hAnsi="Aptos"/>
        </w:rPr>
      </w:pPr>
      <w:bookmarkStart w:id="75" w:name="_Toc178348007"/>
      <w:r w:rsidRPr="0054775B">
        <w:rPr>
          <w:rFonts w:ascii="Aptos" w:hAnsi="Aptos"/>
        </w:rPr>
        <w:lastRenderedPageBreak/>
        <w:t xml:space="preserve">Figure </w:t>
      </w:r>
      <w:r w:rsidR="002F1F6C" w:rsidRPr="0054775B">
        <w:rPr>
          <w:rFonts w:ascii="Aptos" w:hAnsi="Aptos"/>
        </w:rPr>
        <w:fldChar w:fldCharType="begin"/>
      </w:r>
      <w:r w:rsidR="002F1F6C" w:rsidRPr="0054775B">
        <w:rPr>
          <w:rFonts w:ascii="Aptos" w:hAnsi="Aptos"/>
        </w:rPr>
        <w:instrText xml:space="preserve"> SEQ Figure \* ARABIC </w:instrText>
      </w:r>
      <w:r w:rsidR="002F1F6C" w:rsidRPr="0054775B">
        <w:rPr>
          <w:rFonts w:ascii="Aptos" w:hAnsi="Aptos"/>
        </w:rPr>
        <w:fldChar w:fldCharType="separate"/>
      </w:r>
      <w:r w:rsidR="002C256B">
        <w:rPr>
          <w:rFonts w:ascii="Aptos" w:hAnsi="Aptos"/>
          <w:noProof/>
        </w:rPr>
        <w:t>4</w:t>
      </w:r>
      <w:r w:rsidR="002F1F6C" w:rsidRPr="0054775B">
        <w:rPr>
          <w:rFonts w:ascii="Aptos" w:hAnsi="Aptos"/>
          <w:noProof/>
        </w:rPr>
        <w:fldChar w:fldCharType="end"/>
      </w:r>
      <w:r w:rsidRPr="0054775B">
        <w:rPr>
          <w:rFonts w:ascii="Aptos" w:hAnsi="Aptos"/>
        </w:rPr>
        <w:t xml:space="preserve">. PRISMA flowchart – </w:t>
      </w:r>
      <w:r w:rsidR="002E5449" w:rsidRPr="0054775B">
        <w:rPr>
          <w:rFonts w:ascii="Aptos" w:hAnsi="Aptos"/>
        </w:rPr>
        <w:t>i</w:t>
      </w:r>
      <w:r w:rsidR="007B22B2" w:rsidRPr="0054775B">
        <w:rPr>
          <w:rFonts w:ascii="Aptos" w:hAnsi="Aptos"/>
        </w:rPr>
        <w:t xml:space="preserve">nsomnia/sleeping disorders, </w:t>
      </w:r>
      <w:r w:rsidR="002E5449" w:rsidRPr="0054775B">
        <w:rPr>
          <w:rFonts w:ascii="Aptos" w:hAnsi="Aptos"/>
        </w:rPr>
        <w:t>m</w:t>
      </w:r>
      <w:r w:rsidR="007B22B2" w:rsidRPr="0054775B">
        <w:rPr>
          <w:rFonts w:ascii="Aptos" w:hAnsi="Aptos"/>
        </w:rPr>
        <w:t>agnesium</w:t>
      </w:r>
      <w:r w:rsidRPr="0054775B">
        <w:rPr>
          <w:rFonts w:ascii="Aptos" w:hAnsi="Aptos"/>
        </w:rPr>
        <w:t>.</w:t>
      </w:r>
      <w:bookmarkEnd w:id="75"/>
    </w:p>
    <w:p w14:paraId="0AE1C7D7" w14:textId="77777777" w:rsidR="009D663C" w:rsidRPr="0054775B" w:rsidRDefault="009D663C" w:rsidP="009E6F7F">
      <w:r w:rsidRPr="0054775B">
        <w:rPr>
          <w:noProof/>
          <w:highlight w:val="yellow"/>
        </w:rPr>
        <mc:AlternateContent>
          <mc:Choice Requires="wpg">
            <w:drawing>
              <wp:anchor distT="0" distB="0" distL="114300" distR="114300" simplePos="0" relativeHeight="251658244" behindDoc="0" locked="0" layoutInCell="1" allowOverlap="1" wp14:anchorId="33FCD2E5" wp14:editId="315AD399">
                <wp:simplePos x="0" y="0"/>
                <wp:positionH relativeFrom="column">
                  <wp:posOffset>9179</wp:posOffset>
                </wp:positionH>
                <wp:positionV relativeFrom="paragraph">
                  <wp:posOffset>82827</wp:posOffset>
                </wp:positionV>
                <wp:extent cx="5411470" cy="4194810"/>
                <wp:effectExtent l="0" t="0" r="11430" b="8890"/>
                <wp:wrapSquare wrapText="bothSides"/>
                <wp:docPr id="1206028461" name="Group 1206028461"/>
                <wp:cNvGraphicFramePr/>
                <a:graphic xmlns:a="http://schemas.openxmlformats.org/drawingml/2006/main">
                  <a:graphicData uri="http://schemas.microsoft.com/office/word/2010/wordprocessingGroup">
                    <wpg:wgp>
                      <wpg:cNvGrpSpPr/>
                      <wpg:grpSpPr>
                        <a:xfrm>
                          <a:off x="0" y="0"/>
                          <a:ext cx="5411470" cy="4194810"/>
                          <a:chOff x="0" y="-70295"/>
                          <a:chExt cx="5612083" cy="4622620"/>
                        </a:xfrm>
                      </wpg:grpSpPr>
                      <wps:wsp>
                        <wps:cNvPr id="1994035099" name="Rectangle 1994035099"/>
                        <wps:cNvSpPr/>
                        <wps:spPr>
                          <a:xfrm>
                            <a:off x="3180705" y="425302"/>
                            <a:ext cx="2355790" cy="83947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160F23A" w14:textId="77777777" w:rsidR="009D663C" w:rsidRPr="000A34EA" w:rsidRDefault="009D663C" w:rsidP="009760CB">
                              <w:pPr>
                                <w:pStyle w:val="2024-PRISMA"/>
                              </w:pPr>
                              <w:r w:rsidRPr="000A34EA">
                                <w:t>Records removed before screening:</w:t>
                              </w:r>
                            </w:p>
                            <w:p w14:paraId="0F397D74" w14:textId="5C5B5C74" w:rsidR="009D663C" w:rsidRPr="000A34EA" w:rsidRDefault="009D663C" w:rsidP="009760CB">
                              <w:pPr>
                                <w:pStyle w:val="2024-PRISMA"/>
                              </w:pPr>
                              <w:r w:rsidRPr="000A34EA">
                                <w:t xml:space="preserve">Duplicate records removed (n = </w:t>
                              </w:r>
                              <w:r w:rsidR="00033AD2">
                                <w:t>5</w:t>
                              </w:r>
                              <w:r w:rsidRPr="000A34EA">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744059" name="Rectangle 9744059"/>
                        <wps:cNvSpPr/>
                        <wps:spPr>
                          <a:xfrm>
                            <a:off x="2987749" y="1509823"/>
                            <a:ext cx="1887220" cy="52641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773845B" w14:textId="77777777" w:rsidR="009D663C" w:rsidRPr="000A34EA" w:rsidRDefault="009D663C" w:rsidP="009760CB">
                              <w:pPr>
                                <w:pStyle w:val="2024-PRISMA"/>
                              </w:pPr>
                              <w:r w:rsidRPr="000A34EA">
                                <w:t>Records excluded</w:t>
                              </w:r>
                            </w:p>
                            <w:p w14:paraId="45A94344" w14:textId="48AF2221" w:rsidR="009D663C" w:rsidRPr="000A34EA" w:rsidRDefault="009D663C" w:rsidP="009760CB">
                              <w:pPr>
                                <w:pStyle w:val="2024-PRISMA"/>
                              </w:pPr>
                              <w:r w:rsidRPr="000A34EA">
                                <w:t xml:space="preserve">(n = </w:t>
                              </w:r>
                              <w:r w:rsidR="00033AD2">
                                <w:t>74</w:t>
                              </w:r>
                              <w:r w:rsidRPr="000A34EA">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75191382" name="Rectangle 1275191382"/>
                        <wps:cNvSpPr/>
                        <wps:spPr>
                          <a:xfrm>
                            <a:off x="2987749" y="2114622"/>
                            <a:ext cx="2351878" cy="757848"/>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450180D" w14:textId="77777777" w:rsidR="009D663C" w:rsidRDefault="009D663C" w:rsidP="009760CB">
                              <w:pPr>
                                <w:pStyle w:val="2024-PRISMA"/>
                              </w:pPr>
                              <w:r>
                                <w:t>Full-text unavailable</w:t>
                              </w:r>
                              <w:r w:rsidRPr="000A34EA">
                                <w:t xml:space="preserve"> (n</w:t>
                              </w:r>
                              <w:r>
                                <w:t xml:space="preserve"> = 0</w:t>
                              </w:r>
                              <w:r w:rsidRPr="000A34EA">
                                <w:t>)</w:t>
                              </w:r>
                            </w:p>
                            <w:p w14:paraId="0FB7549C" w14:textId="25370E90" w:rsidR="009D663C" w:rsidRDefault="009D663C" w:rsidP="009760CB">
                              <w:pPr>
                                <w:pStyle w:val="2024-PRISMA"/>
                              </w:pPr>
                              <w:r>
                                <w:t>Ongoing study</w:t>
                              </w:r>
                              <w:r w:rsidRPr="000A34EA">
                                <w:t xml:space="preserve"> (n</w:t>
                              </w:r>
                              <w:r>
                                <w:t xml:space="preserve"> = </w:t>
                              </w:r>
                              <w:r w:rsidR="00FD104D">
                                <w:t>0</w:t>
                              </w:r>
                              <w:r w:rsidRPr="000A34EA">
                                <w:t>)</w:t>
                              </w:r>
                            </w:p>
                            <w:p w14:paraId="0F86E35C" w14:textId="7DCF1576" w:rsidR="00565A64" w:rsidRPr="000A34EA" w:rsidRDefault="00565A64" w:rsidP="009760CB">
                              <w:pPr>
                                <w:pStyle w:val="2024-PRISMA"/>
                              </w:pPr>
                              <w:r>
                                <w:t>Conference abstracts (n = 0)</w:t>
                              </w:r>
                            </w:p>
                            <w:p w14:paraId="0735ACC2" w14:textId="167B97A2" w:rsidR="009D663C" w:rsidRPr="000A34EA" w:rsidRDefault="0097733F" w:rsidP="009760CB">
                              <w:pPr>
                                <w:pStyle w:val="2024-PRISMA"/>
                              </w:pPr>
                              <w:r>
                                <w:t>Reviews</w:t>
                              </w:r>
                              <w:r w:rsidRPr="008C6127">
                                <w:t xml:space="preserve"> </w:t>
                              </w:r>
                              <w:r w:rsidR="009D663C" w:rsidRPr="000A34EA">
                                <w:t xml:space="preserve">Awaiting Classification (n = </w:t>
                              </w:r>
                              <w:r w:rsidR="009D663C">
                                <w:t>0</w:t>
                              </w:r>
                              <w:r w:rsidR="009D663C" w:rsidRPr="000A34EA">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13663123" name="Rectangle 1113663123"/>
                        <wps:cNvSpPr/>
                        <wps:spPr>
                          <a:xfrm>
                            <a:off x="2987749" y="2955851"/>
                            <a:ext cx="2179320" cy="1084521"/>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83AD0A4" w14:textId="0C2CA69C" w:rsidR="009D663C" w:rsidRPr="000A34EA" w:rsidRDefault="009D663C" w:rsidP="009760CB">
                              <w:pPr>
                                <w:pStyle w:val="2024-PRISMA"/>
                              </w:pPr>
                              <w:r w:rsidRPr="000A34EA">
                                <w:t xml:space="preserve">Reports excluded (n = </w:t>
                              </w:r>
                              <w:r w:rsidR="00FD104D">
                                <w:t>6</w:t>
                              </w:r>
                              <w:r w:rsidRPr="000A34EA">
                                <w:t>):</w:t>
                              </w:r>
                            </w:p>
                            <w:p w14:paraId="59D42A32" w14:textId="00F69270" w:rsidR="009D663C" w:rsidRDefault="009D663C" w:rsidP="009760CB">
                              <w:pPr>
                                <w:pStyle w:val="2024-PRISMA"/>
                              </w:pPr>
                              <w:r>
                                <w:t xml:space="preserve">Wrong population (n = </w:t>
                              </w:r>
                              <w:r w:rsidR="00FD104D">
                                <w:t>2</w:t>
                              </w:r>
                              <w:r>
                                <w:t>)</w:t>
                              </w:r>
                            </w:p>
                            <w:p w14:paraId="3B639775" w14:textId="5AC8DA57" w:rsidR="009D663C" w:rsidRPr="000A34EA" w:rsidRDefault="009D663C" w:rsidP="009760CB">
                              <w:pPr>
                                <w:pStyle w:val="2024-PRISMA"/>
                              </w:pPr>
                              <w:r w:rsidRPr="000A34EA">
                                <w:t xml:space="preserve">Wrong intervention (n = </w:t>
                              </w:r>
                              <w:r w:rsidR="00FD104D">
                                <w:t>1</w:t>
                              </w:r>
                              <w:r w:rsidRPr="000A34EA">
                                <w:t>)</w:t>
                              </w:r>
                            </w:p>
                            <w:p w14:paraId="76B62E6E" w14:textId="77777777" w:rsidR="009D663C" w:rsidRPr="000A34EA" w:rsidRDefault="009D663C" w:rsidP="009760CB">
                              <w:pPr>
                                <w:pStyle w:val="2024-PRISMA"/>
                              </w:pPr>
                              <w:r w:rsidRPr="000A34EA">
                                <w:t>Wrong outcomes (n = 2)</w:t>
                              </w:r>
                            </w:p>
                            <w:p w14:paraId="46202460" w14:textId="1322C2E3" w:rsidR="009D663C" w:rsidRPr="000A34EA" w:rsidRDefault="009D663C" w:rsidP="009760CB">
                              <w:pPr>
                                <w:pStyle w:val="2024-PRISMA"/>
                              </w:pPr>
                              <w:r>
                                <w:t xml:space="preserve">Does not meet minimum criteria for systematic review (n = </w:t>
                              </w:r>
                              <w:r w:rsidR="00FD104D">
                                <w:t>1</w:t>
                              </w:r>
                              <w: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66235685" name="Straight Arrow Connector 1766235685"/>
                        <wps:cNvCnPr/>
                        <wps:spPr>
                          <a:xfrm>
                            <a:off x="2424224" y="975833"/>
                            <a:ext cx="756482"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543479195" name="Straight Arrow Connector 1543479195"/>
                        <wps:cNvCnPr/>
                        <wps:spPr>
                          <a:xfrm>
                            <a:off x="2392326" y="1720112"/>
                            <a:ext cx="563245"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671038949" name="Straight Arrow Connector 1671038949"/>
                        <wps:cNvCnPr/>
                        <wps:spPr>
                          <a:xfrm>
                            <a:off x="2402958" y="2421861"/>
                            <a:ext cx="563245"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866819162" name="Straight Arrow Connector 866819162"/>
                        <wps:cNvCnPr/>
                        <wps:spPr>
                          <a:xfrm>
                            <a:off x="2413591" y="3155507"/>
                            <a:ext cx="563245"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742862704" name="Flowchart: Alternate Process 31"/>
                        <wps:cNvSpPr/>
                        <wps:spPr>
                          <a:xfrm rot="16200000">
                            <a:off x="-344894" y="752739"/>
                            <a:ext cx="1086705" cy="330854"/>
                          </a:xfrm>
                          <a:prstGeom prst="flowChartAlternateProcess">
                            <a:avLst/>
                          </a:prstGeom>
                          <a:solidFill>
                            <a:schemeClr val="accent5">
                              <a:lumMod val="60000"/>
                              <a:lumOff val="40000"/>
                            </a:schemeClr>
                          </a:solidFill>
                          <a:ln>
                            <a:solidFill>
                              <a:schemeClr val="tx1"/>
                            </a:solidFill>
                          </a:ln>
                        </wps:spPr>
                        <wps:style>
                          <a:lnRef idx="2">
                            <a:schemeClr val="accent4">
                              <a:shade val="50000"/>
                            </a:schemeClr>
                          </a:lnRef>
                          <a:fillRef idx="1">
                            <a:schemeClr val="accent4"/>
                          </a:fillRef>
                          <a:effectRef idx="0">
                            <a:schemeClr val="accent4"/>
                          </a:effectRef>
                          <a:fontRef idx="minor">
                            <a:schemeClr val="lt1"/>
                          </a:fontRef>
                        </wps:style>
                        <wps:txbx>
                          <w:txbxContent>
                            <w:p w14:paraId="26E1B5D7" w14:textId="77777777" w:rsidR="009D663C" w:rsidRPr="001428E8" w:rsidRDefault="009D663C" w:rsidP="009760CB">
                              <w:pPr>
                                <w:pStyle w:val="2024-PRISMA"/>
                                <w:rPr>
                                  <w:b/>
                                </w:rPr>
                              </w:pPr>
                              <w:r w:rsidRPr="001428E8">
                                <w:rPr>
                                  <w:b/>
                                </w:rPr>
                                <w:t>Identification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76694197" name="Flowchart: Alternate Process 32"/>
                        <wps:cNvSpPr/>
                        <wps:spPr>
                          <a:xfrm rot="16200000">
                            <a:off x="-848039" y="2390913"/>
                            <a:ext cx="2093014" cy="330834"/>
                          </a:xfrm>
                          <a:prstGeom prst="flowChartAlternateProcess">
                            <a:avLst/>
                          </a:prstGeom>
                          <a:solidFill>
                            <a:schemeClr val="accent5">
                              <a:lumMod val="60000"/>
                              <a:lumOff val="40000"/>
                            </a:schemeClr>
                          </a:solidFill>
                          <a:ln>
                            <a:solidFill>
                              <a:schemeClr val="tx1"/>
                            </a:solidFill>
                          </a:ln>
                        </wps:spPr>
                        <wps:style>
                          <a:lnRef idx="2">
                            <a:schemeClr val="accent4">
                              <a:shade val="50000"/>
                            </a:schemeClr>
                          </a:lnRef>
                          <a:fillRef idx="1">
                            <a:schemeClr val="accent4"/>
                          </a:fillRef>
                          <a:effectRef idx="0">
                            <a:schemeClr val="accent4"/>
                          </a:effectRef>
                          <a:fontRef idx="minor">
                            <a:schemeClr val="lt1"/>
                          </a:fontRef>
                        </wps:style>
                        <wps:txbx>
                          <w:txbxContent>
                            <w:p w14:paraId="5EBDAD4B" w14:textId="77777777" w:rsidR="009D663C" w:rsidRPr="001428E8" w:rsidRDefault="009D663C" w:rsidP="001428E8">
                              <w:pPr>
                                <w:pStyle w:val="2024-PRISMA"/>
                                <w:jc w:val="center"/>
                                <w:rPr>
                                  <w:b/>
                                </w:rPr>
                              </w:pPr>
                              <w:r w:rsidRPr="001428E8">
                                <w:rPr>
                                  <w:b/>
                                </w:rPr>
                                <w:t>Screening</w:t>
                              </w:r>
                            </w:p>
                            <w:p w14:paraId="2DADFE79" w14:textId="77777777" w:rsidR="009D663C" w:rsidRPr="001428E8" w:rsidRDefault="009D663C" w:rsidP="001428E8">
                              <w:pPr>
                                <w:pStyle w:val="2024-PRISMA"/>
                                <w:jc w:val="center"/>
                                <w:rPr>
                                  <w: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72629203" name="Flowchart: Alternate Process 33"/>
                        <wps:cNvSpPr/>
                        <wps:spPr>
                          <a:xfrm rot="16200000">
                            <a:off x="-248606" y="3948117"/>
                            <a:ext cx="885835" cy="322581"/>
                          </a:xfrm>
                          <a:prstGeom prst="flowChartAlternateProcess">
                            <a:avLst/>
                          </a:prstGeom>
                          <a:solidFill>
                            <a:schemeClr val="accent5">
                              <a:lumMod val="60000"/>
                              <a:lumOff val="40000"/>
                            </a:schemeClr>
                          </a:solidFill>
                          <a:ln>
                            <a:solidFill>
                              <a:schemeClr val="tx1"/>
                            </a:solidFill>
                          </a:ln>
                        </wps:spPr>
                        <wps:style>
                          <a:lnRef idx="2">
                            <a:schemeClr val="accent4">
                              <a:shade val="50000"/>
                            </a:schemeClr>
                          </a:lnRef>
                          <a:fillRef idx="1">
                            <a:schemeClr val="accent4"/>
                          </a:fillRef>
                          <a:effectRef idx="0">
                            <a:schemeClr val="accent4"/>
                          </a:effectRef>
                          <a:fontRef idx="minor">
                            <a:schemeClr val="lt1"/>
                          </a:fontRef>
                        </wps:style>
                        <wps:txbx>
                          <w:txbxContent>
                            <w:p w14:paraId="60DFB727" w14:textId="77777777" w:rsidR="009D663C" w:rsidRPr="001428E8" w:rsidRDefault="009D663C" w:rsidP="009760CB">
                              <w:pPr>
                                <w:pStyle w:val="2024-PRISMA"/>
                                <w:rPr>
                                  <w:b/>
                                </w:rPr>
                              </w:pPr>
                              <w:r w:rsidRPr="001428E8">
                                <w:rPr>
                                  <w:b/>
                                </w:rPr>
                                <w:t>Included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19767824" name="Straight Arrow Connector 1719767824"/>
                        <wps:cNvCnPr/>
                        <wps:spPr>
                          <a:xfrm>
                            <a:off x="1339407" y="1233377"/>
                            <a:ext cx="0" cy="28130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809486252" name="Straight Arrow Connector 1809486252"/>
                        <wps:cNvCnPr/>
                        <wps:spPr>
                          <a:xfrm>
                            <a:off x="1339407" y="1967023"/>
                            <a:ext cx="0" cy="28130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589831950" name="Straight Arrow Connector 1589831950"/>
                        <wps:cNvCnPr/>
                        <wps:spPr>
                          <a:xfrm>
                            <a:off x="1350040" y="2690037"/>
                            <a:ext cx="0" cy="28130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713209529" name="Straight Arrow Connector 1713209529"/>
                        <wps:cNvCnPr/>
                        <wps:spPr>
                          <a:xfrm>
                            <a:off x="1339406" y="3151793"/>
                            <a:ext cx="0" cy="74612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892265742" name="Flowchart: Alternate Process 29"/>
                        <wps:cNvSpPr/>
                        <wps:spPr>
                          <a:xfrm>
                            <a:off x="0" y="-70295"/>
                            <a:ext cx="5612083" cy="362144"/>
                          </a:xfrm>
                          <a:prstGeom prst="flowChartAlternateProcess">
                            <a:avLst/>
                          </a:prstGeom>
                        </wps:spPr>
                        <wps:style>
                          <a:lnRef idx="2">
                            <a:schemeClr val="accent4">
                              <a:shade val="50000"/>
                            </a:schemeClr>
                          </a:lnRef>
                          <a:fillRef idx="1">
                            <a:schemeClr val="accent4"/>
                          </a:fillRef>
                          <a:effectRef idx="0">
                            <a:schemeClr val="accent4"/>
                          </a:effectRef>
                          <a:fontRef idx="minor">
                            <a:schemeClr val="lt1"/>
                          </a:fontRef>
                        </wps:style>
                        <wps:txbx>
                          <w:txbxContent>
                            <w:p w14:paraId="7D4FB181" w14:textId="2DF8EBF3" w:rsidR="009D663C" w:rsidRPr="001428E8" w:rsidRDefault="009D663C" w:rsidP="001428E8">
                              <w:pPr>
                                <w:pStyle w:val="2024-PRISMA"/>
                                <w:jc w:val="center"/>
                                <w:rPr>
                                  <w:b/>
                                </w:rPr>
                              </w:pPr>
                              <w:r w:rsidRPr="001428E8">
                                <w:rPr>
                                  <w:b/>
                                </w:rPr>
                                <w:t xml:space="preserve">Identification of </w:t>
                              </w:r>
                              <w:r w:rsidR="005D05C4">
                                <w:rPr>
                                  <w:b/>
                                </w:rPr>
                                <w:t>reviews</w:t>
                              </w:r>
                              <w:r w:rsidR="005D05C4" w:rsidRPr="001428E8">
                                <w:rPr>
                                  <w:b/>
                                </w:rPr>
                                <w:t xml:space="preserve"> </w:t>
                              </w:r>
                              <w:r w:rsidRPr="001428E8">
                                <w:rPr>
                                  <w:b/>
                                </w:rPr>
                                <w:t>via databases and registers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7331163" name="Rectangle 307331163"/>
                        <wps:cNvSpPr/>
                        <wps:spPr>
                          <a:xfrm>
                            <a:off x="499730" y="425302"/>
                            <a:ext cx="2455839" cy="839972"/>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7DF8398" w14:textId="0EF7AD57" w:rsidR="009D663C" w:rsidRPr="000A34EA" w:rsidRDefault="009D663C" w:rsidP="009760CB">
                              <w:pPr>
                                <w:pStyle w:val="2024-PRISMA"/>
                              </w:pPr>
                              <w:r w:rsidRPr="000A34EA">
                                <w:t>Records identified from:</w:t>
                              </w:r>
                            </w:p>
                            <w:p w14:paraId="24C8069B" w14:textId="686FC8A7" w:rsidR="009D663C" w:rsidRPr="000A34EA" w:rsidRDefault="009D663C" w:rsidP="009760CB">
                              <w:pPr>
                                <w:pStyle w:val="2024-PRISMA"/>
                              </w:pPr>
                              <w:r w:rsidRPr="000A34EA">
                                <w:t xml:space="preserve">Databases and registers (n = </w:t>
                              </w:r>
                              <w:r w:rsidR="00033AD2">
                                <w:t>89</w:t>
                              </w:r>
                              <w:r w:rsidRPr="000A34EA">
                                <w:t>)</w:t>
                              </w:r>
                            </w:p>
                            <w:p w14:paraId="28B23E7A" w14:textId="77777777" w:rsidR="009D663C" w:rsidRDefault="009D663C" w:rsidP="009760CB">
                              <w:pPr>
                                <w:pStyle w:val="2024-PRISMA"/>
                              </w:pPr>
                              <w:r w:rsidRPr="000A34EA">
                                <w:t>Manual</w:t>
                              </w:r>
                              <w:r>
                                <w:t xml:space="preserve"> or </w:t>
                              </w:r>
                              <w:r w:rsidRPr="000A34EA">
                                <w:t xml:space="preserve">citation </w:t>
                              </w:r>
                              <w:r>
                                <w:t xml:space="preserve">searching </w:t>
                              </w:r>
                              <w:r w:rsidRPr="000A34EA">
                                <w:t xml:space="preserve">(n = </w:t>
                              </w:r>
                              <w:r>
                                <w:t>0</w:t>
                              </w:r>
                              <w:r w:rsidRPr="000A34EA">
                                <w:t>)</w:t>
                              </w:r>
                            </w:p>
                            <w:p w14:paraId="5913A3D0" w14:textId="77777777" w:rsidR="009D663C" w:rsidRPr="000A34EA" w:rsidRDefault="009D663C" w:rsidP="009760CB">
                              <w:pPr>
                                <w:pStyle w:val="2024-PRISMA"/>
                              </w:pPr>
                              <w:r>
                                <w:t>Department’s call for evidence</w:t>
                              </w:r>
                              <w:r w:rsidRPr="000A34EA">
                                <w:t xml:space="preserve"> (n = </w:t>
                              </w:r>
                              <w:r>
                                <w:t>0</w:t>
                              </w:r>
                              <w:r w:rsidRPr="000A34EA">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99314625" name="Rectangle 2099314625"/>
                        <wps:cNvSpPr/>
                        <wps:spPr>
                          <a:xfrm>
                            <a:off x="499731" y="1520456"/>
                            <a:ext cx="1887220" cy="52641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10CDC69" w14:textId="77777777" w:rsidR="009D663C" w:rsidRPr="000A34EA" w:rsidRDefault="009D663C" w:rsidP="009760CB">
                              <w:pPr>
                                <w:pStyle w:val="2024-PRISMA"/>
                              </w:pPr>
                              <w:r w:rsidRPr="000A34EA">
                                <w:t>Records screened</w:t>
                              </w:r>
                            </w:p>
                            <w:p w14:paraId="357060A4" w14:textId="0C17CCD9" w:rsidR="009D663C" w:rsidRPr="000A34EA" w:rsidRDefault="009D663C" w:rsidP="009760CB">
                              <w:pPr>
                                <w:pStyle w:val="2024-PRISMA"/>
                              </w:pPr>
                              <w:r w:rsidRPr="000A34EA">
                                <w:t xml:space="preserve">(n = </w:t>
                              </w:r>
                              <w:r w:rsidR="00033AD2">
                                <w:t>84</w:t>
                              </w:r>
                              <w:r w:rsidRPr="000A34EA">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11838400" name="Rectangle 611838400"/>
                        <wps:cNvSpPr/>
                        <wps:spPr>
                          <a:xfrm>
                            <a:off x="499731" y="2977116"/>
                            <a:ext cx="1887220" cy="52641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1BF9664" w14:textId="77777777" w:rsidR="009D663C" w:rsidRPr="000A34EA" w:rsidRDefault="009D663C" w:rsidP="009760CB">
                              <w:pPr>
                                <w:pStyle w:val="2024-PRISMA"/>
                              </w:pPr>
                              <w:r w:rsidRPr="000A34EA">
                                <w:t>Reports assessed for eligibility</w:t>
                              </w:r>
                            </w:p>
                            <w:p w14:paraId="7DF93B4A" w14:textId="77777777" w:rsidR="009D663C" w:rsidRPr="000A34EA" w:rsidRDefault="009D663C" w:rsidP="009760CB">
                              <w:pPr>
                                <w:pStyle w:val="2024-PRISMA"/>
                              </w:pPr>
                              <w:r w:rsidRPr="000A34EA">
                                <w:t xml:space="preserve">(n = </w:t>
                              </w:r>
                              <w:r>
                                <w:t>10</w:t>
                              </w:r>
                              <w:r w:rsidRPr="000A34EA">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69145669" name="Rectangle 1569145669"/>
                        <wps:cNvSpPr/>
                        <wps:spPr>
                          <a:xfrm>
                            <a:off x="489098" y="3900430"/>
                            <a:ext cx="1887220" cy="511952"/>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17F0DEF" w14:textId="158C8486" w:rsidR="009D663C" w:rsidRPr="000A34EA" w:rsidRDefault="001A08A9" w:rsidP="009760CB">
                              <w:pPr>
                                <w:pStyle w:val="2024-PRISMA"/>
                              </w:pPr>
                              <w:r>
                                <w:t>Reviews</w:t>
                              </w:r>
                              <w:r w:rsidRPr="000A34EA">
                                <w:t xml:space="preserve"> </w:t>
                              </w:r>
                              <w:r w:rsidR="009D663C" w:rsidRPr="000A34EA">
                                <w:t xml:space="preserve">included in </w:t>
                              </w:r>
                              <w:r>
                                <w:t>over</w:t>
                              </w:r>
                              <w:r w:rsidR="009D663C" w:rsidRPr="000A34EA">
                                <w:t>view</w:t>
                              </w:r>
                            </w:p>
                            <w:p w14:paraId="3246751F" w14:textId="4985A4DB" w:rsidR="009D663C" w:rsidRPr="000A34EA" w:rsidRDefault="009D663C" w:rsidP="009760CB">
                              <w:pPr>
                                <w:pStyle w:val="2024-PRISMA"/>
                              </w:pPr>
                              <w:r w:rsidRPr="000A34EA">
                                <w:t xml:space="preserve">(n = </w:t>
                              </w:r>
                              <w:r w:rsidR="00255A73">
                                <w:t>4</w:t>
                              </w:r>
                              <w:r w:rsidRPr="000A34EA">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99465704" name="Rectangle 1599465704"/>
                        <wps:cNvSpPr/>
                        <wps:spPr>
                          <a:xfrm>
                            <a:off x="499731" y="2243470"/>
                            <a:ext cx="1887220" cy="52641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299AFE0" w14:textId="77777777" w:rsidR="009D663C" w:rsidRPr="000A34EA" w:rsidRDefault="009D663C" w:rsidP="009760CB">
                              <w:pPr>
                                <w:pStyle w:val="2024-PRISMA"/>
                              </w:pPr>
                              <w:r w:rsidRPr="000A34EA">
                                <w:t>Reports sought for retrieval</w:t>
                              </w:r>
                            </w:p>
                            <w:p w14:paraId="6CFCFD2A" w14:textId="2D1A856F" w:rsidR="009D663C" w:rsidRPr="000A34EA" w:rsidRDefault="009D663C" w:rsidP="009760CB">
                              <w:pPr>
                                <w:pStyle w:val="2024-PRISMA"/>
                              </w:pPr>
                              <w:r w:rsidRPr="000A34EA">
                                <w:t xml:space="preserve">(n = </w:t>
                              </w:r>
                              <w:r>
                                <w:t>1</w:t>
                              </w:r>
                              <w:r w:rsidR="00033AD2">
                                <w:t>0</w:t>
                              </w:r>
                              <w:r w:rsidRPr="000A34EA">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3FCD2E5" id="Group 1206028461" o:spid="_x0000_s1092" style="position:absolute;margin-left:.7pt;margin-top:6.5pt;width:426.1pt;height:330.3pt;z-index:251658244;mso-width-relative:margin;mso-height-relative:margin" coordorigin=",-702" coordsize="56120,462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">
                <v:rect id="Rectangle 1994035099" o:spid="_x0000_s1093" style="position:absolute;left:31807;top:4253;width:23557;height:83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" filled="f" strokecolor="black [3213]" strokeweight="1pt">
                  <v:textbox>
                    <w:txbxContent>
                      <w:p w14:paraId="5160F23A" w14:textId="77777777" w:rsidR="009D663C" w:rsidRPr="000A34EA" w:rsidRDefault="009D663C" w:rsidP="009760CB">
                        <w:pPr>
                          <w:pStyle w:val="2024-PRISMA"/>
                        </w:pPr>
                        <w:r w:rsidRPr="000A34EA">
                          <w:t>Records removed before screening:</w:t>
                        </w:r>
                      </w:p>
                      <w:p w14:paraId="0F397D74" w14:textId="5C5B5C74" w:rsidR="009D663C" w:rsidRPr="000A34EA" w:rsidRDefault="009D663C" w:rsidP="009760CB">
                        <w:pPr>
                          <w:pStyle w:val="2024-PRISMA"/>
                        </w:pPr>
                        <w:r w:rsidRPr="000A34EA">
                          <w:t xml:space="preserve">Duplicate records removed (n = </w:t>
                        </w:r>
                        <w:r w:rsidR="00033AD2">
                          <w:t>5</w:t>
                        </w:r>
                        <w:r w:rsidRPr="000A34EA">
                          <w:t>)</w:t>
                        </w:r>
                      </w:p>
                    </w:txbxContent>
                  </v:textbox>
                </v:rect>
                <v:rect id="Rectangle 9744059" o:spid="_x0000_s1094" style="position:absolute;left:29877;top:15098;width:18872;height:52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" filled="f" strokecolor="black [3213]" strokeweight="1pt">
                  <v:textbox>
                    <w:txbxContent>
                      <w:p w14:paraId="1773845B" w14:textId="77777777" w:rsidR="009D663C" w:rsidRPr="000A34EA" w:rsidRDefault="009D663C" w:rsidP="009760CB">
                        <w:pPr>
                          <w:pStyle w:val="2024-PRISMA"/>
                        </w:pPr>
                        <w:r w:rsidRPr="000A34EA">
                          <w:t>Records excluded</w:t>
                        </w:r>
                      </w:p>
                      <w:p w14:paraId="45A94344" w14:textId="48AF2221" w:rsidR="009D663C" w:rsidRPr="000A34EA" w:rsidRDefault="009D663C" w:rsidP="009760CB">
                        <w:pPr>
                          <w:pStyle w:val="2024-PRISMA"/>
                        </w:pPr>
                        <w:r w:rsidRPr="000A34EA">
                          <w:t xml:space="preserve">(n = </w:t>
                        </w:r>
                        <w:r w:rsidR="00033AD2">
                          <w:t>74</w:t>
                        </w:r>
                        <w:r w:rsidRPr="000A34EA">
                          <w:t>)</w:t>
                        </w:r>
                      </w:p>
                    </w:txbxContent>
                  </v:textbox>
                </v:rect>
                <v:rect id="Rectangle 1275191382" o:spid="_x0000_s1095" style="position:absolute;left:29877;top:21146;width:23519;height:75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" filled="f" strokecolor="black [3213]" strokeweight="1pt">
                  <v:textbox>
                    <w:txbxContent>
                      <w:p w14:paraId="0450180D" w14:textId="77777777" w:rsidR="009D663C" w:rsidRDefault="009D663C" w:rsidP="009760CB">
                        <w:pPr>
                          <w:pStyle w:val="2024-PRISMA"/>
                        </w:pPr>
                        <w:r>
                          <w:t>Full-text unavailable</w:t>
                        </w:r>
                        <w:r w:rsidRPr="000A34EA">
                          <w:t xml:space="preserve"> (n</w:t>
                        </w:r>
                        <w:r>
                          <w:t xml:space="preserve"> = 0</w:t>
                        </w:r>
                        <w:r w:rsidRPr="000A34EA">
                          <w:t>)</w:t>
                        </w:r>
                      </w:p>
                      <w:p w14:paraId="0FB7549C" w14:textId="25370E90" w:rsidR="009D663C" w:rsidRDefault="009D663C" w:rsidP="009760CB">
                        <w:pPr>
                          <w:pStyle w:val="2024-PRISMA"/>
                        </w:pPr>
                        <w:r>
                          <w:t>Ongoing study</w:t>
                        </w:r>
                        <w:r w:rsidRPr="000A34EA">
                          <w:t xml:space="preserve"> (n</w:t>
                        </w:r>
                        <w:r>
                          <w:t xml:space="preserve"> = </w:t>
                        </w:r>
                        <w:r w:rsidR="00FD104D">
                          <w:t>0</w:t>
                        </w:r>
                        <w:r w:rsidRPr="000A34EA">
                          <w:t>)</w:t>
                        </w:r>
                      </w:p>
                      <w:p w14:paraId="0F86E35C" w14:textId="7DCF1576" w:rsidR="00565A64" w:rsidRPr="000A34EA" w:rsidRDefault="00565A64" w:rsidP="009760CB">
                        <w:pPr>
                          <w:pStyle w:val="2024-PRISMA"/>
                        </w:pPr>
                        <w:r>
                          <w:t>Conference abstracts (n = 0)</w:t>
                        </w:r>
                      </w:p>
                      <w:p w14:paraId="0735ACC2" w14:textId="167B97A2" w:rsidR="009D663C" w:rsidRPr="000A34EA" w:rsidRDefault="0097733F" w:rsidP="009760CB">
                        <w:pPr>
                          <w:pStyle w:val="2024-PRISMA"/>
                        </w:pPr>
                        <w:r>
                          <w:t>Reviews</w:t>
                        </w:r>
                        <w:r w:rsidRPr="008C6127">
                          <w:t xml:space="preserve"> </w:t>
                        </w:r>
                        <w:r w:rsidR="009D663C" w:rsidRPr="000A34EA">
                          <w:t xml:space="preserve">Awaiting Classification (n = </w:t>
                        </w:r>
                        <w:r w:rsidR="009D663C">
                          <w:t>0</w:t>
                        </w:r>
                        <w:r w:rsidR="009D663C" w:rsidRPr="000A34EA">
                          <w:t>)</w:t>
                        </w:r>
                      </w:p>
                    </w:txbxContent>
                  </v:textbox>
                </v:rect>
                <v:rect id="Rectangle 1113663123" o:spid="_x0000_s1096" style="position:absolute;left:29877;top:29558;width:21793;height:108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" filled="f" strokecolor="black [3213]" strokeweight="1pt">
                  <v:textbox>
                    <w:txbxContent>
                      <w:p w14:paraId="483AD0A4" w14:textId="0C2CA69C" w:rsidR="009D663C" w:rsidRPr="000A34EA" w:rsidRDefault="009D663C" w:rsidP="009760CB">
                        <w:pPr>
                          <w:pStyle w:val="2024-PRISMA"/>
                        </w:pPr>
                        <w:r w:rsidRPr="000A34EA">
                          <w:t xml:space="preserve">Reports excluded (n = </w:t>
                        </w:r>
                        <w:r w:rsidR="00FD104D">
                          <w:t>6</w:t>
                        </w:r>
                        <w:r w:rsidRPr="000A34EA">
                          <w:t>):</w:t>
                        </w:r>
                      </w:p>
                      <w:p w14:paraId="59D42A32" w14:textId="00F69270" w:rsidR="009D663C" w:rsidRDefault="009D663C" w:rsidP="009760CB">
                        <w:pPr>
                          <w:pStyle w:val="2024-PRISMA"/>
                        </w:pPr>
                        <w:r>
                          <w:t xml:space="preserve">Wrong population (n = </w:t>
                        </w:r>
                        <w:r w:rsidR="00FD104D">
                          <w:t>2</w:t>
                        </w:r>
                        <w:r>
                          <w:t>)</w:t>
                        </w:r>
                      </w:p>
                      <w:p w14:paraId="3B639775" w14:textId="5AC8DA57" w:rsidR="009D663C" w:rsidRPr="000A34EA" w:rsidRDefault="009D663C" w:rsidP="009760CB">
                        <w:pPr>
                          <w:pStyle w:val="2024-PRISMA"/>
                        </w:pPr>
                        <w:r w:rsidRPr="000A34EA">
                          <w:t xml:space="preserve">Wrong intervention (n = </w:t>
                        </w:r>
                        <w:r w:rsidR="00FD104D">
                          <w:t>1</w:t>
                        </w:r>
                        <w:r w:rsidRPr="000A34EA">
                          <w:t>)</w:t>
                        </w:r>
                      </w:p>
                      <w:p w14:paraId="76B62E6E" w14:textId="77777777" w:rsidR="009D663C" w:rsidRPr="000A34EA" w:rsidRDefault="009D663C" w:rsidP="009760CB">
                        <w:pPr>
                          <w:pStyle w:val="2024-PRISMA"/>
                        </w:pPr>
                        <w:r w:rsidRPr="000A34EA">
                          <w:t>Wrong outcomes (n = 2)</w:t>
                        </w:r>
                      </w:p>
                      <w:p w14:paraId="46202460" w14:textId="1322C2E3" w:rsidR="009D663C" w:rsidRPr="000A34EA" w:rsidRDefault="009D663C" w:rsidP="009760CB">
                        <w:pPr>
                          <w:pStyle w:val="2024-PRISMA"/>
                        </w:pPr>
                        <w:r>
                          <w:t xml:space="preserve">Does not meet minimum criteria for systematic review (n = </w:t>
                        </w:r>
                        <w:r w:rsidR="00FD104D">
                          <w:t>1</w:t>
                        </w:r>
                        <w:r>
                          <w:t>)</w:t>
                        </w:r>
                      </w:p>
                    </w:txbxContent>
                  </v:textbox>
                </v:rect>
                <v:shape id="Straight Arrow Connector 1766235685" o:spid="_x0000_s1097" type="#_x0000_t32" style="position:absolute;left:24242;top:9758;width:756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" strokecolor="black [3213]" strokeweight=".5pt">
                  <v:stroke endarrow="block" joinstyle="miter"/>
                </v:shape>
                <v:shape id="Straight Arrow Connector 1543479195" o:spid="_x0000_s1098" type="#_x0000_t32" style="position:absolute;left:23923;top:17201;width:563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" strokecolor="black [3213]" strokeweight=".5pt">
                  <v:stroke endarrow="block" joinstyle="miter"/>
                </v:shape>
                <v:shape id="Straight Arrow Connector 1671038949" o:spid="_x0000_s1099" type="#_x0000_t32" style="position:absolute;left:24029;top:24218;width:563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" strokecolor="black [3213]" strokeweight=".5pt">
                  <v:stroke endarrow="block" joinstyle="miter"/>
                </v:shape>
                <v:shape id="Straight Arrow Connector 866819162" o:spid="_x0000_s1100" type="#_x0000_t32" style="position:absolute;left:24135;top:31555;width:563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" strokecolor="black [3213]" strokeweight=".5pt">
                  <v:stroke endarrow="block" joinstyle="miter"/>
                </v:shape>
                <v:shape id="Flowchart: Alternate Process 31" o:spid="_x0000_s1101" type="#_x0000_t176" style="position:absolute;left:-3450;top:7528;width:10867;height:3308;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" fillcolor="#9cc2e5 [1944]" strokecolor="black [3213]" strokeweight="1pt">
                  <v:textbox>
                    <w:txbxContent>
                      <w:p w14:paraId="26E1B5D7" w14:textId="77777777" w:rsidR="009D663C" w:rsidRPr="001428E8" w:rsidRDefault="009D663C" w:rsidP="009760CB">
                        <w:pPr>
                          <w:pStyle w:val="2024-PRISMA"/>
                          <w:rPr>
                            <w:b/>
                          </w:rPr>
                        </w:pPr>
                        <w:r w:rsidRPr="001428E8">
                          <w:rPr>
                            <w:b/>
                          </w:rPr>
                          <w:t>Identification</w:t>
                        </w:r>
                      </w:p>
                    </w:txbxContent>
                  </v:textbox>
                </v:shape>
                <v:shape id="Flowchart: Alternate Process 32" o:spid="_x0000_s1102" type="#_x0000_t176" style="position:absolute;left:-8481;top:23909;width:20930;height:3308;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" fillcolor="#9cc2e5 [1944]" strokecolor="black [3213]" strokeweight="1pt">
                  <v:textbox>
                    <w:txbxContent>
                      <w:p w14:paraId="5EBDAD4B" w14:textId="77777777" w:rsidR="009D663C" w:rsidRPr="001428E8" w:rsidRDefault="009D663C" w:rsidP="001428E8">
                        <w:pPr>
                          <w:pStyle w:val="2024-PRISMA"/>
                          <w:jc w:val="center"/>
                          <w:rPr>
                            <w:b/>
                          </w:rPr>
                        </w:pPr>
                        <w:r w:rsidRPr="001428E8">
                          <w:rPr>
                            <w:b/>
                          </w:rPr>
                          <w:t>Screening</w:t>
                        </w:r>
                      </w:p>
                      <w:p w14:paraId="2DADFE79" w14:textId="77777777" w:rsidR="009D663C" w:rsidRPr="001428E8" w:rsidRDefault="009D663C" w:rsidP="001428E8">
                        <w:pPr>
                          <w:pStyle w:val="2024-PRISMA"/>
                          <w:jc w:val="center"/>
                          <w:rPr>
                            <w:b/>
                          </w:rPr>
                        </w:pPr>
                      </w:p>
                    </w:txbxContent>
                  </v:textbox>
                </v:shape>
                <v:shape id="Flowchart: Alternate Process 33" o:spid="_x0000_s1103" type="#_x0000_t176" style="position:absolute;left:-2487;top:39481;width:8859;height:3226;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" fillcolor="#9cc2e5 [1944]" strokecolor="black [3213]" strokeweight="1pt">
                  <v:textbox>
                    <w:txbxContent>
                      <w:p w14:paraId="60DFB727" w14:textId="77777777" w:rsidR="009D663C" w:rsidRPr="001428E8" w:rsidRDefault="009D663C" w:rsidP="009760CB">
                        <w:pPr>
                          <w:pStyle w:val="2024-PRISMA"/>
                          <w:rPr>
                            <w:b/>
                          </w:rPr>
                        </w:pPr>
                        <w:r w:rsidRPr="001428E8">
                          <w:rPr>
                            <w:b/>
                          </w:rPr>
                          <w:t>Included</w:t>
                        </w:r>
                      </w:p>
                    </w:txbxContent>
                  </v:textbox>
                </v:shape>
                <v:shape id="Straight Arrow Connector 1719767824" o:spid="_x0000_s1104" type="#_x0000_t32" style="position:absolute;left:13394;top:12333;width:0;height:281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" strokecolor="black [3213]" strokeweight=".5pt">
                  <v:stroke endarrow="block" joinstyle="miter"/>
                </v:shape>
                <v:shape id="Straight Arrow Connector 1809486252" o:spid="_x0000_s1105" type="#_x0000_t32" style="position:absolute;left:13394;top:19670;width:0;height:281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" strokecolor="black [3213]" strokeweight=".5pt">
                  <v:stroke endarrow="block" joinstyle="miter"/>
                </v:shape>
                <v:shape id="Straight Arrow Connector 1589831950" o:spid="_x0000_s1106" type="#_x0000_t32" style="position:absolute;left:13500;top:26900;width:0;height:281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" strokecolor="black [3213]" strokeweight=".5pt">
                  <v:stroke endarrow="block" joinstyle="miter"/>
                </v:shape>
                <v:shape id="Straight Arrow Connector 1713209529" o:spid="_x0000_s1107" type="#_x0000_t32" style="position:absolute;left:13394;top:31517;width:0;height:746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" strokecolor="black [3213]" strokeweight=".5pt">
                  <v:stroke endarrow="block" joinstyle="miter"/>
                </v:shape>
                <v:shape id="Flowchart: Alternate Process 29" o:spid="_x0000_s1108" type="#_x0000_t176" style="position:absolute;top:-702;width:56120;height:36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" fillcolor="#ffc000 [3207]" strokecolor="#7f5f00 [1607]" strokeweight="1pt">
                  <v:textbox>
                    <w:txbxContent>
                      <w:p w14:paraId="7D4FB181" w14:textId="2DF8EBF3" w:rsidR="009D663C" w:rsidRPr="001428E8" w:rsidRDefault="009D663C" w:rsidP="001428E8">
                        <w:pPr>
                          <w:pStyle w:val="2024-PRISMA"/>
                          <w:jc w:val="center"/>
                          <w:rPr>
                            <w:b/>
                          </w:rPr>
                        </w:pPr>
                        <w:r w:rsidRPr="001428E8">
                          <w:rPr>
                            <w:b/>
                          </w:rPr>
                          <w:t xml:space="preserve">Identification of </w:t>
                        </w:r>
                        <w:r w:rsidR="005D05C4">
                          <w:rPr>
                            <w:b/>
                          </w:rPr>
                          <w:t>reviews</w:t>
                        </w:r>
                        <w:r w:rsidR="005D05C4" w:rsidRPr="001428E8">
                          <w:rPr>
                            <w:b/>
                          </w:rPr>
                          <w:t xml:space="preserve"> </w:t>
                        </w:r>
                        <w:r w:rsidRPr="001428E8">
                          <w:rPr>
                            <w:b/>
                          </w:rPr>
                          <w:t>via databases and registers</w:t>
                        </w:r>
                      </w:p>
                    </w:txbxContent>
                  </v:textbox>
                </v:shape>
                <v:rect id="Rectangle 307331163" o:spid="_x0000_s1109" style="position:absolute;left:4997;top:4253;width:24558;height:83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" fillcolor="white [3212]" strokecolor="black [3213]" strokeweight="1pt">
                  <v:textbox>
                    <w:txbxContent>
                      <w:p w14:paraId="07DF8398" w14:textId="0EF7AD57" w:rsidR="009D663C" w:rsidRPr="000A34EA" w:rsidRDefault="009D663C" w:rsidP="009760CB">
                        <w:pPr>
                          <w:pStyle w:val="2024-PRISMA"/>
                        </w:pPr>
                        <w:r w:rsidRPr="000A34EA">
                          <w:t>Records identified from:</w:t>
                        </w:r>
                      </w:p>
                      <w:p w14:paraId="24C8069B" w14:textId="686FC8A7" w:rsidR="009D663C" w:rsidRPr="000A34EA" w:rsidRDefault="009D663C" w:rsidP="009760CB">
                        <w:pPr>
                          <w:pStyle w:val="2024-PRISMA"/>
                        </w:pPr>
                        <w:r w:rsidRPr="000A34EA">
                          <w:t xml:space="preserve">Databases and registers (n = </w:t>
                        </w:r>
                        <w:r w:rsidR="00033AD2">
                          <w:t>89</w:t>
                        </w:r>
                        <w:r w:rsidRPr="000A34EA">
                          <w:t>)</w:t>
                        </w:r>
                      </w:p>
                      <w:p w14:paraId="28B23E7A" w14:textId="77777777" w:rsidR="009D663C" w:rsidRDefault="009D663C" w:rsidP="009760CB">
                        <w:pPr>
                          <w:pStyle w:val="2024-PRISMA"/>
                        </w:pPr>
                        <w:r w:rsidRPr="000A34EA">
                          <w:t>Manual</w:t>
                        </w:r>
                        <w:r>
                          <w:t xml:space="preserve"> or </w:t>
                        </w:r>
                        <w:r w:rsidRPr="000A34EA">
                          <w:t xml:space="preserve">citation </w:t>
                        </w:r>
                        <w:r>
                          <w:t xml:space="preserve">searching </w:t>
                        </w:r>
                        <w:r w:rsidRPr="000A34EA">
                          <w:t xml:space="preserve">(n = </w:t>
                        </w:r>
                        <w:r>
                          <w:t>0</w:t>
                        </w:r>
                        <w:r w:rsidRPr="000A34EA">
                          <w:t>)</w:t>
                        </w:r>
                      </w:p>
                      <w:p w14:paraId="5913A3D0" w14:textId="77777777" w:rsidR="009D663C" w:rsidRPr="000A34EA" w:rsidRDefault="009D663C" w:rsidP="009760CB">
                        <w:pPr>
                          <w:pStyle w:val="2024-PRISMA"/>
                        </w:pPr>
                        <w:r>
                          <w:t>Department’s call for evidence</w:t>
                        </w:r>
                        <w:r w:rsidRPr="000A34EA">
                          <w:t xml:space="preserve"> (n = </w:t>
                        </w:r>
                        <w:r>
                          <w:t>0</w:t>
                        </w:r>
                        <w:r w:rsidRPr="000A34EA">
                          <w:t>)</w:t>
                        </w:r>
                      </w:p>
                    </w:txbxContent>
                  </v:textbox>
                </v:rect>
                <v:rect id="Rectangle 2099314625" o:spid="_x0000_s1110" style="position:absolute;left:4997;top:15204;width:18872;height:52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" fillcolor="white [3212]" strokecolor="black [3213]" strokeweight="1pt">
                  <v:textbox>
                    <w:txbxContent>
                      <w:p w14:paraId="110CDC69" w14:textId="77777777" w:rsidR="009D663C" w:rsidRPr="000A34EA" w:rsidRDefault="009D663C" w:rsidP="009760CB">
                        <w:pPr>
                          <w:pStyle w:val="2024-PRISMA"/>
                        </w:pPr>
                        <w:r w:rsidRPr="000A34EA">
                          <w:t>Records screened</w:t>
                        </w:r>
                      </w:p>
                      <w:p w14:paraId="357060A4" w14:textId="0C17CCD9" w:rsidR="009D663C" w:rsidRPr="000A34EA" w:rsidRDefault="009D663C" w:rsidP="009760CB">
                        <w:pPr>
                          <w:pStyle w:val="2024-PRISMA"/>
                        </w:pPr>
                        <w:r w:rsidRPr="000A34EA">
                          <w:t xml:space="preserve">(n = </w:t>
                        </w:r>
                        <w:r w:rsidR="00033AD2">
                          <w:t>84</w:t>
                        </w:r>
                        <w:r w:rsidRPr="000A34EA">
                          <w:t>)</w:t>
                        </w:r>
                      </w:p>
                    </w:txbxContent>
                  </v:textbox>
                </v:rect>
                <v:rect id="Rectangle 611838400" o:spid="_x0000_s1111" style="position:absolute;left:4997;top:29771;width:18872;height:52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" fillcolor="white [3212]" strokecolor="black [3213]" strokeweight="1pt">
                  <v:textbox>
                    <w:txbxContent>
                      <w:p w14:paraId="11BF9664" w14:textId="77777777" w:rsidR="009D663C" w:rsidRPr="000A34EA" w:rsidRDefault="009D663C" w:rsidP="009760CB">
                        <w:pPr>
                          <w:pStyle w:val="2024-PRISMA"/>
                        </w:pPr>
                        <w:r w:rsidRPr="000A34EA">
                          <w:t>Reports assessed for eligibility</w:t>
                        </w:r>
                      </w:p>
                      <w:p w14:paraId="7DF93B4A" w14:textId="77777777" w:rsidR="009D663C" w:rsidRPr="000A34EA" w:rsidRDefault="009D663C" w:rsidP="009760CB">
                        <w:pPr>
                          <w:pStyle w:val="2024-PRISMA"/>
                        </w:pPr>
                        <w:r w:rsidRPr="000A34EA">
                          <w:t xml:space="preserve">(n = </w:t>
                        </w:r>
                        <w:r>
                          <w:t>10</w:t>
                        </w:r>
                        <w:r w:rsidRPr="000A34EA">
                          <w:t>)</w:t>
                        </w:r>
                      </w:p>
                    </w:txbxContent>
                  </v:textbox>
                </v:rect>
                <v:rect id="Rectangle 1569145669" o:spid="_x0000_s1112" style="position:absolute;left:4890;top:39004;width:18873;height:51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" fillcolor="white [3212]" strokecolor="black [3213]" strokeweight="1pt">
                  <v:textbox>
                    <w:txbxContent>
                      <w:p w14:paraId="717F0DEF" w14:textId="158C8486" w:rsidR="009D663C" w:rsidRPr="000A34EA" w:rsidRDefault="001A08A9" w:rsidP="009760CB">
                        <w:pPr>
                          <w:pStyle w:val="2024-PRISMA"/>
                        </w:pPr>
                        <w:r>
                          <w:t>Reviews</w:t>
                        </w:r>
                        <w:r w:rsidRPr="000A34EA">
                          <w:t xml:space="preserve"> </w:t>
                        </w:r>
                        <w:r w:rsidR="009D663C" w:rsidRPr="000A34EA">
                          <w:t xml:space="preserve">included in </w:t>
                        </w:r>
                        <w:r>
                          <w:t>over</w:t>
                        </w:r>
                        <w:r w:rsidR="009D663C" w:rsidRPr="000A34EA">
                          <w:t>view</w:t>
                        </w:r>
                      </w:p>
                      <w:p w14:paraId="3246751F" w14:textId="4985A4DB" w:rsidR="009D663C" w:rsidRPr="000A34EA" w:rsidRDefault="009D663C" w:rsidP="009760CB">
                        <w:pPr>
                          <w:pStyle w:val="2024-PRISMA"/>
                        </w:pPr>
                        <w:r w:rsidRPr="000A34EA">
                          <w:t xml:space="preserve">(n = </w:t>
                        </w:r>
                        <w:r w:rsidR="00255A73">
                          <w:t>4</w:t>
                        </w:r>
                        <w:r w:rsidRPr="000A34EA">
                          <w:t>)</w:t>
                        </w:r>
                      </w:p>
                    </w:txbxContent>
                  </v:textbox>
                </v:rect>
                <v:rect id="Rectangle 1599465704" o:spid="_x0000_s1113" style="position:absolute;left:4997;top:22434;width:18872;height:52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" fillcolor="white [3212]" strokecolor="black [3213]" strokeweight="1pt">
                  <v:textbox>
                    <w:txbxContent>
                      <w:p w14:paraId="5299AFE0" w14:textId="77777777" w:rsidR="009D663C" w:rsidRPr="000A34EA" w:rsidRDefault="009D663C" w:rsidP="009760CB">
                        <w:pPr>
                          <w:pStyle w:val="2024-PRISMA"/>
                        </w:pPr>
                        <w:r w:rsidRPr="000A34EA">
                          <w:t>Reports sought for retrieval</w:t>
                        </w:r>
                      </w:p>
                      <w:p w14:paraId="6CFCFD2A" w14:textId="2D1A856F" w:rsidR="009D663C" w:rsidRPr="000A34EA" w:rsidRDefault="009D663C" w:rsidP="009760CB">
                        <w:pPr>
                          <w:pStyle w:val="2024-PRISMA"/>
                        </w:pPr>
                        <w:r w:rsidRPr="000A34EA">
                          <w:t xml:space="preserve">(n = </w:t>
                        </w:r>
                        <w:r>
                          <w:t>1</w:t>
                        </w:r>
                        <w:r w:rsidR="00033AD2">
                          <w:t>0</w:t>
                        </w:r>
                        <w:r w:rsidRPr="000A34EA">
                          <w:t>)</w:t>
                        </w:r>
                      </w:p>
                    </w:txbxContent>
                  </v:textbox>
                </v:rect>
                <w10:wrap type="square"/>
              </v:group>
            </w:pict>
          </mc:Fallback>
        </mc:AlternateContent>
      </w:r>
    </w:p>
    <w:p w14:paraId="12BC3370" w14:textId="77777777" w:rsidR="009D663C" w:rsidRPr="0054775B" w:rsidRDefault="009D663C" w:rsidP="009E6F7F"/>
    <w:p w14:paraId="590E093B" w14:textId="77777777" w:rsidR="009D663C" w:rsidRPr="0054775B" w:rsidRDefault="009D663C" w:rsidP="009E6F7F"/>
    <w:p w14:paraId="0A850975" w14:textId="77777777" w:rsidR="009D663C" w:rsidRPr="0054775B" w:rsidRDefault="009D663C" w:rsidP="009E6F7F"/>
    <w:p w14:paraId="2CC88BFF" w14:textId="77777777" w:rsidR="009D663C" w:rsidRPr="0054775B" w:rsidRDefault="009D663C" w:rsidP="009E6F7F"/>
    <w:p w14:paraId="24AF7BD9" w14:textId="77777777" w:rsidR="009D663C" w:rsidRPr="0054775B" w:rsidRDefault="009D663C" w:rsidP="009E6F7F"/>
    <w:p w14:paraId="7B2EEEDF" w14:textId="77777777" w:rsidR="009D663C" w:rsidRPr="0054775B" w:rsidRDefault="009D663C" w:rsidP="009E6F7F"/>
    <w:p w14:paraId="528EE64F" w14:textId="77777777" w:rsidR="009D663C" w:rsidRPr="0054775B" w:rsidRDefault="009D663C" w:rsidP="009E6F7F"/>
    <w:p w14:paraId="4F2643EF" w14:textId="77777777" w:rsidR="009D663C" w:rsidRPr="0054775B" w:rsidRDefault="009D663C" w:rsidP="009E6F7F"/>
    <w:p w14:paraId="0A08FC7F" w14:textId="77777777" w:rsidR="009D663C" w:rsidRPr="0054775B" w:rsidRDefault="009D663C" w:rsidP="009E6F7F"/>
    <w:p w14:paraId="15CB515B" w14:textId="77777777" w:rsidR="009D663C" w:rsidRPr="0054775B" w:rsidRDefault="009D663C" w:rsidP="009E6F7F"/>
    <w:p w14:paraId="4114ADEB" w14:textId="77777777" w:rsidR="009D663C" w:rsidRPr="0054775B" w:rsidRDefault="009D663C" w:rsidP="009E6F7F"/>
    <w:p w14:paraId="0CE74ED9" w14:textId="77777777" w:rsidR="009D663C" w:rsidRPr="0054775B" w:rsidRDefault="009D663C" w:rsidP="009E6F7F"/>
    <w:p w14:paraId="47F72AA8" w14:textId="77777777" w:rsidR="009D663C" w:rsidRPr="0054775B" w:rsidRDefault="009D663C" w:rsidP="009E6F7F"/>
    <w:p w14:paraId="6F10F7E1" w14:textId="77777777" w:rsidR="009D663C" w:rsidRPr="0054775B" w:rsidRDefault="009D663C" w:rsidP="009E6F7F"/>
    <w:p w14:paraId="761F862A" w14:textId="77777777" w:rsidR="008308E9" w:rsidRPr="0054775B" w:rsidRDefault="008308E9" w:rsidP="009E6F7F">
      <w:pPr>
        <w:pStyle w:val="2024HEADER3"/>
        <w:rPr>
          <w:rFonts w:ascii="Aptos" w:hAnsi="Aptos"/>
        </w:rPr>
      </w:pPr>
      <w:r w:rsidRPr="0054775B">
        <w:rPr>
          <w:rFonts w:ascii="Aptos" w:hAnsi="Aptos"/>
        </w:rPr>
        <w:t>Description of included reviews</w:t>
      </w:r>
    </w:p>
    <w:p w14:paraId="513385F9" w14:textId="3CC20A77" w:rsidR="00150E1C" w:rsidRPr="0054775B" w:rsidRDefault="001D3FA6" w:rsidP="009E6F7F">
      <w:r w:rsidRPr="0054775B">
        <w:t>Four</w:t>
      </w:r>
      <w:r w:rsidR="009D663C" w:rsidRPr="0054775B">
        <w:t xml:space="preserve"> </w:t>
      </w:r>
      <w:r w:rsidR="00150E1C" w:rsidRPr="0054775B">
        <w:t>reviews were identified as eligible for inclusion</w:t>
      </w:r>
      <w:r w:rsidR="00FA439B" w:rsidRPr="0054775B">
        <w:t xml:space="preserve"> </w:t>
      </w:r>
      <w:r w:rsidR="00A61385">
        <w:rPr>
          <w:noProof/>
        </w:rPr>
        <w:t>(75-78)</w:t>
      </w:r>
      <w:r w:rsidR="00150E1C" w:rsidRPr="0054775B">
        <w:t xml:space="preserve">. </w:t>
      </w:r>
      <w:r w:rsidR="006B2C1E" w:rsidRPr="0054775B">
        <w:t>Two reviews</w:t>
      </w:r>
      <w:r w:rsidR="00150E1C" w:rsidRPr="0054775B">
        <w:t xml:space="preserve"> </w:t>
      </w:r>
      <w:r w:rsidR="0013350D" w:rsidRPr="0054775B">
        <w:t>were a</w:t>
      </w:r>
      <w:r w:rsidR="00150E1C" w:rsidRPr="0054775B">
        <w:t xml:space="preserve"> systematic review and meta-analysis </w:t>
      </w:r>
      <w:r w:rsidR="00A61385">
        <w:rPr>
          <w:noProof/>
        </w:rPr>
        <w:t>(76, 78)</w:t>
      </w:r>
      <w:r w:rsidR="006B2C1E" w:rsidRPr="0054775B">
        <w:t xml:space="preserve">; one </w:t>
      </w:r>
      <w:r w:rsidR="0013350D" w:rsidRPr="0054775B">
        <w:t xml:space="preserve">was a </w:t>
      </w:r>
      <w:r w:rsidR="006B2C1E" w:rsidRPr="0054775B">
        <w:t xml:space="preserve">systematic review and network meta-analysis </w:t>
      </w:r>
      <w:r w:rsidR="00A61385">
        <w:rPr>
          <w:noProof/>
        </w:rPr>
        <w:t>(75)</w:t>
      </w:r>
      <w:r w:rsidR="00CF2AC5" w:rsidRPr="0054775B">
        <w:t xml:space="preserve"> </w:t>
      </w:r>
      <w:r w:rsidR="006B2C1E" w:rsidRPr="0054775B">
        <w:t xml:space="preserve">and </w:t>
      </w:r>
      <w:r w:rsidR="00F13302">
        <w:t xml:space="preserve">one </w:t>
      </w:r>
      <w:r w:rsidR="0013350D" w:rsidRPr="0054775B">
        <w:t>was</w:t>
      </w:r>
      <w:r w:rsidR="006B2C1E" w:rsidRPr="0054775B">
        <w:t xml:space="preserve"> only a network meta-analysis</w:t>
      </w:r>
      <w:r w:rsidR="00CF2AC5" w:rsidRPr="0054775B">
        <w:t xml:space="preserve"> </w:t>
      </w:r>
      <w:r w:rsidR="00A61385">
        <w:rPr>
          <w:noProof/>
        </w:rPr>
        <w:t>(77)</w:t>
      </w:r>
      <w:r w:rsidR="006B2C1E" w:rsidRPr="0054775B">
        <w:t xml:space="preserve">. Reviews </w:t>
      </w:r>
      <w:r w:rsidR="00150E1C" w:rsidRPr="0054775B">
        <w:t xml:space="preserve">were conducted </w:t>
      </w:r>
      <w:r w:rsidR="008F68AA" w:rsidRPr="0054775B">
        <w:t>between</w:t>
      </w:r>
      <w:r w:rsidR="00150E1C" w:rsidRPr="0054775B">
        <w:t xml:space="preserve"> </w:t>
      </w:r>
      <w:r w:rsidR="008F68AA" w:rsidRPr="0054775B">
        <w:t>2020</w:t>
      </w:r>
      <w:r w:rsidR="00150E1C" w:rsidRPr="0054775B">
        <w:t xml:space="preserve"> and 2023</w:t>
      </w:r>
      <w:r w:rsidR="006B2C1E" w:rsidRPr="0054775B">
        <w:t>, and all</w:t>
      </w:r>
      <w:r w:rsidR="00150E1C" w:rsidRPr="0054775B">
        <w:t xml:space="preserve"> only included randomised controlled trials. A detailed summary of characteristics of the included reviews are reported in Appendix </w:t>
      </w:r>
      <w:r w:rsidR="00531DAA">
        <w:t>D</w:t>
      </w:r>
      <w:r w:rsidR="00150E1C" w:rsidRPr="0054775B">
        <w:t xml:space="preserve">. </w:t>
      </w:r>
    </w:p>
    <w:p w14:paraId="2B85A309" w14:textId="75918087" w:rsidR="00D37061" w:rsidRPr="0054775B" w:rsidRDefault="004D3749" w:rsidP="009E6F7F">
      <w:r w:rsidRPr="0054775B">
        <w:t xml:space="preserve">One review specifically sought to </w:t>
      </w:r>
      <w:r w:rsidR="00732856" w:rsidRPr="0054775B">
        <w:t xml:space="preserve">assess oral magnesium supplementation in people (older adults specifically) with insomnia </w:t>
      </w:r>
      <w:r w:rsidR="00A61385">
        <w:rPr>
          <w:noProof/>
        </w:rPr>
        <w:t>(76)</w:t>
      </w:r>
      <w:r w:rsidR="00732856" w:rsidRPr="0054775B">
        <w:t>.</w:t>
      </w:r>
      <w:r w:rsidR="00D81811" w:rsidRPr="0054775B">
        <w:t xml:space="preserve"> The other three reviews aimed to summarise efficacy for a range of treatments for insomnia </w:t>
      </w:r>
      <w:r w:rsidR="00A61385">
        <w:rPr>
          <w:noProof/>
        </w:rPr>
        <w:t>(75)</w:t>
      </w:r>
      <w:r w:rsidR="00D81811" w:rsidRPr="0054775B">
        <w:t xml:space="preserve">, narcolepsy </w:t>
      </w:r>
      <w:r w:rsidR="00A61385">
        <w:rPr>
          <w:noProof/>
        </w:rPr>
        <w:t>(77)</w:t>
      </w:r>
      <w:r w:rsidR="00D81811" w:rsidRPr="0054775B">
        <w:t xml:space="preserve"> and general improvement in sleep quality </w:t>
      </w:r>
      <w:r w:rsidR="00A61385">
        <w:rPr>
          <w:noProof/>
        </w:rPr>
        <w:t>(78)</w:t>
      </w:r>
      <w:r w:rsidR="00D81811" w:rsidRPr="0054775B">
        <w:t>.</w:t>
      </w:r>
    </w:p>
    <w:p w14:paraId="326AE561" w14:textId="00DE4FC5" w:rsidR="008308E9" w:rsidRPr="0054775B" w:rsidRDefault="008308E9" w:rsidP="009E6F7F">
      <w:pPr>
        <w:pStyle w:val="2024HEADER3"/>
        <w:rPr>
          <w:rFonts w:ascii="Aptos" w:hAnsi="Aptos"/>
        </w:rPr>
      </w:pPr>
      <w:r w:rsidRPr="0054775B">
        <w:rPr>
          <w:rFonts w:ascii="Aptos" w:hAnsi="Aptos"/>
        </w:rPr>
        <w:t>Assessment of risk of bias of included systematic reviews</w:t>
      </w:r>
    </w:p>
    <w:p w14:paraId="58FBA8D7" w14:textId="200F4C3B" w:rsidR="007B22B2" w:rsidRPr="0054775B" w:rsidRDefault="007B22B2" w:rsidP="009E6F7F">
      <w:r w:rsidRPr="0054775B">
        <w:t xml:space="preserve">Risk of bias of the </w:t>
      </w:r>
      <w:r w:rsidR="00A66304" w:rsidRPr="0054775B">
        <w:t xml:space="preserve">assessments of the included reviews, as appraised using the ROBIS tool, are presented below. </w:t>
      </w:r>
      <w:r w:rsidR="006D3FE4" w:rsidRPr="0054775B">
        <w:t xml:space="preserve">Full assessments are reported in Appendix </w:t>
      </w:r>
      <w:r w:rsidR="00531DAA">
        <w:t>F</w:t>
      </w:r>
      <w:r w:rsidRPr="0054775B">
        <w:t>.</w:t>
      </w:r>
    </w:p>
    <w:p w14:paraId="7FF489D0" w14:textId="34500AD3" w:rsidR="009D663C" w:rsidRPr="0054775B" w:rsidRDefault="009D663C" w:rsidP="009760CB">
      <w:pPr>
        <w:pStyle w:val="2024TABLECAPTION"/>
        <w:rPr>
          <w:rFonts w:ascii="Aptos" w:hAnsi="Aptos"/>
        </w:rPr>
      </w:pPr>
      <w:bookmarkStart w:id="76" w:name="_Toc185261592"/>
      <w:r w:rsidRPr="0054775B">
        <w:rPr>
          <w:rFonts w:ascii="Aptos" w:hAnsi="Aptos"/>
        </w:rPr>
        <w:t xml:space="preserve">Table </w:t>
      </w:r>
      <w:r w:rsidRPr="0054775B">
        <w:rPr>
          <w:rFonts w:ascii="Aptos" w:hAnsi="Aptos"/>
        </w:rPr>
        <w:fldChar w:fldCharType="begin"/>
      </w:r>
      <w:r w:rsidRPr="0054775B">
        <w:rPr>
          <w:rFonts w:ascii="Aptos" w:hAnsi="Aptos"/>
        </w:rPr>
        <w:instrText>SEQ Table \* ARABIC</w:instrText>
      </w:r>
      <w:r w:rsidRPr="0054775B">
        <w:rPr>
          <w:rFonts w:ascii="Aptos" w:hAnsi="Aptos"/>
        </w:rPr>
        <w:fldChar w:fldCharType="separate"/>
      </w:r>
      <w:r w:rsidR="00651E04">
        <w:rPr>
          <w:rFonts w:ascii="Aptos" w:hAnsi="Aptos"/>
          <w:noProof/>
        </w:rPr>
        <w:t>14</w:t>
      </w:r>
      <w:r w:rsidRPr="0054775B">
        <w:rPr>
          <w:rFonts w:ascii="Aptos" w:hAnsi="Aptos"/>
        </w:rPr>
        <w:fldChar w:fldCharType="end"/>
      </w:r>
      <w:r w:rsidRPr="0054775B">
        <w:rPr>
          <w:rFonts w:ascii="Aptos" w:hAnsi="Aptos"/>
        </w:rPr>
        <w:t xml:space="preserve">. Summary of ROBIS assessments – </w:t>
      </w:r>
      <w:r w:rsidR="00DB3EE1" w:rsidRPr="0054775B">
        <w:rPr>
          <w:rFonts w:ascii="Aptos" w:hAnsi="Aptos"/>
        </w:rPr>
        <w:t>Insomnia/sleeping disorders, Magnesium</w:t>
      </w:r>
      <w:bookmarkEnd w:id="76"/>
    </w:p>
    <w:tbl>
      <w:tblPr>
        <w:tblW w:w="9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28" w:type="dxa"/>
        </w:tblCellMar>
        <w:tblLook w:val="04A0" w:firstRow="1" w:lastRow="0" w:firstColumn="1" w:lastColumn="0" w:noHBand="0" w:noVBand="1"/>
      </w:tblPr>
      <w:tblGrid>
        <w:gridCol w:w="1408"/>
        <w:gridCol w:w="1488"/>
        <w:gridCol w:w="1630"/>
        <w:gridCol w:w="1630"/>
        <w:gridCol w:w="1631"/>
        <w:gridCol w:w="1229"/>
      </w:tblGrid>
      <w:tr w:rsidR="008308E9" w:rsidRPr="0054775B" w14:paraId="13F05E49" w14:textId="77777777" w:rsidTr="00A21EA6">
        <w:trPr>
          <w:trHeight w:val="95"/>
        </w:trPr>
        <w:tc>
          <w:tcPr>
            <w:tcW w:w="1408" w:type="dxa"/>
            <w:vMerge w:val="restart"/>
            <w:shd w:val="clear" w:color="auto" w:fill="D9D9D9" w:themeFill="background1" w:themeFillShade="D9"/>
            <w:hideMark/>
          </w:tcPr>
          <w:p w14:paraId="03CCBE75" w14:textId="77777777" w:rsidR="008308E9" w:rsidRPr="0054775B" w:rsidRDefault="008308E9" w:rsidP="00A21EA6">
            <w:pPr>
              <w:pStyle w:val="2024TABLEHEADER"/>
              <w:rPr>
                <w:color w:val="000000"/>
              </w:rPr>
            </w:pPr>
            <w:r w:rsidRPr="0054775B">
              <w:t>Review ID</w:t>
            </w:r>
          </w:p>
        </w:tc>
        <w:tc>
          <w:tcPr>
            <w:tcW w:w="6379" w:type="dxa"/>
            <w:gridSpan w:val="4"/>
            <w:shd w:val="clear" w:color="auto" w:fill="D9D9D9" w:themeFill="background1" w:themeFillShade="D9"/>
          </w:tcPr>
          <w:p w14:paraId="60B34B58" w14:textId="77777777" w:rsidR="008308E9" w:rsidRPr="0054775B" w:rsidRDefault="008308E9" w:rsidP="00A21EA6">
            <w:pPr>
              <w:pStyle w:val="2024TABLEHEADER"/>
            </w:pPr>
            <w:r w:rsidRPr="0054775B">
              <w:t>ROBIS Domains</w:t>
            </w:r>
          </w:p>
        </w:tc>
        <w:tc>
          <w:tcPr>
            <w:tcW w:w="1229" w:type="dxa"/>
            <w:vMerge w:val="restart"/>
            <w:shd w:val="clear" w:color="auto" w:fill="D9D9D9" w:themeFill="background1" w:themeFillShade="D9"/>
          </w:tcPr>
          <w:p w14:paraId="595E5BB0" w14:textId="77777777" w:rsidR="008308E9" w:rsidRPr="0054775B" w:rsidRDefault="008308E9" w:rsidP="00A21EA6">
            <w:pPr>
              <w:pStyle w:val="2024TABLEHEADER"/>
            </w:pPr>
            <w:r w:rsidRPr="0054775B">
              <w:t>Overall risk of bias</w:t>
            </w:r>
          </w:p>
        </w:tc>
      </w:tr>
      <w:tr w:rsidR="008308E9" w:rsidRPr="0054775B" w14:paraId="0C2E6BAA" w14:textId="77777777" w:rsidTr="00A21EA6">
        <w:trPr>
          <w:trHeight w:val="95"/>
        </w:trPr>
        <w:tc>
          <w:tcPr>
            <w:tcW w:w="1408" w:type="dxa"/>
            <w:vMerge/>
            <w:shd w:val="clear" w:color="auto" w:fill="D9D9D9" w:themeFill="background1" w:themeFillShade="D9"/>
          </w:tcPr>
          <w:p w14:paraId="075DC6DA" w14:textId="77777777" w:rsidR="008308E9" w:rsidRPr="0054775B" w:rsidRDefault="008308E9" w:rsidP="00A21EA6">
            <w:pPr>
              <w:pStyle w:val="2024TABLEHEADER"/>
            </w:pPr>
          </w:p>
        </w:tc>
        <w:tc>
          <w:tcPr>
            <w:tcW w:w="1488" w:type="dxa"/>
            <w:shd w:val="clear" w:color="auto" w:fill="F2F2F2" w:themeFill="background1" w:themeFillShade="F2"/>
          </w:tcPr>
          <w:p w14:paraId="33A252BE" w14:textId="77777777" w:rsidR="008308E9" w:rsidRPr="0054775B" w:rsidRDefault="008308E9" w:rsidP="00A21EA6">
            <w:pPr>
              <w:pStyle w:val="2024TABLEHEADER"/>
            </w:pPr>
            <w:r w:rsidRPr="0054775B">
              <w:t>Domain 1: Study eligibility criteria</w:t>
            </w:r>
          </w:p>
        </w:tc>
        <w:tc>
          <w:tcPr>
            <w:tcW w:w="1630" w:type="dxa"/>
            <w:shd w:val="clear" w:color="auto" w:fill="F2F2F2" w:themeFill="background1" w:themeFillShade="F2"/>
          </w:tcPr>
          <w:p w14:paraId="754D09AE" w14:textId="77777777" w:rsidR="008308E9" w:rsidRPr="0054775B" w:rsidRDefault="008308E9" w:rsidP="00A21EA6">
            <w:pPr>
              <w:pStyle w:val="2024TABLEHEADER"/>
            </w:pPr>
            <w:r w:rsidRPr="0054775B">
              <w:t>Domain 2: Identification and selection of studies</w:t>
            </w:r>
          </w:p>
        </w:tc>
        <w:tc>
          <w:tcPr>
            <w:tcW w:w="1630" w:type="dxa"/>
            <w:shd w:val="clear" w:color="auto" w:fill="F2F2F2" w:themeFill="background1" w:themeFillShade="F2"/>
          </w:tcPr>
          <w:p w14:paraId="27793D11" w14:textId="77777777" w:rsidR="008308E9" w:rsidRPr="0054775B" w:rsidRDefault="008308E9" w:rsidP="00A21EA6">
            <w:pPr>
              <w:pStyle w:val="2024TABLEHEADER"/>
            </w:pPr>
            <w:r w:rsidRPr="0054775B">
              <w:t>Domain 3: Data collection and study appraisal</w:t>
            </w:r>
          </w:p>
        </w:tc>
        <w:tc>
          <w:tcPr>
            <w:tcW w:w="1631" w:type="dxa"/>
            <w:shd w:val="clear" w:color="auto" w:fill="F2F2F2" w:themeFill="background1" w:themeFillShade="F2"/>
          </w:tcPr>
          <w:p w14:paraId="71287B62" w14:textId="77777777" w:rsidR="008308E9" w:rsidRPr="0054775B" w:rsidRDefault="008308E9" w:rsidP="00A21EA6">
            <w:pPr>
              <w:pStyle w:val="2024TABLEHEADER"/>
            </w:pPr>
            <w:r w:rsidRPr="0054775B">
              <w:t>Domain 4: Synthesis and findings</w:t>
            </w:r>
          </w:p>
        </w:tc>
        <w:tc>
          <w:tcPr>
            <w:tcW w:w="1229" w:type="dxa"/>
            <w:vMerge/>
            <w:shd w:val="clear" w:color="auto" w:fill="D9D9D9" w:themeFill="background1" w:themeFillShade="D9"/>
          </w:tcPr>
          <w:p w14:paraId="39124002" w14:textId="77777777" w:rsidR="008308E9" w:rsidRPr="0054775B" w:rsidRDefault="008308E9" w:rsidP="00A21EA6">
            <w:pPr>
              <w:pStyle w:val="TABLE"/>
              <w:rPr>
                <w:rFonts w:ascii="Aptos" w:hAnsi="Aptos"/>
              </w:rPr>
            </w:pPr>
          </w:p>
        </w:tc>
      </w:tr>
      <w:tr w:rsidR="00B30DB3" w:rsidRPr="0054775B" w14:paraId="23B01C71" w14:textId="77777777" w:rsidTr="00A21EA6">
        <w:trPr>
          <w:trHeight w:val="95"/>
        </w:trPr>
        <w:tc>
          <w:tcPr>
            <w:tcW w:w="1408" w:type="dxa"/>
            <w:shd w:val="clear" w:color="auto" w:fill="auto"/>
          </w:tcPr>
          <w:p w14:paraId="6BE5118D" w14:textId="218D7DAF" w:rsidR="00B30DB3" w:rsidRPr="0054775B" w:rsidRDefault="00B30DB3" w:rsidP="00B30DB3">
            <w:pPr>
              <w:pStyle w:val="2024TABLETEXT"/>
              <w:framePr w:hSpace="0" w:wrap="auto" w:vAnchor="margin" w:yAlign="inline"/>
              <w:suppressOverlap w:val="0"/>
            </w:pPr>
            <w:r w:rsidRPr="0054775B">
              <w:lastRenderedPageBreak/>
              <w:t>Chan 2021</w:t>
            </w:r>
          </w:p>
        </w:tc>
        <w:tc>
          <w:tcPr>
            <w:tcW w:w="1488" w:type="dxa"/>
            <w:shd w:val="clear" w:color="auto" w:fill="auto"/>
          </w:tcPr>
          <w:p w14:paraId="4DDF4249" w14:textId="64AB17F5" w:rsidR="00B30DB3" w:rsidRPr="0054775B" w:rsidRDefault="00B30DB3" w:rsidP="00B30DB3">
            <w:pPr>
              <w:pStyle w:val="2024TABLETEXT"/>
              <w:framePr w:hSpace="0" w:wrap="auto" w:vAnchor="margin" w:yAlign="inline"/>
              <w:suppressOverlap w:val="0"/>
              <w:rPr>
                <w:b/>
                <w:bCs/>
              </w:rPr>
            </w:pPr>
            <w:r w:rsidRPr="0054775B">
              <w:t>Low</w:t>
            </w:r>
          </w:p>
        </w:tc>
        <w:tc>
          <w:tcPr>
            <w:tcW w:w="1630" w:type="dxa"/>
            <w:shd w:val="clear" w:color="auto" w:fill="auto"/>
          </w:tcPr>
          <w:p w14:paraId="08FED24D" w14:textId="2BD3C01E" w:rsidR="00B30DB3" w:rsidRPr="0054775B" w:rsidRDefault="00271FB0" w:rsidP="00B30DB3">
            <w:pPr>
              <w:pStyle w:val="2024TABLETEXT"/>
              <w:framePr w:hSpace="0" w:wrap="auto" w:vAnchor="margin" w:yAlign="inline"/>
              <w:suppressOverlap w:val="0"/>
              <w:rPr>
                <w:b/>
                <w:bCs/>
              </w:rPr>
            </w:pPr>
            <w:r>
              <w:t>Unclear</w:t>
            </w:r>
          </w:p>
        </w:tc>
        <w:tc>
          <w:tcPr>
            <w:tcW w:w="1630" w:type="dxa"/>
            <w:shd w:val="clear" w:color="auto" w:fill="auto"/>
          </w:tcPr>
          <w:p w14:paraId="32D6770A" w14:textId="5C851C21" w:rsidR="00B30DB3" w:rsidRPr="0054775B" w:rsidRDefault="00B30DB3" w:rsidP="00B30DB3">
            <w:pPr>
              <w:pStyle w:val="2024TABLETEXT"/>
              <w:framePr w:hSpace="0" w:wrap="auto" w:vAnchor="margin" w:yAlign="inline"/>
              <w:suppressOverlap w:val="0"/>
              <w:rPr>
                <w:b/>
                <w:bCs/>
              </w:rPr>
            </w:pPr>
            <w:r w:rsidRPr="0054775B">
              <w:t>Low</w:t>
            </w:r>
          </w:p>
        </w:tc>
        <w:tc>
          <w:tcPr>
            <w:tcW w:w="1631" w:type="dxa"/>
            <w:shd w:val="clear" w:color="auto" w:fill="auto"/>
          </w:tcPr>
          <w:p w14:paraId="68A194C5" w14:textId="757E009C" w:rsidR="00B30DB3" w:rsidRPr="0054775B" w:rsidRDefault="00CB3FF3" w:rsidP="00B30DB3">
            <w:pPr>
              <w:pStyle w:val="2024TABLETEXT"/>
              <w:framePr w:hSpace="0" w:wrap="auto" w:vAnchor="margin" w:yAlign="inline"/>
              <w:suppressOverlap w:val="0"/>
              <w:rPr>
                <w:b/>
                <w:bCs/>
              </w:rPr>
            </w:pPr>
            <w:r>
              <w:t>High</w:t>
            </w:r>
          </w:p>
        </w:tc>
        <w:tc>
          <w:tcPr>
            <w:tcW w:w="1229" w:type="dxa"/>
            <w:shd w:val="clear" w:color="auto" w:fill="auto"/>
          </w:tcPr>
          <w:p w14:paraId="19D5371D" w14:textId="7DEA45F9" w:rsidR="00B30DB3" w:rsidRPr="0054775B" w:rsidRDefault="00CB3FF3" w:rsidP="00B30DB3">
            <w:pPr>
              <w:pStyle w:val="2024TABLETEXT"/>
              <w:framePr w:hSpace="0" w:wrap="auto" w:vAnchor="margin" w:yAlign="inline"/>
              <w:suppressOverlap w:val="0"/>
              <w:rPr>
                <w:b/>
                <w:bCs/>
              </w:rPr>
            </w:pPr>
            <w:r>
              <w:t>High</w:t>
            </w:r>
            <w:r w:rsidR="00B30DB3" w:rsidRPr="0054775B">
              <w:t xml:space="preserve"> </w:t>
            </w:r>
            <w:r w:rsidR="00B30DB3" w:rsidRPr="0054775B" w:rsidDel="000F3B6D">
              <w:t>risk</w:t>
            </w:r>
          </w:p>
        </w:tc>
      </w:tr>
      <w:tr w:rsidR="007B22B2" w:rsidRPr="0054775B" w14:paraId="718DDDA8" w14:textId="77777777" w:rsidTr="00A21EA6">
        <w:trPr>
          <w:trHeight w:val="95"/>
        </w:trPr>
        <w:tc>
          <w:tcPr>
            <w:tcW w:w="1408" w:type="dxa"/>
            <w:shd w:val="clear" w:color="auto" w:fill="auto"/>
          </w:tcPr>
          <w:p w14:paraId="363FEAC7" w14:textId="4C1B5C0B" w:rsidR="007B22B2" w:rsidRPr="0054775B" w:rsidRDefault="007B22B2" w:rsidP="00A21EA6">
            <w:pPr>
              <w:pStyle w:val="2024TABLETEXT"/>
              <w:framePr w:hSpace="0" w:wrap="auto" w:vAnchor="margin" w:yAlign="inline"/>
              <w:suppressOverlap w:val="0"/>
            </w:pPr>
            <w:r w:rsidRPr="0054775B">
              <w:t>Mah 2021</w:t>
            </w:r>
          </w:p>
        </w:tc>
        <w:tc>
          <w:tcPr>
            <w:tcW w:w="1488" w:type="dxa"/>
            <w:shd w:val="clear" w:color="auto" w:fill="auto"/>
          </w:tcPr>
          <w:p w14:paraId="4D1E91F5" w14:textId="53B66D5C" w:rsidR="007B22B2" w:rsidRPr="0054775B" w:rsidRDefault="007B22B2" w:rsidP="00A21EA6">
            <w:pPr>
              <w:pStyle w:val="2024TABLETEXT"/>
              <w:framePr w:hSpace="0" w:wrap="auto" w:vAnchor="margin" w:yAlign="inline"/>
              <w:suppressOverlap w:val="0"/>
              <w:rPr>
                <w:b/>
                <w:bCs/>
              </w:rPr>
            </w:pPr>
            <w:r w:rsidRPr="0054775B">
              <w:t>Low</w:t>
            </w:r>
          </w:p>
        </w:tc>
        <w:tc>
          <w:tcPr>
            <w:tcW w:w="1630" w:type="dxa"/>
            <w:shd w:val="clear" w:color="auto" w:fill="auto"/>
          </w:tcPr>
          <w:p w14:paraId="28D250A7" w14:textId="1F8B517A" w:rsidR="007B22B2" w:rsidRPr="0054775B" w:rsidRDefault="00271FB0" w:rsidP="00A21EA6">
            <w:pPr>
              <w:pStyle w:val="2024TABLETEXT"/>
              <w:framePr w:hSpace="0" w:wrap="auto" w:vAnchor="margin" w:yAlign="inline"/>
              <w:suppressOverlap w:val="0"/>
              <w:rPr>
                <w:b/>
                <w:bCs/>
              </w:rPr>
            </w:pPr>
            <w:r>
              <w:t>Unclear</w:t>
            </w:r>
          </w:p>
        </w:tc>
        <w:tc>
          <w:tcPr>
            <w:tcW w:w="1630" w:type="dxa"/>
            <w:shd w:val="clear" w:color="auto" w:fill="auto"/>
          </w:tcPr>
          <w:p w14:paraId="276CD8AE" w14:textId="3EC17E13" w:rsidR="007B22B2" w:rsidRPr="0054775B" w:rsidRDefault="00DA4FA6" w:rsidP="00A21EA6">
            <w:pPr>
              <w:pStyle w:val="2024TABLETEXT"/>
              <w:framePr w:hSpace="0" w:wrap="auto" w:vAnchor="margin" w:yAlign="inline"/>
              <w:suppressOverlap w:val="0"/>
              <w:rPr>
                <w:b/>
                <w:bCs/>
              </w:rPr>
            </w:pPr>
            <w:r w:rsidRPr="0054775B">
              <w:t>Low</w:t>
            </w:r>
            <w:r w:rsidRPr="0054775B" w:rsidDel="00B9614D">
              <w:t xml:space="preserve"> </w:t>
            </w:r>
          </w:p>
        </w:tc>
        <w:tc>
          <w:tcPr>
            <w:tcW w:w="1631" w:type="dxa"/>
            <w:shd w:val="clear" w:color="auto" w:fill="auto"/>
          </w:tcPr>
          <w:p w14:paraId="15C16607" w14:textId="200E870E" w:rsidR="007B22B2" w:rsidRPr="0054775B" w:rsidRDefault="00B9614D" w:rsidP="00A21EA6">
            <w:pPr>
              <w:pStyle w:val="2024TABLETEXT"/>
              <w:framePr w:hSpace="0" w:wrap="auto" w:vAnchor="margin" w:yAlign="inline"/>
              <w:suppressOverlap w:val="0"/>
              <w:rPr>
                <w:b/>
                <w:bCs/>
              </w:rPr>
            </w:pPr>
            <w:r>
              <w:t>Unclear</w:t>
            </w:r>
          </w:p>
        </w:tc>
        <w:tc>
          <w:tcPr>
            <w:tcW w:w="1229" w:type="dxa"/>
            <w:shd w:val="clear" w:color="auto" w:fill="auto"/>
          </w:tcPr>
          <w:p w14:paraId="3773D3B7" w14:textId="685FE9FE" w:rsidR="007B22B2" w:rsidRPr="0054775B" w:rsidRDefault="00B9614D" w:rsidP="00A21EA6">
            <w:pPr>
              <w:pStyle w:val="2024TABLETEXT"/>
              <w:framePr w:hSpace="0" w:wrap="auto" w:vAnchor="margin" w:yAlign="inline"/>
              <w:suppressOverlap w:val="0"/>
              <w:rPr>
                <w:b/>
                <w:bCs/>
              </w:rPr>
            </w:pPr>
            <w:r>
              <w:t>Unclear</w:t>
            </w:r>
            <w:r w:rsidRPr="0054775B">
              <w:t xml:space="preserve"> </w:t>
            </w:r>
            <w:r w:rsidR="007B22B2" w:rsidRPr="0054775B">
              <w:t>risk</w:t>
            </w:r>
          </w:p>
        </w:tc>
      </w:tr>
      <w:tr w:rsidR="00B9614D" w:rsidRPr="0054775B" w14:paraId="32B9330F" w14:textId="77777777" w:rsidTr="00A21EA6">
        <w:trPr>
          <w:trHeight w:val="95"/>
        </w:trPr>
        <w:tc>
          <w:tcPr>
            <w:tcW w:w="1408" w:type="dxa"/>
            <w:shd w:val="clear" w:color="auto" w:fill="auto"/>
          </w:tcPr>
          <w:p w14:paraId="0907A33D" w14:textId="50A6F80C" w:rsidR="00B9614D" w:rsidRPr="0054775B" w:rsidRDefault="00B9614D" w:rsidP="00B9614D">
            <w:pPr>
              <w:pStyle w:val="2024TABLETEXT"/>
              <w:framePr w:hSpace="0" w:wrap="auto" w:vAnchor="margin" w:yAlign="inline"/>
              <w:suppressOverlap w:val="0"/>
            </w:pPr>
            <w:r w:rsidRPr="0054775B">
              <w:t>Samara 2020</w:t>
            </w:r>
          </w:p>
        </w:tc>
        <w:tc>
          <w:tcPr>
            <w:tcW w:w="1488" w:type="dxa"/>
            <w:shd w:val="clear" w:color="auto" w:fill="auto"/>
          </w:tcPr>
          <w:p w14:paraId="050E0CEB" w14:textId="0F3869F1" w:rsidR="00B9614D" w:rsidRPr="0054775B" w:rsidRDefault="00B9614D" w:rsidP="00B9614D">
            <w:pPr>
              <w:pStyle w:val="2024TABLETEXT"/>
              <w:framePr w:hSpace="0" w:wrap="auto" w:vAnchor="margin" w:yAlign="inline"/>
              <w:suppressOverlap w:val="0"/>
              <w:rPr>
                <w:b/>
                <w:bCs/>
              </w:rPr>
            </w:pPr>
            <w:r w:rsidRPr="0054775B">
              <w:t>Low</w:t>
            </w:r>
          </w:p>
        </w:tc>
        <w:tc>
          <w:tcPr>
            <w:tcW w:w="1630" w:type="dxa"/>
            <w:shd w:val="clear" w:color="auto" w:fill="auto"/>
          </w:tcPr>
          <w:p w14:paraId="071237DD" w14:textId="0244EA7E" w:rsidR="00B9614D" w:rsidRPr="0054775B" w:rsidRDefault="00B9614D" w:rsidP="00B9614D">
            <w:pPr>
              <w:pStyle w:val="2024TABLETEXT"/>
              <w:framePr w:hSpace="0" w:wrap="auto" w:vAnchor="margin" w:yAlign="inline"/>
              <w:suppressOverlap w:val="0"/>
              <w:rPr>
                <w:b/>
                <w:bCs/>
              </w:rPr>
            </w:pPr>
            <w:r w:rsidRPr="0054775B">
              <w:t>Low</w:t>
            </w:r>
          </w:p>
        </w:tc>
        <w:tc>
          <w:tcPr>
            <w:tcW w:w="1630" w:type="dxa"/>
            <w:shd w:val="clear" w:color="auto" w:fill="auto"/>
          </w:tcPr>
          <w:p w14:paraId="60F5DE5E" w14:textId="42A0A12C" w:rsidR="00B9614D" w:rsidRPr="0054775B" w:rsidRDefault="00DA4FA6" w:rsidP="00B9614D">
            <w:pPr>
              <w:pStyle w:val="2024TABLETEXT"/>
              <w:framePr w:hSpace="0" w:wrap="auto" w:vAnchor="margin" w:yAlign="inline"/>
              <w:suppressOverlap w:val="0"/>
              <w:rPr>
                <w:b/>
                <w:bCs/>
              </w:rPr>
            </w:pPr>
            <w:r w:rsidRPr="0054775B">
              <w:t>Low</w:t>
            </w:r>
            <w:r w:rsidRPr="0054775B" w:rsidDel="00EC2791">
              <w:t xml:space="preserve"> </w:t>
            </w:r>
          </w:p>
        </w:tc>
        <w:tc>
          <w:tcPr>
            <w:tcW w:w="1631" w:type="dxa"/>
            <w:shd w:val="clear" w:color="auto" w:fill="auto"/>
          </w:tcPr>
          <w:p w14:paraId="5360A81F" w14:textId="2753DE0B" w:rsidR="00B9614D" w:rsidRPr="0054775B" w:rsidRDefault="00B9614D" w:rsidP="00B9614D">
            <w:pPr>
              <w:pStyle w:val="2024TABLETEXT"/>
              <w:framePr w:hSpace="0" w:wrap="auto" w:vAnchor="margin" w:yAlign="inline"/>
              <w:suppressOverlap w:val="0"/>
              <w:rPr>
                <w:b/>
                <w:bCs/>
              </w:rPr>
            </w:pPr>
            <w:r>
              <w:t>Unclear</w:t>
            </w:r>
          </w:p>
        </w:tc>
        <w:tc>
          <w:tcPr>
            <w:tcW w:w="1229" w:type="dxa"/>
            <w:shd w:val="clear" w:color="auto" w:fill="auto"/>
          </w:tcPr>
          <w:p w14:paraId="3E1E7D49" w14:textId="577A034B" w:rsidR="00B9614D" w:rsidRPr="0054775B" w:rsidRDefault="00B9614D" w:rsidP="00B9614D">
            <w:pPr>
              <w:pStyle w:val="2024TABLETEXT"/>
              <w:framePr w:hSpace="0" w:wrap="auto" w:vAnchor="margin" w:yAlign="inline"/>
              <w:suppressOverlap w:val="0"/>
              <w:rPr>
                <w:b/>
                <w:bCs/>
              </w:rPr>
            </w:pPr>
            <w:r>
              <w:t>Unclear</w:t>
            </w:r>
            <w:r w:rsidRPr="0054775B">
              <w:t xml:space="preserve"> </w:t>
            </w:r>
            <w:r w:rsidRPr="0054775B" w:rsidDel="00EC2791">
              <w:t>risk</w:t>
            </w:r>
          </w:p>
        </w:tc>
      </w:tr>
      <w:tr w:rsidR="007B22B2" w:rsidRPr="0054775B" w14:paraId="2BFC8D56" w14:textId="77777777" w:rsidTr="00A21EA6">
        <w:trPr>
          <w:trHeight w:val="95"/>
        </w:trPr>
        <w:tc>
          <w:tcPr>
            <w:tcW w:w="1408" w:type="dxa"/>
            <w:shd w:val="clear" w:color="auto" w:fill="auto"/>
          </w:tcPr>
          <w:p w14:paraId="67BC1455" w14:textId="3086CD56" w:rsidR="007B22B2" w:rsidRPr="0054775B" w:rsidRDefault="007B22B2" w:rsidP="00A21EA6">
            <w:pPr>
              <w:pStyle w:val="2024TABLETEXT"/>
              <w:framePr w:hSpace="0" w:wrap="auto" w:vAnchor="margin" w:yAlign="inline"/>
              <w:suppressOverlap w:val="0"/>
            </w:pPr>
            <w:r w:rsidRPr="0054775B">
              <w:t>Zhan 2023</w:t>
            </w:r>
          </w:p>
        </w:tc>
        <w:tc>
          <w:tcPr>
            <w:tcW w:w="1488" w:type="dxa"/>
            <w:shd w:val="clear" w:color="auto" w:fill="auto"/>
          </w:tcPr>
          <w:p w14:paraId="3564F9F7" w14:textId="2CAEE4E3" w:rsidR="007B22B2" w:rsidRPr="0054775B" w:rsidRDefault="007B22B2" w:rsidP="00A21EA6">
            <w:pPr>
              <w:pStyle w:val="2024TABLETEXT"/>
              <w:framePr w:hSpace="0" w:wrap="auto" w:vAnchor="margin" w:yAlign="inline"/>
              <w:suppressOverlap w:val="0"/>
              <w:rPr>
                <w:b/>
                <w:bCs/>
              </w:rPr>
            </w:pPr>
            <w:r w:rsidRPr="0054775B">
              <w:t>Low</w:t>
            </w:r>
          </w:p>
        </w:tc>
        <w:tc>
          <w:tcPr>
            <w:tcW w:w="1630" w:type="dxa"/>
            <w:shd w:val="clear" w:color="auto" w:fill="auto"/>
          </w:tcPr>
          <w:p w14:paraId="7DD64095" w14:textId="7EDD3008" w:rsidR="007B22B2" w:rsidRPr="0054775B" w:rsidRDefault="00271FB0" w:rsidP="00A21EA6">
            <w:pPr>
              <w:pStyle w:val="2024TABLETEXT"/>
              <w:framePr w:hSpace="0" w:wrap="auto" w:vAnchor="margin" w:yAlign="inline"/>
              <w:suppressOverlap w:val="0"/>
              <w:rPr>
                <w:b/>
                <w:bCs/>
              </w:rPr>
            </w:pPr>
            <w:r>
              <w:t>Unclear</w:t>
            </w:r>
          </w:p>
        </w:tc>
        <w:tc>
          <w:tcPr>
            <w:tcW w:w="1630" w:type="dxa"/>
            <w:shd w:val="clear" w:color="auto" w:fill="auto"/>
          </w:tcPr>
          <w:p w14:paraId="1F789BC0" w14:textId="3C205565" w:rsidR="007B22B2" w:rsidRPr="0054775B" w:rsidRDefault="007B22B2" w:rsidP="00A21EA6">
            <w:pPr>
              <w:pStyle w:val="2024TABLETEXT"/>
              <w:framePr w:hSpace="0" w:wrap="auto" w:vAnchor="margin" w:yAlign="inline"/>
              <w:suppressOverlap w:val="0"/>
              <w:rPr>
                <w:b/>
                <w:bCs/>
              </w:rPr>
            </w:pPr>
            <w:r w:rsidRPr="0054775B">
              <w:t>Low</w:t>
            </w:r>
          </w:p>
        </w:tc>
        <w:tc>
          <w:tcPr>
            <w:tcW w:w="1631" w:type="dxa"/>
            <w:shd w:val="clear" w:color="auto" w:fill="auto"/>
          </w:tcPr>
          <w:p w14:paraId="70FBE5BF" w14:textId="7662774C" w:rsidR="007B22B2" w:rsidRPr="0054775B" w:rsidRDefault="00143CBE" w:rsidP="00A21EA6">
            <w:pPr>
              <w:pStyle w:val="2024TABLETEXT"/>
              <w:framePr w:hSpace="0" w:wrap="auto" w:vAnchor="margin" w:yAlign="inline"/>
              <w:suppressOverlap w:val="0"/>
              <w:rPr>
                <w:b/>
                <w:bCs/>
              </w:rPr>
            </w:pPr>
            <w:r>
              <w:t>High</w:t>
            </w:r>
          </w:p>
        </w:tc>
        <w:tc>
          <w:tcPr>
            <w:tcW w:w="1229" w:type="dxa"/>
            <w:shd w:val="clear" w:color="auto" w:fill="auto"/>
          </w:tcPr>
          <w:p w14:paraId="0AA9B7CB" w14:textId="3A87A841" w:rsidR="007B22B2" w:rsidRPr="0054775B" w:rsidRDefault="00143CBE" w:rsidP="00A21EA6">
            <w:pPr>
              <w:pStyle w:val="2024TABLETEXT"/>
              <w:framePr w:hSpace="0" w:wrap="auto" w:vAnchor="margin" w:yAlign="inline"/>
              <w:suppressOverlap w:val="0"/>
              <w:rPr>
                <w:b/>
                <w:bCs/>
              </w:rPr>
            </w:pPr>
            <w:r>
              <w:t>Unclear</w:t>
            </w:r>
            <w:r w:rsidRPr="0054775B">
              <w:t xml:space="preserve"> </w:t>
            </w:r>
            <w:r w:rsidR="007B22B2" w:rsidRPr="0054775B">
              <w:t>risk</w:t>
            </w:r>
          </w:p>
        </w:tc>
      </w:tr>
    </w:tbl>
    <w:p w14:paraId="6A7D6F7D" w14:textId="6D407BB9" w:rsidR="008308E9" w:rsidRPr="0054775B" w:rsidRDefault="00B22A2D" w:rsidP="009E6F7F">
      <w:pPr>
        <w:pStyle w:val="2024HEADER3"/>
        <w:rPr>
          <w:rFonts w:ascii="Aptos" w:hAnsi="Aptos"/>
        </w:rPr>
      </w:pPr>
      <w:r w:rsidRPr="0054775B">
        <w:rPr>
          <w:rFonts w:ascii="Aptos" w:hAnsi="Aptos"/>
        </w:rPr>
        <w:t xml:space="preserve">Results </w:t>
      </w:r>
    </w:p>
    <w:p w14:paraId="52F1F1B6" w14:textId="02953B72" w:rsidR="00B34999" w:rsidRPr="0054775B" w:rsidRDefault="00E269C2" w:rsidP="009E6F7F">
      <w:r>
        <w:t>The three reviews assessed at unclear risk of bias (rather than high risk) were preferred</w:t>
      </w:r>
      <w:r w:rsidR="00966872">
        <w:t xml:space="preserve">. </w:t>
      </w:r>
      <w:r w:rsidR="007546EF" w:rsidRPr="0054775B">
        <w:t xml:space="preserve">As all reviews were assessed as at </w:t>
      </w:r>
      <w:r>
        <w:t>unclear or high</w:t>
      </w:r>
      <w:r w:rsidR="007546EF" w:rsidRPr="0054775B">
        <w:t xml:space="preserve"> risk of bias, </w:t>
      </w:r>
      <w:r w:rsidR="004D0AD3" w:rsidRPr="0054775B">
        <w:t>evidence from the most relevant and/or</w:t>
      </w:r>
      <w:r w:rsidR="00CB4E89" w:rsidRPr="0054775B">
        <w:t xml:space="preserve"> comprehensive</w:t>
      </w:r>
      <w:r w:rsidR="004D0AD3" w:rsidRPr="0054775B">
        <w:t xml:space="preserve"> review was chosen for each outcome</w:t>
      </w:r>
      <w:r w:rsidR="00CB4E89" w:rsidRPr="0054775B">
        <w:t>.</w:t>
      </w:r>
      <w:r w:rsidR="00616AD6" w:rsidRPr="0054775B">
        <w:t xml:space="preserve"> Preferred </w:t>
      </w:r>
      <w:r w:rsidR="00D40CA5" w:rsidRPr="0054775B">
        <w:t xml:space="preserve">contributing reviews are listed in the population-intervention matrix in </w:t>
      </w:r>
      <w:r w:rsidR="00617CD2" w:rsidRPr="0054775B">
        <w:rPr>
          <w:highlight w:val="yellow"/>
        </w:rPr>
        <w:fldChar w:fldCharType="begin"/>
      </w:r>
      <w:r w:rsidR="00617CD2" w:rsidRPr="0054775B">
        <w:instrText xml:space="preserve"> REF _Ref161088322 \h </w:instrText>
      </w:r>
      <w:r w:rsidR="00617CD2" w:rsidRPr="0054775B">
        <w:rPr>
          <w:highlight w:val="yellow"/>
        </w:rPr>
      </w:r>
      <w:r w:rsidR="00617CD2" w:rsidRPr="0054775B">
        <w:rPr>
          <w:highlight w:val="yellow"/>
        </w:rPr>
        <w:fldChar w:fldCharType="separate"/>
      </w:r>
      <w:r w:rsidR="00617CD2" w:rsidRPr="0054775B">
        <w:t xml:space="preserve">Table </w:t>
      </w:r>
      <w:r w:rsidR="00651E04">
        <w:rPr>
          <w:noProof/>
        </w:rPr>
        <w:t>15</w:t>
      </w:r>
      <w:r w:rsidR="00617CD2" w:rsidRPr="0054775B">
        <w:rPr>
          <w:highlight w:val="yellow"/>
        </w:rPr>
        <w:fldChar w:fldCharType="end"/>
      </w:r>
      <w:r w:rsidR="00D40CA5" w:rsidRPr="0054775B">
        <w:t>.</w:t>
      </w:r>
    </w:p>
    <w:p w14:paraId="1797E77D" w14:textId="2CC0062E" w:rsidR="00F65615" w:rsidRPr="0054775B" w:rsidRDefault="00F65615" w:rsidP="009760CB">
      <w:pPr>
        <w:pStyle w:val="2024TABLECAPTION"/>
        <w:rPr>
          <w:rFonts w:ascii="Aptos" w:hAnsi="Aptos"/>
        </w:rPr>
      </w:pPr>
      <w:bookmarkStart w:id="77" w:name="_Ref161088322"/>
      <w:bookmarkStart w:id="78" w:name="_Toc185261593"/>
      <w:r w:rsidRPr="0054775B">
        <w:rPr>
          <w:rFonts w:ascii="Aptos" w:hAnsi="Aptos"/>
        </w:rPr>
        <w:t xml:space="preserve">Table </w:t>
      </w:r>
      <w:r w:rsidRPr="0054775B">
        <w:rPr>
          <w:rFonts w:ascii="Aptos" w:hAnsi="Aptos"/>
        </w:rPr>
        <w:fldChar w:fldCharType="begin"/>
      </w:r>
      <w:r w:rsidRPr="0054775B">
        <w:rPr>
          <w:rFonts w:ascii="Aptos" w:hAnsi="Aptos"/>
        </w:rPr>
        <w:instrText>SEQ Table \* ARABIC</w:instrText>
      </w:r>
      <w:r w:rsidRPr="0054775B">
        <w:rPr>
          <w:rFonts w:ascii="Aptos" w:hAnsi="Aptos"/>
        </w:rPr>
        <w:fldChar w:fldCharType="separate"/>
      </w:r>
      <w:r w:rsidR="00651E04">
        <w:rPr>
          <w:rFonts w:ascii="Aptos" w:hAnsi="Aptos"/>
          <w:noProof/>
        </w:rPr>
        <w:t>15</w:t>
      </w:r>
      <w:r w:rsidRPr="0054775B">
        <w:rPr>
          <w:rFonts w:ascii="Aptos" w:hAnsi="Aptos"/>
        </w:rPr>
        <w:fldChar w:fldCharType="end"/>
      </w:r>
      <w:bookmarkEnd w:id="77"/>
      <w:r w:rsidRPr="0054775B">
        <w:rPr>
          <w:rFonts w:ascii="Aptos" w:hAnsi="Aptos"/>
        </w:rPr>
        <w:t xml:space="preserve">. </w:t>
      </w:r>
      <w:r w:rsidR="00791A7E" w:rsidRPr="0054775B">
        <w:rPr>
          <w:rFonts w:ascii="Aptos" w:hAnsi="Aptos"/>
        </w:rPr>
        <w:t xml:space="preserve">Contributing reviews </w:t>
      </w:r>
      <w:r w:rsidR="00963A4D" w:rsidRPr="0054775B">
        <w:rPr>
          <w:rFonts w:ascii="Aptos" w:hAnsi="Aptos"/>
        </w:rPr>
        <w:t>for each population and intervention/co-intervention combination – i</w:t>
      </w:r>
      <w:r w:rsidR="00DB3EE1" w:rsidRPr="0054775B">
        <w:rPr>
          <w:rFonts w:ascii="Aptos" w:hAnsi="Aptos"/>
        </w:rPr>
        <w:t xml:space="preserve">nsomnia/sleeping disorders, </w:t>
      </w:r>
      <w:r w:rsidR="00791A7E" w:rsidRPr="0054775B">
        <w:rPr>
          <w:rFonts w:ascii="Aptos" w:hAnsi="Aptos"/>
        </w:rPr>
        <w:t>m</w:t>
      </w:r>
      <w:r w:rsidR="00DB3EE1" w:rsidRPr="0054775B">
        <w:rPr>
          <w:rFonts w:ascii="Aptos" w:hAnsi="Aptos"/>
        </w:rPr>
        <w:t>agnesium</w:t>
      </w:r>
      <w:bookmarkEnd w:id="78"/>
    </w:p>
    <w:tbl>
      <w:tblPr>
        <w:tblStyle w:val="TableGrid"/>
        <w:tblW w:w="0" w:type="auto"/>
        <w:tblLook w:val="04A0" w:firstRow="1" w:lastRow="0" w:firstColumn="1" w:lastColumn="0" w:noHBand="0" w:noVBand="1"/>
      </w:tblPr>
      <w:tblGrid>
        <w:gridCol w:w="3256"/>
        <w:gridCol w:w="2976"/>
        <w:gridCol w:w="2988"/>
      </w:tblGrid>
      <w:tr w:rsidR="00791A7E" w:rsidRPr="0054775B" w14:paraId="1733A212" w14:textId="758BDD67" w:rsidTr="00791A7E">
        <w:tc>
          <w:tcPr>
            <w:tcW w:w="3256" w:type="dxa"/>
            <w:shd w:val="clear" w:color="auto" w:fill="D9D9D9" w:themeFill="background1" w:themeFillShade="D9"/>
          </w:tcPr>
          <w:p w14:paraId="39987071" w14:textId="51443EF3" w:rsidR="00791A7E" w:rsidRPr="0054775B" w:rsidRDefault="00791A7E" w:rsidP="00791A7E">
            <w:pPr>
              <w:pStyle w:val="2024TABLEHEADER"/>
            </w:pPr>
          </w:p>
        </w:tc>
        <w:tc>
          <w:tcPr>
            <w:tcW w:w="2976" w:type="dxa"/>
            <w:shd w:val="clear" w:color="auto" w:fill="D9D9D9" w:themeFill="background1" w:themeFillShade="D9"/>
          </w:tcPr>
          <w:p w14:paraId="281E6436" w14:textId="1E956F71" w:rsidR="00791A7E" w:rsidRPr="0054775B" w:rsidRDefault="00791A7E" w:rsidP="00791A7E">
            <w:pPr>
              <w:pStyle w:val="2024TABLEHEADER"/>
            </w:pPr>
            <w:r w:rsidRPr="0054775B">
              <w:t>With insomnia/sleeping disorders</w:t>
            </w:r>
          </w:p>
        </w:tc>
        <w:tc>
          <w:tcPr>
            <w:tcW w:w="2988" w:type="dxa"/>
            <w:shd w:val="clear" w:color="auto" w:fill="D9D9D9" w:themeFill="background1" w:themeFillShade="D9"/>
          </w:tcPr>
          <w:p w14:paraId="11B9BD3B" w14:textId="55D3BB6D" w:rsidR="00791A7E" w:rsidRPr="0054775B" w:rsidRDefault="00791A7E" w:rsidP="00791A7E">
            <w:pPr>
              <w:pStyle w:val="2024TABLEHEADER"/>
            </w:pPr>
            <w:r w:rsidRPr="0054775B">
              <w:t>At risk of insomnia/sleeping disorders</w:t>
            </w:r>
          </w:p>
        </w:tc>
      </w:tr>
      <w:tr w:rsidR="00791A7E" w:rsidRPr="0054775B" w14:paraId="251AEBE2" w14:textId="39C91E3B" w:rsidTr="00791A7E">
        <w:tc>
          <w:tcPr>
            <w:tcW w:w="3256" w:type="dxa"/>
            <w:shd w:val="clear" w:color="auto" w:fill="D9D9D9" w:themeFill="background1" w:themeFillShade="D9"/>
          </w:tcPr>
          <w:p w14:paraId="32DD4017" w14:textId="058025A2" w:rsidR="00791A7E" w:rsidRPr="0054775B" w:rsidRDefault="00791A7E" w:rsidP="00791A7E">
            <w:pPr>
              <w:pStyle w:val="2024TABLEHEADER"/>
            </w:pPr>
            <w:r w:rsidRPr="0054775B">
              <w:t xml:space="preserve">Magnesium VS </w:t>
            </w:r>
            <w:r w:rsidR="00041C48" w:rsidRPr="0054775B">
              <w:t>placebo/inactive control</w:t>
            </w:r>
          </w:p>
        </w:tc>
        <w:tc>
          <w:tcPr>
            <w:tcW w:w="2976" w:type="dxa"/>
          </w:tcPr>
          <w:p w14:paraId="6CF08AFE" w14:textId="442ED064" w:rsidR="00791A7E" w:rsidRPr="0054775B" w:rsidRDefault="00791A7E" w:rsidP="00791A7E">
            <w:pPr>
              <w:pStyle w:val="2024TABLEHEADER"/>
              <w:rPr>
                <w:b w:val="0"/>
                <w:bCs w:val="0"/>
                <w:color w:val="000000"/>
              </w:rPr>
            </w:pPr>
            <w:r w:rsidRPr="0054775B">
              <w:rPr>
                <w:b w:val="0"/>
                <w:bCs w:val="0"/>
                <w:color w:val="000000"/>
              </w:rPr>
              <w:t>Mah 2021</w:t>
            </w:r>
          </w:p>
        </w:tc>
        <w:tc>
          <w:tcPr>
            <w:tcW w:w="2988" w:type="dxa"/>
          </w:tcPr>
          <w:p w14:paraId="73999698" w14:textId="454D09BE" w:rsidR="00791A7E" w:rsidRPr="0054775B" w:rsidRDefault="00791A7E" w:rsidP="00791A7E">
            <w:pPr>
              <w:pStyle w:val="2024TABLEHEADER"/>
              <w:rPr>
                <w:b w:val="0"/>
                <w:bCs w:val="0"/>
                <w:color w:val="000000"/>
              </w:rPr>
            </w:pPr>
            <w:r w:rsidRPr="0054775B">
              <w:rPr>
                <w:b w:val="0"/>
                <w:bCs w:val="0"/>
                <w:color w:val="000000"/>
              </w:rPr>
              <w:t>-</w:t>
            </w:r>
          </w:p>
        </w:tc>
      </w:tr>
      <w:tr w:rsidR="00791A7E" w:rsidRPr="0054775B" w14:paraId="3DE756A8" w14:textId="6F61EE03" w:rsidTr="00791A7E">
        <w:tc>
          <w:tcPr>
            <w:tcW w:w="3256" w:type="dxa"/>
            <w:shd w:val="clear" w:color="auto" w:fill="D9D9D9" w:themeFill="background1" w:themeFillShade="D9"/>
          </w:tcPr>
          <w:p w14:paraId="14D80556" w14:textId="7C89A792" w:rsidR="00791A7E" w:rsidRPr="0054775B" w:rsidRDefault="00791A7E" w:rsidP="00791A7E">
            <w:pPr>
              <w:pStyle w:val="2024TABLEHEADER"/>
            </w:pPr>
            <w:r w:rsidRPr="0054775B">
              <w:t xml:space="preserve">Magnesium + naturopathy co-intervention VS </w:t>
            </w:r>
            <w:r w:rsidR="00041C48" w:rsidRPr="0054775B">
              <w:t>placebo/inactive control</w:t>
            </w:r>
          </w:p>
        </w:tc>
        <w:tc>
          <w:tcPr>
            <w:tcW w:w="2976" w:type="dxa"/>
          </w:tcPr>
          <w:p w14:paraId="6EA31707" w14:textId="77777777" w:rsidR="00E20851" w:rsidRPr="0054775B" w:rsidRDefault="00E20851" w:rsidP="00791A7E">
            <w:pPr>
              <w:pStyle w:val="2024TABLEHEADER"/>
              <w:rPr>
                <w:b w:val="0"/>
                <w:bCs w:val="0"/>
                <w:color w:val="000000"/>
              </w:rPr>
            </w:pPr>
            <w:r w:rsidRPr="0054775B">
              <w:rPr>
                <w:b w:val="0"/>
                <w:bCs w:val="0"/>
                <w:color w:val="000000"/>
              </w:rPr>
              <w:t>Samara 2020</w:t>
            </w:r>
          </w:p>
          <w:p w14:paraId="3E516B9D" w14:textId="3AF40603" w:rsidR="00791A7E" w:rsidRPr="0054775B" w:rsidRDefault="00791A7E" w:rsidP="00791A7E">
            <w:pPr>
              <w:pStyle w:val="2024TABLEHEADER"/>
              <w:rPr>
                <w:b w:val="0"/>
                <w:bCs w:val="0"/>
                <w:color w:val="000000"/>
              </w:rPr>
            </w:pPr>
            <w:r w:rsidRPr="0054775B">
              <w:rPr>
                <w:b w:val="0"/>
                <w:bCs w:val="0"/>
                <w:color w:val="000000"/>
              </w:rPr>
              <w:t>Zhan 2023</w:t>
            </w:r>
          </w:p>
        </w:tc>
        <w:tc>
          <w:tcPr>
            <w:tcW w:w="2988" w:type="dxa"/>
          </w:tcPr>
          <w:p w14:paraId="1AF4D06B" w14:textId="377B96AA" w:rsidR="00791A7E" w:rsidRPr="0054775B" w:rsidRDefault="00791A7E" w:rsidP="00791A7E">
            <w:pPr>
              <w:pStyle w:val="2024TABLEHEADER"/>
              <w:rPr>
                <w:b w:val="0"/>
                <w:bCs w:val="0"/>
                <w:color w:val="000000"/>
              </w:rPr>
            </w:pPr>
            <w:r w:rsidRPr="0054775B">
              <w:rPr>
                <w:b w:val="0"/>
                <w:bCs w:val="0"/>
                <w:color w:val="000000"/>
              </w:rPr>
              <w:t>-</w:t>
            </w:r>
          </w:p>
        </w:tc>
      </w:tr>
    </w:tbl>
    <w:p w14:paraId="03D73A87" w14:textId="362C94F0" w:rsidR="006D5D99" w:rsidRPr="0054775B" w:rsidDel="00B50C20" w:rsidRDefault="006D5D99" w:rsidP="00107BEE">
      <w:pPr>
        <w:pStyle w:val="2024HEADER4"/>
        <w:numPr>
          <w:ilvl w:val="3"/>
          <w:numId w:val="8"/>
        </w:numPr>
        <w:rPr>
          <w:rFonts w:ascii="Aptos" w:hAnsi="Aptos"/>
        </w:rPr>
      </w:pPr>
      <w:r w:rsidRPr="0054775B" w:rsidDel="00B50C20">
        <w:rPr>
          <w:rFonts w:ascii="Aptos" w:hAnsi="Aptos"/>
        </w:rPr>
        <w:t xml:space="preserve">Magnesium versus </w:t>
      </w:r>
      <w:r w:rsidR="00041C48" w:rsidRPr="0054775B" w:rsidDel="00B50C20">
        <w:rPr>
          <w:rFonts w:ascii="Aptos" w:hAnsi="Aptos"/>
        </w:rPr>
        <w:t>placebo/inactive control for insomnia/sleeping disorders</w:t>
      </w:r>
    </w:p>
    <w:p w14:paraId="7DFFC349" w14:textId="38C21E2A" w:rsidR="005763BA" w:rsidRPr="0054775B" w:rsidDel="00B50C20" w:rsidRDefault="006D5D99" w:rsidP="009E6F7F">
      <w:r w:rsidRPr="0054775B">
        <w:t xml:space="preserve">Mah </w:t>
      </w:r>
      <w:r w:rsidR="00B24AD1" w:rsidRPr="0054775B">
        <w:t>et al. (</w:t>
      </w:r>
      <w:r w:rsidR="008629F0" w:rsidRPr="0054775B">
        <w:t>2021</w:t>
      </w:r>
      <w:r w:rsidR="00B24AD1" w:rsidRPr="0054775B">
        <w:t>)</w:t>
      </w:r>
      <w:r w:rsidR="008629F0" w:rsidRPr="0054775B">
        <w:t xml:space="preserve"> </w:t>
      </w:r>
      <w:r w:rsidR="00A61385">
        <w:rPr>
          <w:noProof/>
        </w:rPr>
        <w:t>(76)</w:t>
      </w:r>
      <w:r w:rsidR="006B121C" w:rsidRPr="0054775B">
        <w:t xml:space="preserve"> was the preferred review for </w:t>
      </w:r>
      <w:r w:rsidR="00F154A1" w:rsidRPr="0054775B">
        <w:t xml:space="preserve">examining magnesium </w:t>
      </w:r>
      <w:r w:rsidR="00336B0F" w:rsidRPr="0054775B">
        <w:t>alone</w:t>
      </w:r>
      <w:r w:rsidR="00B50C20">
        <w:t xml:space="preserve"> in people with insomnia/sleeping disorders</w:t>
      </w:r>
      <w:r w:rsidR="00BD6FA3">
        <w:t>.</w:t>
      </w:r>
      <w:r w:rsidR="00120C01">
        <w:t xml:space="preserve"> </w:t>
      </w:r>
      <w:r w:rsidR="00B50C20">
        <w:t xml:space="preserve">There were concerns about risk of bias </w:t>
      </w:r>
      <w:r w:rsidR="007E5C4E">
        <w:t>and</w:t>
      </w:r>
      <w:r w:rsidR="00B50C20" w:rsidDel="007E5C4E">
        <w:t xml:space="preserve"> </w:t>
      </w:r>
      <w:r w:rsidR="00B50C20">
        <w:t xml:space="preserve">robustness of findings, </w:t>
      </w:r>
      <w:r w:rsidR="00120C01">
        <w:t>as the authors could not conduct</w:t>
      </w:r>
      <w:r w:rsidR="00120C01" w:rsidRPr="00120C01" w:rsidDel="007E5C4E">
        <w:t xml:space="preserve"> </w:t>
      </w:r>
      <w:r w:rsidR="00120C01" w:rsidRPr="00120C01">
        <w:t>sensitivity analyses</w:t>
      </w:r>
      <w:r w:rsidR="00120C01">
        <w:t xml:space="preserve"> due to the </w:t>
      </w:r>
      <w:r w:rsidR="00B50C20">
        <w:t xml:space="preserve">low </w:t>
      </w:r>
      <w:r w:rsidR="00120C01">
        <w:t xml:space="preserve">number of studies. </w:t>
      </w:r>
      <w:r w:rsidR="007E5C4E">
        <w:t xml:space="preserve">Similarly, due to low study numbers the authors could not assess possible publication bias with funnel plots. </w:t>
      </w:r>
      <w:r w:rsidR="00B30DB3">
        <w:t xml:space="preserve">However, </w:t>
      </w:r>
      <w:r w:rsidR="00674EB6">
        <w:t xml:space="preserve">this was still the </w:t>
      </w:r>
      <w:r w:rsidR="007C78C3">
        <w:t>lowest risk of bias</w:t>
      </w:r>
      <w:r w:rsidR="00B50C20">
        <w:t xml:space="preserve"> and most comprehensive</w:t>
      </w:r>
      <w:r w:rsidR="00674EB6">
        <w:t xml:space="preserve"> review.</w:t>
      </w:r>
    </w:p>
    <w:p w14:paraId="768CA2F5" w14:textId="3C1389DA" w:rsidR="00041C48" w:rsidRPr="0054775B" w:rsidDel="00B50C20" w:rsidRDefault="00041C48" w:rsidP="00107BEE">
      <w:pPr>
        <w:pStyle w:val="2024HEADER4"/>
        <w:numPr>
          <w:ilvl w:val="3"/>
          <w:numId w:val="15"/>
        </w:numPr>
        <w:rPr>
          <w:rFonts w:ascii="Aptos" w:hAnsi="Aptos"/>
        </w:rPr>
      </w:pPr>
      <w:r w:rsidRPr="0054775B" w:rsidDel="00B50C20">
        <w:rPr>
          <w:rFonts w:ascii="Aptos" w:hAnsi="Aptos"/>
        </w:rPr>
        <w:t>Magnesium + naturopathy co-intervention versus placebo/inactive control for insomnia/sleeping disorders</w:t>
      </w:r>
    </w:p>
    <w:p w14:paraId="56A736A5" w14:textId="2C286F6C" w:rsidR="00B22A2D" w:rsidRPr="0054775B" w:rsidRDefault="00783908" w:rsidP="009E6F7F">
      <w:r w:rsidRPr="0054775B">
        <w:t>Three</w:t>
      </w:r>
      <w:r w:rsidR="000850CF" w:rsidRPr="0054775B">
        <w:t xml:space="preserve"> reviews reported on the efficacy of </w:t>
      </w:r>
      <w:r w:rsidR="00785BCE" w:rsidRPr="0054775B">
        <w:t xml:space="preserve">magnesium </w:t>
      </w:r>
      <w:r w:rsidR="0011762B" w:rsidRPr="0054775B">
        <w:t>plus a</w:t>
      </w:r>
      <w:r w:rsidR="00785BCE" w:rsidRPr="0054775B">
        <w:t xml:space="preserve"> naturopathy co-intervention for </w:t>
      </w:r>
      <w:r w:rsidR="00E20851" w:rsidRPr="0054775B">
        <w:t>priority outcomes in sleep disorders</w:t>
      </w:r>
      <w:r w:rsidR="00785BCE" w:rsidRPr="0054775B">
        <w:t xml:space="preserve">. </w:t>
      </w:r>
      <w:r w:rsidR="006F28EF" w:rsidRPr="0054775B">
        <w:t xml:space="preserve">Samara </w:t>
      </w:r>
      <w:r w:rsidR="0011762B" w:rsidRPr="0054775B">
        <w:t>et al. (</w:t>
      </w:r>
      <w:r w:rsidR="006F28EF" w:rsidRPr="0054775B">
        <w:t>2020</w:t>
      </w:r>
      <w:r w:rsidR="00816B1A" w:rsidRPr="0054775B">
        <w:t>)</w:t>
      </w:r>
      <w:r w:rsidR="00D03C95" w:rsidRPr="0054775B">
        <w:t xml:space="preserve"> </w:t>
      </w:r>
      <w:r w:rsidR="00A61385">
        <w:rPr>
          <w:noProof/>
        </w:rPr>
        <w:t>(75)</w:t>
      </w:r>
      <w:r w:rsidR="00B21ACB" w:rsidRPr="0054775B">
        <w:t xml:space="preserve"> </w:t>
      </w:r>
      <w:r w:rsidR="00D03C95" w:rsidRPr="0054775B">
        <w:t xml:space="preserve">was the preferred review, </w:t>
      </w:r>
      <w:r w:rsidR="007A60DD" w:rsidRPr="0054775B">
        <w:t xml:space="preserve">reporting </w:t>
      </w:r>
      <w:r w:rsidR="001E3587" w:rsidRPr="0054775B">
        <w:t>results of a network meta-</w:t>
      </w:r>
      <w:r w:rsidR="00346572" w:rsidRPr="0054775B">
        <w:t xml:space="preserve">analysis (using </w:t>
      </w:r>
      <w:r w:rsidR="007A60DD" w:rsidRPr="0054775B">
        <w:t>results from o</w:t>
      </w:r>
      <w:r w:rsidR="00D03C95" w:rsidRPr="0054775B">
        <w:t xml:space="preserve">ne study (43 participants) </w:t>
      </w:r>
      <w:r w:rsidR="007A60DD" w:rsidRPr="0054775B">
        <w:t xml:space="preserve">examining </w:t>
      </w:r>
      <w:r w:rsidR="00346572" w:rsidRPr="0054775B">
        <w:t xml:space="preserve">older adults with </w:t>
      </w:r>
      <w:r w:rsidR="007A60DD" w:rsidRPr="0054775B">
        <w:t>primary insomnia</w:t>
      </w:r>
      <w:r w:rsidR="00346572" w:rsidRPr="0054775B">
        <w:t>).</w:t>
      </w:r>
      <w:r w:rsidR="00346572" w:rsidRPr="0054775B" w:rsidDel="00CB3FF3">
        <w:t xml:space="preserve"> </w:t>
      </w:r>
      <w:r w:rsidR="00941D17" w:rsidRPr="0054775B">
        <w:t xml:space="preserve">Zhan </w:t>
      </w:r>
      <w:r w:rsidR="00384318" w:rsidRPr="0054775B">
        <w:t>et al. (</w:t>
      </w:r>
      <w:r w:rsidR="00941D17" w:rsidRPr="0054775B">
        <w:t>2023</w:t>
      </w:r>
      <w:r w:rsidR="00384318" w:rsidRPr="0054775B">
        <w:t>)</w:t>
      </w:r>
      <w:r w:rsidR="00941D17" w:rsidRPr="0054775B">
        <w:t xml:space="preserve"> </w:t>
      </w:r>
      <w:r w:rsidR="00A61385">
        <w:rPr>
          <w:noProof/>
        </w:rPr>
        <w:t>(77)</w:t>
      </w:r>
      <w:r w:rsidR="0044459E" w:rsidRPr="0054775B">
        <w:t xml:space="preserve"> </w:t>
      </w:r>
      <w:r w:rsidR="00941D17" w:rsidRPr="0054775B">
        <w:t xml:space="preserve">was the only review that reported on </w:t>
      </w:r>
      <w:r w:rsidR="00E8406B" w:rsidRPr="0054775B">
        <w:t>daytime functioning as an outcome</w:t>
      </w:r>
      <w:r w:rsidR="00CB3FF3">
        <w:t xml:space="preserve">, </w:t>
      </w:r>
      <w:r w:rsidR="00044185">
        <w:t>al</w:t>
      </w:r>
      <w:r w:rsidR="00CB3FF3">
        <w:t xml:space="preserve">though </w:t>
      </w:r>
      <w:r w:rsidR="007240B8">
        <w:t>the population was people</w:t>
      </w:r>
      <w:r w:rsidR="00CB3FF3">
        <w:t xml:space="preserve"> with narcolepsy</w:t>
      </w:r>
      <w:r w:rsidR="00E8406B" w:rsidRPr="0054775B">
        <w:t xml:space="preserve">. The </w:t>
      </w:r>
      <w:r w:rsidR="003F7AC9">
        <w:t xml:space="preserve">authors </w:t>
      </w:r>
      <w:r w:rsidR="00EB0457">
        <w:t>conducted</w:t>
      </w:r>
      <w:r w:rsidR="003F7AC9">
        <w:t xml:space="preserve"> a </w:t>
      </w:r>
      <w:r w:rsidR="008741F5" w:rsidRPr="0054775B">
        <w:t xml:space="preserve">network meta-analysis </w:t>
      </w:r>
      <w:r w:rsidR="00E8406B" w:rsidRPr="0054775B">
        <w:t xml:space="preserve">based on data from one study (136 participants).  </w:t>
      </w:r>
    </w:p>
    <w:p w14:paraId="2325AC30" w14:textId="4C316CE0" w:rsidR="006D5D99" w:rsidRPr="0054775B" w:rsidRDefault="006D5D99" w:rsidP="009E6F7F">
      <w:pPr>
        <w:sectPr w:rsidR="006D5D99" w:rsidRPr="0054775B" w:rsidSect="006A72DC">
          <w:pgSz w:w="11910" w:h="16840"/>
          <w:pgMar w:top="1356" w:right="1340" w:bottom="280" w:left="1340" w:header="720" w:footer="720" w:gutter="0"/>
          <w:cols w:space="720"/>
        </w:sectPr>
      </w:pPr>
    </w:p>
    <w:p w14:paraId="47C021A6" w14:textId="77777777" w:rsidR="00677963" w:rsidRPr="0054775B" w:rsidRDefault="00677963" w:rsidP="00677963">
      <w:pPr>
        <w:pStyle w:val="2024HEADER3"/>
        <w:rPr>
          <w:rFonts w:ascii="Aptos" w:hAnsi="Aptos"/>
        </w:rPr>
      </w:pPr>
      <w:r w:rsidRPr="0054775B">
        <w:rPr>
          <w:rFonts w:ascii="Aptos" w:hAnsi="Aptos"/>
        </w:rPr>
        <w:lastRenderedPageBreak/>
        <w:t>Summary of findings and evidence statements</w:t>
      </w:r>
    </w:p>
    <w:p w14:paraId="264B20D7" w14:textId="429BF5BA" w:rsidR="00B34999" w:rsidRPr="0054775B" w:rsidRDefault="00B34999" w:rsidP="009760CB">
      <w:pPr>
        <w:pStyle w:val="2024TABLECAPTION"/>
        <w:rPr>
          <w:rFonts w:ascii="Aptos" w:hAnsi="Aptos"/>
        </w:rPr>
      </w:pPr>
      <w:bookmarkStart w:id="79" w:name="_Toc185261594"/>
      <w:r w:rsidRPr="0054775B">
        <w:rPr>
          <w:rFonts w:ascii="Aptos" w:hAnsi="Aptos"/>
        </w:rPr>
        <w:t xml:space="preserve">Table </w:t>
      </w:r>
      <w:r w:rsidRPr="0054775B">
        <w:rPr>
          <w:rFonts w:ascii="Aptos" w:hAnsi="Aptos"/>
        </w:rPr>
        <w:fldChar w:fldCharType="begin"/>
      </w:r>
      <w:r w:rsidRPr="0054775B">
        <w:rPr>
          <w:rFonts w:ascii="Aptos" w:hAnsi="Aptos"/>
        </w:rPr>
        <w:instrText>SEQ Table \* ARABIC</w:instrText>
      </w:r>
      <w:r w:rsidRPr="0054775B">
        <w:rPr>
          <w:rFonts w:ascii="Aptos" w:hAnsi="Aptos"/>
        </w:rPr>
        <w:fldChar w:fldCharType="separate"/>
      </w:r>
      <w:r w:rsidR="00651E04">
        <w:rPr>
          <w:rFonts w:ascii="Aptos" w:hAnsi="Aptos"/>
          <w:noProof/>
        </w:rPr>
        <w:t>16</w:t>
      </w:r>
      <w:r w:rsidRPr="0054775B">
        <w:rPr>
          <w:rFonts w:ascii="Aptos" w:hAnsi="Aptos"/>
        </w:rPr>
        <w:fldChar w:fldCharType="end"/>
      </w:r>
      <w:r w:rsidRPr="0054775B">
        <w:rPr>
          <w:rFonts w:ascii="Aptos" w:hAnsi="Aptos"/>
        </w:rPr>
        <w:t xml:space="preserve">. Magnesium compared to </w:t>
      </w:r>
      <w:r w:rsidR="00EF20E5" w:rsidRPr="001428E8">
        <w:rPr>
          <w:rStyle w:val="Strong"/>
          <w:rFonts w:ascii="Aptos" w:hAnsi="Aptos"/>
          <w:b/>
        </w:rPr>
        <w:t>placebo</w:t>
      </w:r>
      <w:r w:rsidR="00EF20E5" w:rsidRPr="0054775B">
        <w:rPr>
          <w:rFonts w:ascii="Aptos" w:hAnsi="Aptos"/>
        </w:rPr>
        <w:t xml:space="preserve">/inactive control </w:t>
      </w:r>
      <w:r w:rsidRPr="0054775B">
        <w:rPr>
          <w:rFonts w:ascii="Aptos" w:hAnsi="Aptos"/>
        </w:rPr>
        <w:t>for insomnia/sleep disorders</w:t>
      </w:r>
      <w:bookmarkEnd w:id="79"/>
    </w:p>
    <w:tbl>
      <w:tblPr>
        <w:tblpPr w:leftFromText="180" w:rightFromText="180" w:vertAnchor="text" w:tblpY="1"/>
        <w:tblOverlap w:val="never"/>
        <w:tblW w:w="4662" w:type="pct"/>
        <w:tblLayout w:type="fixed"/>
        <w:tblCellMar>
          <w:top w:w="28" w:type="dxa"/>
          <w:left w:w="57" w:type="dxa"/>
          <w:bottom w:w="28" w:type="dxa"/>
          <w:right w:w="28" w:type="dxa"/>
        </w:tblCellMar>
        <w:tblLook w:val="04A0" w:firstRow="1" w:lastRow="0" w:firstColumn="1" w:lastColumn="0" w:noHBand="0" w:noVBand="1"/>
      </w:tblPr>
      <w:tblGrid>
        <w:gridCol w:w="14176"/>
      </w:tblGrid>
      <w:tr w:rsidR="00475CAF" w:rsidRPr="0054775B" w14:paraId="6D3AE2D1" w14:textId="77777777" w:rsidTr="000B76FE">
        <w:tc>
          <w:tcPr>
            <w:tcW w:w="5000" w:type="pct"/>
            <w:tcBorders>
              <w:top w:val="single" w:sz="12" w:space="0" w:color="000000"/>
              <w:left w:val="nil"/>
              <w:bottom w:val="single" w:sz="12" w:space="0" w:color="000000"/>
              <w:right w:val="nil"/>
            </w:tcBorders>
          </w:tcPr>
          <w:p w14:paraId="2B37AE33" w14:textId="6C302D0B" w:rsidR="00475CAF" w:rsidRPr="0054775B" w:rsidRDefault="00475CAF" w:rsidP="000B76FE">
            <w:pPr>
              <w:pStyle w:val="2024TABLETEXT"/>
              <w:framePr w:hSpace="0" w:wrap="auto" w:vAnchor="margin" w:yAlign="inline"/>
              <w:suppressOverlap w:val="0"/>
              <w:rPr>
                <w:rStyle w:val="Strong"/>
              </w:rPr>
            </w:pPr>
            <w:r w:rsidRPr="0054775B">
              <w:rPr>
                <w:rStyle w:val="Strong"/>
                <w:b w:val="0"/>
                <w:bCs w:val="0"/>
              </w:rPr>
              <w:t>Patient or population:</w:t>
            </w:r>
            <w:r w:rsidRPr="0054775B">
              <w:rPr>
                <w:rStyle w:val="Strong"/>
              </w:rPr>
              <w:t xml:space="preserve"> Insomnia/sleep disorders</w:t>
            </w:r>
          </w:p>
          <w:p w14:paraId="56BC3F59" w14:textId="77777777" w:rsidR="00475CAF" w:rsidRPr="0054775B" w:rsidRDefault="00475CAF" w:rsidP="000B76FE">
            <w:pPr>
              <w:pStyle w:val="2024TABLETEXT"/>
              <w:framePr w:hSpace="0" w:wrap="auto" w:vAnchor="margin" w:yAlign="inline"/>
              <w:suppressOverlap w:val="0"/>
              <w:rPr>
                <w:rStyle w:val="Strong"/>
              </w:rPr>
            </w:pPr>
            <w:r w:rsidRPr="0054775B">
              <w:rPr>
                <w:rStyle w:val="Strong"/>
                <w:b w:val="0"/>
                <w:bCs w:val="0"/>
              </w:rPr>
              <w:t>Intervention:</w:t>
            </w:r>
            <w:r w:rsidRPr="0054775B">
              <w:rPr>
                <w:rStyle w:val="Strong"/>
              </w:rPr>
              <w:t xml:space="preserve"> Magnesium</w:t>
            </w:r>
          </w:p>
          <w:p w14:paraId="0ED71B31" w14:textId="26833E46" w:rsidR="00475CAF" w:rsidRPr="0054775B" w:rsidRDefault="00475CAF" w:rsidP="000B76FE">
            <w:pPr>
              <w:pStyle w:val="2024TABLETEXT"/>
              <w:framePr w:hSpace="0" w:wrap="auto" w:vAnchor="margin" w:yAlign="inline"/>
              <w:suppressOverlap w:val="0"/>
            </w:pPr>
            <w:r w:rsidRPr="0054775B">
              <w:rPr>
                <w:rStyle w:val="Strong"/>
                <w:b w:val="0"/>
                <w:bCs w:val="0"/>
              </w:rPr>
              <w:t>Comparison:</w:t>
            </w:r>
            <w:r w:rsidRPr="0054775B">
              <w:rPr>
                <w:rStyle w:val="Strong"/>
              </w:rPr>
              <w:t xml:space="preserve"> </w:t>
            </w:r>
            <w:r w:rsidR="00EF20E5" w:rsidRPr="0054775B">
              <w:rPr>
                <w:rStyle w:val="Strong"/>
              </w:rPr>
              <w:t xml:space="preserve"> Placebo</w:t>
            </w:r>
            <w:r w:rsidR="00EF20E5" w:rsidRPr="0054775B">
              <w:rPr>
                <w:b/>
                <w:bCs/>
              </w:rPr>
              <w:t>/inactive control</w:t>
            </w:r>
          </w:p>
        </w:tc>
      </w:tr>
    </w:tbl>
    <w:tbl>
      <w:tblPr>
        <w:tblW w:w="4662" w:type="pct"/>
        <w:tblLayout w:type="fixed"/>
        <w:tblCellMar>
          <w:top w:w="28" w:type="dxa"/>
          <w:left w:w="57" w:type="dxa"/>
          <w:bottom w:w="28" w:type="dxa"/>
          <w:right w:w="28" w:type="dxa"/>
        </w:tblCellMar>
        <w:tblLook w:val="04A0" w:firstRow="1" w:lastRow="0" w:firstColumn="1" w:lastColumn="0" w:noHBand="0" w:noVBand="1"/>
      </w:tblPr>
      <w:tblGrid>
        <w:gridCol w:w="850"/>
        <w:gridCol w:w="3262"/>
        <w:gridCol w:w="1275"/>
        <w:gridCol w:w="1275"/>
        <w:gridCol w:w="1275"/>
        <w:gridCol w:w="995"/>
        <w:gridCol w:w="1275"/>
        <w:gridCol w:w="1134"/>
        <w:gridCol w:w="2828"/>
      </w:tblGrid>
      <w:tr w:rsidR="00041F3A" w:rsidRPr="0054775B" w14:paraId="20B9C067" w14:textId="77777777" w:rsidTr="00041F3A">
        <w:trPr>
          <w:cantSplit/>
          <w:trHeight w:val="66"/>
        </w:trPr>
        <w:tc>
          <w:tcPr>
            <w:tcW w:w="300" w:type="pct"/>
            <w:vMerge w:val="restart"/>
            <w:tcBorders>
              <w:right w:val="single" w:sz="6" w:space="0" w:color="EFEFEF"/>
            </w:tcBorders>
            <w:shd w:val="clear" w:color="auto" w:fill="FFE599" w:themeFill="accent4" w:themeFillTint="66"/>
            <w:vAlign w:val="bottom"/>
          </w:tcPr>
          <w:p w14:paraId="071C58BA" w14:textId="77777777" w:rsidR="006502EA" w:rsidRPr="0054775B" w:rsidRDefault="006502EA" w:rsidP="00515FE7">
            <w:pPr>
              <w:pStyle w:val="2024TABLEHEADER"/>
            </w:pPr>
            <w:r w:rsidRPr="0054775B">
              <w:t>NTWC Rating*</w:t>
            </w:r>
          </w:p>
        </w:tc>
        <w:tc>
          <w:tcPr>
            <w:tcW w:w="1151" w:type="pct"/>
            <w:vMerge w:val="restart"/>
            <w:tcBorders>
              <w:right w:val="single" w:sz="6" w:space="0" w:color="EFEFEF"/>
            </w:tcBorders>
            <w:shd w:val="clear" w:color="auto" w:fill="FFE599" w:themeFill="accent4" w:themeFillTint="66"/>
            <w:vAlign w:val="bottom"/>
            <w:hideMark/>
          </w:tcPr>
          <w:p w14:paraId="65848127" w14:textId="77777777" w:rsidR="006502EA" w:rsidRPr="0054775B" w:rsidRDefault="006502EA" w:rsidP="00515FE7">
            <w:pPr>
              <w:pStyle w:val="2024TABLEHEADER"/>
            </w:pPr>
            <w:r w:rsidRPr="0054775B">
              <w:t>Outcomes</w:t>
            </w:r>
          </w:p>
        </w:tc>
        <w:tc>
          <w:tcPr>
            <w:tcW w:w="450" w:type="pct"/>
            <w:vMerge w:val="restart"/>
            <w:shd w:val="clear" w:color="auto" w:fill="FFF2CC" w:themeFill="accent4" w:themeFillTint="33"/>
            <w:vAlign w:val="bottom"/>
          </w:tcPr>
          <w:p w14:paraId="275BAE1B" w14:textId="1E4211D1" w:rsidR="006502EA" w:rsidRPr="0054775B" w:rsidRDefault="006502EA" w:rsidP="00515FE7">
            <w:pPr>
              <w:pStyle w:val="2024TABLEHEADER"/>
            </w:pPr>
            <w:r w:rsidRPr="0054775B">
              <w:t>Contributing review</w:t>
            </w:r>
          </w:p>
        </w:tc>
        <w:tc>
          <w:tcPr>
            <w:tcW w:w="900" w:type="pct"/>
            <w:gridSpan w:val="2"/>
            <w:tcBorders>
              <w:bottom w:val="single" w:sz="4" w:space="0" w:color="auto"/>
            </w:tcBorders>
            <w:shd w:val="clear" w:color="auto" w:fill="E0E0E0"/>
            <w:vAlign w:val="bottom"/>
          </w:tcPr>
          <w:p w14:paraId="51C3D2EE" w14:textId="7F359890" w:rsidR="006502EA" w:rsidRPr="0054775B" w:rsidRDefault="006502EA" w:rsidP="00515FE7">
            <w:pPr>
              <w:pStyle w:val="2024TABLEHEADER"/>
            </w:pPr>
            <w:r w:rsidRPr="0054775B">
              <w:t>Absolute Effects</w:t>
            </w:r>
          </w:p>
        </w:tc>
        <w:tc>
          <w:tcPr>
            <w:tcW w:w="351" w:type="pct"/>
            <w:vMerge w:val="restart"/>
            <w:tcBorders>
              <w:top w:val="single" w:sz="6" w:space="0" w:color="EFEFEF"/>
              <w:right w:val="single" w:sz="6" w:space="0" w:color="EFEFEF"/>
            </w:tcBorders>
            <w:shd w:val="clear" w:color="auto" w:fill="E0E0E0"/>
            <w:vAlign w:val="bottom"/>
          </w:tcPr>
          <w:p w14:paraId="0332FBBB" w14:textId="6B0C4BC6" w:rsidR="006502EA" w:rsidRPr="0054775B" w:rsidRDefault="006502EA" w:rsidP="00515FE7">
            <w:pPr>
              <w:pStyle w:val="2024TABLEHEADER"/>
            </w:pPr>
            <w:r w:rsidRPr="0054775B">
              <w:t>Relative effect</w:t>
            </w:r>
            <w:r w:rsidRPr="0054775B">
              <w:br/>
              <w:t>(95% CI)</w:t>
            </w:r>
          </w:p>
        </w:tc>
        <w:tc>
          <w:tcPr>
            <w:tcW w:w="450" w:type="pct"/>
            <w:vMerge w:val="restart"/>
            <w:tcBorders>
              <w:right w:val="single" w:sz="6" w:space="0" w:color="EFEFEF"/>
            </w:tcBorders>
            <w:shd w:val="clear" w:color="auto" w:fill="FFE599" w:themeFill="accent4" w:themeFillTint="66"/>
            <w:vAlign w:val="bottom"/>
            <w:hideMark/>
          </w:tcPr>
          <w:p w14:paraId="55EFF811" w14:textId="77777777" w:rsidR="006502EA" w:rsidRPr="0054775B" w:rsidRDefault="006502EA" w:rsidP="00515FE7">
            <w:pPr>
              <w:pStyle w:val="2024TABLEHEADER"/>
            </w:pPr>
            <w:r w:rsidRPr="0054775B">
              <w:t>№ of participants</w:t>
            </w:r>
            <w:r w:rsidRPr="0054775B">
              <w:br/>
              <w:t>(studies)</w:t>
            </w:r>
          </w:p>
        </w:tc>
        <w:tc>
          <w:tcPr>
            <w:tcW w:w="400" w:type="pct"/>
            <w:vMerge w:val="restart"/>
            <w:tcBorders>
              <w:right w:val="single" w:sz="6" w:space="0" w:color="EFEFEF"/>
            </w:tcBorders>
            <w:shd w:val="clear" w:color="auto" w:fill="FFE599" w:themeFill="accent4" w:themeFillTint="66"/>
            <w:vAlign w:val="bottom"/>
            <w:hideMark/>
          </w:tcPr>
          <w:p w14:paraId="720C9AC9" w14:textId="77777777" w:rsidR="006502EA" w:rsidRPr="0054775B" w:rsidRDefault="006502EA" w:rsidP="00515FE7">
            <w:pPr>
              <w:pStyle w:val="2024TABLEHEADER"/>
            </w:pPr>
            <w:r w:rsidRPr="0054775B">
              <w:t>Certainty of the evidence</w:t>
            </w:r>
            <w:r w:rsidRPr="0054775B">
              <w:br/>
              <w:t>(GRADE)</w:t>
            </w:r>
          </w:p>
        </w:tc>
        <w:tc>
          <w:tcPr>
            <w:tcW w:w="998" w:type="pct"/>
            <w:vMerge w:val="restart"/>
            <w:tcBorders>
              <w:right w:val="single" w:sz="6" w:space="0" w:color="EFEFEF"/>
            </w:tcBorders>
            <w:shd w:val="clear" w:color="auto" w:fill="FFE599" w:themeFill="accent4" w:themeFillTint="66"/>
            <w:vAlign w:val="bottom"/>
            <w:hideMark/>
          </w:tcPr>
          <w:p w14:paraId="689B1677" w14:textId="77777777" w:rsidR="006502EA" w:rsidRPr="0054775B" w:rsidRDefault="006502EA" w:rsidP="00515FE7">
            <w:pPr>
              <w:pStyle w:val="2024TABLEHEADER"/>
            </w:pPr>
            <w:r w:rsidRPr="0054775B">
              <w:t>Evidence statement</w:t>
            </w:r>
          </w:p>
        </w:tc>
      </w:tr>
      <w:tr w:rsidR="00336D2E" w:rsidRPr="0054775B" w14:paraId="375511DE" w14:textId="77777777" w:rsidTr="00041F3A">
        <w:trPr>
          <w:cantSplit/>
          <w:trHeight w:val="59"/>
        </w:trPr>
        <w:tc>
          <w:tcPr>
            <w:tcW w:w="300" w:type="pct"/>
            <w:vMerge/>
            <w:tcBorders>
              <w:right w:val="single" w:sz="6" w:space="0" w:color="EFEFEF"/>
            </w:tcBorders>
            <w:shd w:val="clear" w:color="auto" w:fill="FFE599" w:themeFill="accent4" w:themeFillTint="66"/>
            <w:vAlign w:val="bottom"/>
          </w:tcPr>
          <w:p w14:paraId="3E3C067E" w14:textId="77777777" w:rsidR="006502EA" w:rsidRPr="0054775B" w:rsidRDefault="006502EA" w:rsidP="006502EA">
            <w:pPr>
              <w:pStyle w:val="2024TABLETEXT"/>
              <w:framePr w:hSpace="0" w:wrap="auto" w:vAnchor="margin" w:yAlign="inline"/>
              <w:suppressOverlap w:val="0"/>
            </w:pPr>
          </w:p>
        </w:tc>
        <w:tc>
          <w:tcPr>
            <w:tcW w:w="1151" w:type="pct"/>
            <w:vMerge/>
            <w:tcBorders>
              <w:right w:val="single" w:sz="6" w:space="0" w:color="EFEFEF"/>
            </w:tcBorders>
            <w:shd w:val="clear" w:color="auto" w:fill="FFE599" w:themeFill="accent4" w:themeFillTint="66"/>
            <w:vAlign w:val="bottom"/>
          </w:tcPr>
          <w:p w14:paraId="1FD1E605" w14:textId="77777777" w:rsidR="006502EA" w:rsidRPr="0054775B" w:rsidRDefault="006502EA" w:rsidP="006502EA">
            <w:pPr>
              <w:pStyle w:val="2024TABLETEXT"/>
              <w:framePr w:hSpace="0" w:wrap="auto" w:vAnchor="margin" w:yAlign="inline"/>
              <w:suppressOverlap w:val="0"/>
            </w:pPr>
          </w:p>
        </w:tc>
        <w:tc>
          <w:tcPr>
            <w:tcW w:w="450" w:type="pct"/>
            <w:vMerge/>
            <w:shd w:val="clear" w:color="auto" w:fill="FFF2CC" w:themeFill="accent4" w:themeFillTint="33"/>
            <w:vAlign w:val="bottom"/>
          </w:tcPr>
          <w:p w14:paraId="527203EA" w14:textId="77777777" w:rsidR="006502EA" w:rsidRPr="0054775B" w:rsidRDefault="006502EA" w:rsidP="006502EA">
            <w:pPr>
              <w:pStyle w:val="2024TABLETEXT"/>
              <w:framePr w:hSpace="0" w:wrap="auto" w:vAnchor="margin" w:yAlign="inline"/>
              <w:suppressOverlap w:val="0"/>
            </w:pPr>
          </w:p>
        </w:tc>
        <w:tc>
          <w:tcPr>
            <w:tcW w:w="450" w:type="pct"/>
            <w:tcBorders>
              <w:top w:val="single" w:sz="4" w:space="0" w:color="auto"/>
            </w:tcBorders>
            <w:shd w:val="clear" w:color="auto" w:fill="E0E0E0"/>
            <w:vAlign w:val="bottom"/>
          </w:tcPr>
          <w:p w14:paraId="7B0D0763" w14:textId="086D22BF" w:rsidR="006502EA" w:rsidRPr="0054775B" w:rsidRDefault="006502EA" w:rsidP="006502EA">
            <w:pPr>
              <w:pStyle w:val="2024TABLEHEADER"/>
            </w:pPr>
            <w:r w:rsidRPr="0054775B">
              <w:t>Comparison</w:t>
            </w:r>
          </w:p>
        </w:tc>
        <w:tc>
          <w:tcPr>
            <w:tcW w:w="450" w:type="pct"/>
            <w:tcBorders>
              <w:top w:val="single" w:sz="4" w:space="0" w:color="auto"/>
            </w:tcBorders>
            <w:shd w:val="clear" w:color="auto" w:fill="E0E0E0"/>
            <w:vAlign w:val="bottom"/>
          </w:tcPr>
          <w:p w14:paraId="3DE169EF" w14:textId="71937AC7" w:rsidR="006502EA" w:rsidRPr="0054775B" w:rsidRDefault="006502EA" w:rsidP="006502EA">
            <w:pPr>
              <w:pStyle w:val="2024TABLEHEADER"/>
            </w:pPr>
            <w:r w:rsidRPr="0054775B">
              <w:t>Intervention</w:t>
            </w:r>
          </w:p>
        </w:tc>
        <w:tc>
          <w:tcPr>
            <w:tcW w:w="351" w:type="pct"/>
            <w:vMerge/>
            <w:tcBorders>
              <w:right w:val="single" w:sz="6" w:space="0" w:color="EFEFEF"/>
            </w:tcBorders>
            <w:shd w:val="clear" w:color="auto" w:fill="E0E0E0"/>
            <w:vAlign w:val="bottom"/>
          </w:tcPr>
          <w:p w14:paraId="0BA9D12A" w14:textId="77777777" w:rsidR="006502EA" w:rsidRPr="0054775B" w:rsidRDefault="006502EA" w:rsidP="006502EA">
            <w:pPr>
              <w:pStyle w:val="2024TABLETEXT"/>
              <w:framePr w:hSpace="0" w:wrap="auto" w:vAnchor="margin" w:yAlign="inline"/>
              <w:suppressOverlap w:val="0"/>
            </w:pPr>
          </w:p>
        </w:tc>
        <w:tc>
          <w:tcPr>
            <w:tcW w:w="450" w:type="pct"/>
            <w:vMerge/>
            <w:tcBorders>
              <w:right w:val="single" w:sz="6" w:space="0" w:color="EFEFEF"/>
            </w:tcBorders>
            <w:shd w:val="clear" w:color="auto" w:fill="FFE599" w:themeFill="accent4" w:themeFillTint="66"/>
            <w:vAlign w:val="bottom"/>
          </w:tcPr>
          <w:p w14:paraId="0CC9FBD9" w14:textId="77777777" w:rsidR="006502EA" w:rsidRPr="0054775B" w:rsidRDefault="006502EA" w:rsidP="006502EA">
            <w:pPr>
              <w:pStyle w:val="2024TABLETEXT"/>
              <w:framePr w:hSpace="0" w:wrap="auto" w:vAnchor="margin" w:yAlign="inline"/>
              <w:suppressOverlap w:val="0"/>
            </w:pPr>
          </w:p>
        </w:tc>
        <w:tc>
          <w:tcPr>
            <w:tcW w:w="400" w:type="pct"/>
            <w:vMerge/>
            <w:tcBorders>
              <w:right w:val="single" w:sz="6" w:space="0" w:color="EFEFEF"/>
            </w:tcBorders>
            <w:shd w:val="clear" w:color="auto" w:fill="FFE599" w:themeFill="accent4" w:themeFillTint="66"/>
            <w:vAlign w:val="bottom"/>
          </w:tcPr>
          <w:p w14:paraId="3BCF612A" w14:textId="77777777" w:rsidR="006502EA" w:rsidRPr="0054775B" w:rsidRDefault="006502EA" w:rsidP="006502EA">
            <w:pPr>
              <w:pStyle w:val="2024TABLETEXT"/>
              <w:framePr w:hSpace="0" w:wrap="auto" w:vAnchor="margin" w:yAlign="inline"/>
              <w:suppressOverlap w:val="0"/>
            </w:pPr>
          </w:p>
        </w:tc>
        <w:tc>
          <w:tcPr>
            <w:tcW w:w="998" w:type="pct"/>
            <w:vMerge/>
            <w:tcBorders>
              <w:right w:val="single" w:sz="6" w:space="0" w:color="EFEFEF"/>
            </w:tcBorders>
            <w:shd w:val="clear" w:color="auto" w:fill="FFE599" w:themeFill="accent4" w:themeFillTint="66"/>
            <w:vAlign w:val="bottom"/>
          </w:tcPr>
          <w:p w14:paraId="1DCF5DFA" w14:textId="77777777" w:rsidR="006502EA" w:rsidRPr="0054775B" w:rsidRDefault="006502EA" w:rsidP="006502EA">
            <w:pPr>
              <w:pStyle w:val="2024TABLETEXT"/>
              <w:framePr w:hSpace="0" w:wrap="auto" w:vAnchor="margin" w:yAlign="inline"/>
              <w:suppressOverlap w:val="0"/>
            </w:pPr>
          </w:p>
        </w:tc>
      </w:tr>
      <w:tr w:rsidR="00041F3A" w:rsidRPr="0054775B" w14:paraId="012880D0" w14:textId="77777777" w:rsidTr="00041F3A">
        <w:trPr>
          <w:trHeight w:val="671"/>
        </w:trPr>
        <w:tc>
          <w:tcPr>
            <w:tcW w:w="300" w:type="pct"/>
            <w:tcBorders>
              <w:top w:val="single" w:sz="6" w:space="0" w:color="000000"/>
              <w:left w:val="nil"/>
              <w:bottom w:val="single" w:sz="6" w:space="0" w:color="000000"/>
              <w:right w:val="nil"/>
            </w:tcBorders>
            <w:vAlign w:val="center"/>
          </w:tcPr>
          <w:p w14:paraId="1116FBD9" w14:textId="77777777" w:rsidR="00F16E74" w:rsidRPr="0054775B" w:rsidRDefault="00F16E74" w:rsidP="00F16E74">
            <w:pPr>
              <w:pStyle w:val="2024TABLETEXT"/>
              <w:framePr w:hSpace="0" w:wrap="auto" w:vAnchor="margin" w:yAlign="inline"/>
              <w:suppressOverlap w:val="0"/>
              <w:jc w:val="center"/>
            </w:pPr>
            <w:r w:rsidRPr="0054775B">
              <w:t>9</w:t>
            </w:r>
          </w:p>
        </w:tc>
        <w:tc>
          <w:tcPr>
            <w:tcW w:w="1151" w:type="pct"/>
            <w:tcBorders>
              <w:top w:val="single" w:sz="6" w:space="0" w:color="000000"/>
              <w:left w:val="nil"/>
              <w:bottom w:val="single" w:sz="6" w:space="0" w:color="000000"/>
              <w:right w:val="nil"/>
            </w:tcBorders>
            <w:vAlign w:val="center"/>
            <w:hideMark/>
          </w:tcPr>
          <w:p w14:paraId="6D13EEBF" w14:textId="77777777" w:rsidR="00F16E74" w:rsidRPr="0054775B" w:rsidRDefault="00F16E74" w:rsidP="00F16E74">
            <w:pPr>
              <w:pStyle w:val="2024TABLETEXT"/>
              <w:framePr w:hSpace="0" w:wrap="auto" w:vAnchor="margin" w:yAlign="inline"/>
              <w:spacing w:after="120"/>
              <w:ind w:left="87"/>
              <w:suppressOverlap w:val="0"/>
              <w:rPr>
                <w:b/>
                <w:bCs/>
              </w:rPr>
            </w:pPr>
            <w:r w:rsidRPr="0054775B">
              <w:rPr>
                <w:b/>
                <w:bCs/>
              </w:rPr>
              <w:t>Improvement in clinical levels of insomnia</w:t>
            </w:r>
          </w:p>
          <w:p w14:paraId="15D74201" w14:textId="2C12F944" w:rsidR="00F16E74" w:rsidRPr="0054775B" w:rsidRDefault="00F16E74" w:rsidP="00F16E74">
            <w:pPr>
              <w:pStyle w:val="2024TABLETEXT"/>
              <w:framePr w:hSpace="0" w:wrap="auto" w:vAnchor="margin" w:yAlign="inline"/>
              <w:ind w:left="370"/>
              <w:suppressOverlap w:val="0"/>
              <w:rPr>
                <w:b/>
                <w:bCs/>
              </w:rPr>
            </w:pPr>
            <w:r w:rsidRPr="0054775B">
              <w:rPr>
                <w:b/>
                <w:bCs/>
              </w:rPr>
              <w:t xml:space="preserve">Population: </w:t>
            </w:r>
            <w:r w:rsidRPr="0054775B">
              <w:t>Older adults (aged 55 or over) with insomnia</w:t>
            </w:r>
          </w:p>
          <w:p w14:paraId="35D651DB" w14:textId="7125CFAE" w:rsidR="00F16E74" w:rsidRPr="0054775B" w:rsidRDefault="00F16E74" w:rsidP="00F16E74">
            <w:pPr>
              <w:pStyle w:val="2024TABLETEXT"/>
              <w:framePr w:hSpace="0" w:wrap="auto" w:vAnchor="margin" w:yAlign="inline"/>
              <w:ind w:left="370"/>
              <w:suppressOverlap w:val="0"/>
            </w:pPr>
            <w:r w:rsidRPr="0054775B">
              <w:rPr>
                <w:b/>
                <w:bCs/>
              </w:rPr>
              <w:t>Dose:</w:t>
            </w:r>
            <w:r w:rsidRPr="0054775B">
              <w:t xml:space="preserve"> 500mg elemental Magnesium daily</w:t>
            </w:r>
          </w:p>
          <w:p w14:paraId="699CCF7C" w14:textId="796DFDBF" w:rsidR="00F16E74" w:rsidRPr="0054775B" w:rsidRDefault="00F16E74" w:rsidP="00F16E74">
            <w:pPr>
              <w:pStyle w:val="2024TABLETEXT"/>
              <w:framePr w:hSpace="0" w:wrap="auto" w:vAnchor="margin" w:yAlign="inline"/>
              <w:ind w:left="370"/>
              <w:suppressOverlap w:val="0"/>
            </w:pPr>
            <w:r w:rsidRPr="0054775B">
              <w:rPr>
                <w:b/>
                <w:bCs/>
              </w:rPr>
              <w:t xml:space="preserve">Assessed with: </w:t>
            </w:r>
            <w:r w:rsidRPr="0054775B">
              <w:t>ISI (score from 0 to 28; ≥15 = clinical insomnia; lower scores indicate better sleep quality)</w:t>
            </w:r>
          </w:p>
          <w:p w14:paraId="2FA5D488" w14:textId="66816A9A" w:rsidR="00F16E74" w:rsidRPr="0054775B" w:rsidRDefault="00F16E74" w:rsidP="00F16E74">
            <w:pPr>
              <w:pStyle w:val="2024TABLETEXT"/>
              <w:framePr w:hSpace="0" w:wrap="auto" w:vAnchor="margin" w:yAlign="inline"/>
              <w:ind w:left="370"/>
              <w:suppressOverlap w:val="0"/>
              <w:rPr>
                <w:b/>
                <w:bCs/>
              </w:rPr>
            </w:pPr>
            <w:r w:rsidRPr="0054775B">
              <w:rPr>
                <w:b/>
                <w:bCs/>
              </w:rPr>
              <w:t xml:space="preserve">Follow-up: </w:t>
            </w:r>
            <w:r w:rsidRPr="0054775B">
              <w:t>8 weeks</w:t>
            </w:r>
          </w:p>
        </w:tc>
        <w:tc>
          <w:tcPr>
            <w:tcW w:w="450" w:type="pct"/>
            <w:tcBorders>
              <w:top w:val="single" w:sz="6" w:space="0" w:color="000000"/>
              <w:left w:val="nil"/>
              <w:bottom w:val="single" w:sz="6" w:space="0" w:color="000000"/>
              <w:right w:val="nil"/>
            </w:tcBorders>
            <w:vAlign w:val="center"/>
          </w:tcPr>
          <w:p w14:paraId="07D736DB" w14:textId="09AB8FF3" w:rsidR="00F16E74" w:rsidRPr="0054775B" w:rsidRDefault="00F16E74" w:rsidP="00F16E74">
            <w:pPr>
              <w:pStyle w:val="2024TABLETEXT"/>
              <w:framePr w:hSpace="0" w:wrap="auto" w:vAnchor="margin" w:yAlign="inline"/>
              <w:suppressOverlap w:val="0"/>
            </w:pPr>
            <w:r w:rsidRPr="0054775B">
              <w:rPr>
                <w:rFonts w:eastAsiaTheme="minorHAnsi"/>
              </w:rPr>
              <w:t>Mah 2021</w:t>
            </w:r>
          </w:p>
        </w:tc>
        <w:tc>
          <w:tcPr>
            <w:tcW w:w="450" w:type="pct"/>
            <w:tcBorders>
              <w:top w:val="single" w:sz="6" w:space="0" w:color="000000"/>
              <w:left w:val="nil"/>
              <w:bottom w:val="single" w:sz="6" w:space="0" w:color="000000"/>
              <w:right w:val="nil"/>
            </w:tcBorders>
            <w:vAlign w:val="center"/>
          </w:tcPr>
          <w:p w14:paraId="2D27C5A3" w14:textId="228775AD" w:rsidR="00F16E74" w:rsidRPr="0054775B" w:rsidRDefault="00F16E74" w:rsidP="00F16E74">
            <w:pPr>
              <w:pStyle w:val="2024TABLETEXT"/>
              <w:framePr w:hSpace="0" w:wrap="auto" w:vAnchor="margin" w:yAlign="inline"/>
              <w:suppressOverlap w:val="0"/>
              <w:rPr>
                <w:rFonts w:eastAsiaTheme="minorHAnsi"/>
              </w:rPr>
            </w:pPr>
            <w:r w:rsidRPr="0054775B">
              <w:rPr>
                <w:rFonts w:eastAsiaTheme="minorHAnsi"/>
              </w:rPr>
              <w:t>M</w:t>
            </w:r>
            <w:r w:rsidR="001B51B8">
              <w:rPr>
                <w:rFonts w:eastAsiaTheme="minorHAnsi"/>
              </w:rPr>
              <w:t xml:space="preserve">ean </w:t>
            </w:r>
            <w:r w:rsidR="002A522B">
              <w:rPr>
                <w:rFonts w:eastAsiaTheme="minorHAnsi"/>
              </w:rPr>
              <w:t>(SD)</w:t>
            </w:r>
            <w:r w:rsidR="001B51B8">
              <w:rPr>
                <w:rFonts w:eastAsiaTheme="minorHAnsi"/>
              </w:rPr>
              <w:t>chan</w:t>
            </w:r>
            <w:r w:rsidR="00D92D6A">
              <w:rPr>
                <w:rFonts w:eastAsiaTheme="minorHAnsi"/>
              </w:rPr>
              <w:t>ge from baseline</w:t>
            </w:r>
            <w:r w:rsidR="00D17760">
              <w:rPr>
                <w:rFonts w:eastAsiaTheme="minorHAnsi"/>
              </w:rPr>
              <w:t xml:space="preserve"> </w:t>
            </w:r>
            <w:r w:rsidRPr="0054775B">
              <w:rPr>
                <w:rFonts w:eastAsiaTheme="minorHAnsi"/>
              </w:rPr>
              <w:t xml:space="preserve"> = −0.5 </w:t>
            </w:r>
            <w:r w:rsidR="002A522B">
              <w:rPr>
                <w:rFonts w:eastAsiaTheme="minorHAnsi"/>
              </w:rPr>
              <w:t>(</w:t>
            </w:r>
            <w:r w:rsidRPr="0054775B">
              <w:rPr>
                <w:rFonts w:eastAsiaTheme="minorHAnsi"/>
              </w:rPr>
              <w:t>1.71</w:t>
            </w:r>
            <w:r w:rsidR="002A522B">
              <w:rPr>
                <w:rFonts w:eastAsiaTheme="minorHAnsi"/>
              </w:rPr>
              <w:t>)</w:t>
            </w:r>
            <w:r w:rsidR="00A72858" w:rsidRPr="00C400E6">
              <w:rPr>
                <w:rFonts w:cs="Times New Roman"/>
                <w:sz w:val="16"/>
                <w:szCs w:val="21"/>
              </w:rPr>
              <w:t>‡</w:t>
            </w:r>
          </w:p>
        </w:tc>
        <w:tc>
          <w:tcPr>
            <w:tcW w:w="450" w:type="pct"/>
            <w:tcBorders>
              <w:top w:val="single" w:sz="6" w:space="0" w:color="000000"/>
              <w:left w:val="nil"/>
              <w:bottom w:val="single" w:sz="6" w:space="0" w:color="000000"/>
              <w:right w:val="nil"/>
            </w:tcBorders>
            <w:vAlign w:val="center"/>
          </w:tcPr>
          <w:p w14:paraId="7D323744" w14:textId="1199D939" w:rsidR="00F16E74" w:rsidRPr="0054775B" w:rsidRDefault="00D17760" w:rsidP="00F16E74">
            <w:pPr>
              <w:pStyle w:val="2024TABLETEXT"/>
              <w:framePr w:hSpace="0" w:wrap="auto" w:vAnchor="margin" w:yAlign="inline"/>
              <w:suppressOverlap w:val="0"/>
              <w:rPr>
                <w:rFonts w:eastAsiaTheme="minorHAnsi"/>
              </w:rPr>
            </w:pPr>
            <w:r w:rsidRPr="0054775B">
              <w:rPr>
                <w:rFonts w:eastAsiaTheme="minorHAnsi"/>
              </w:rPr>
              <w:t>M</w:t>
            </w:r>
            <w:r>
              <w:rPr>
                <w:rFonts w:eastAsiaTheme="minorHAnsi"/>
              </w:rPr>
              <w:t xml:space="preserve">ean </w:t>
            </w:r>
            <w:r w:rsidR="002A522B">
              <w:rPr>
                <w:rFonts w:eastAsiaTheme="minorHAnsi"/>
              </w:rPr>
              <w:t>(SD)</w:t>
            </w:r>
            <w:r>
              <w:rPr>
                <w:rFonts w:eastAsiaTheme="minorHAnsi"/>
              </w:rPr>
              <w:t>change from baseline (SD)</w:t>
            </w:r>
            <w:r w:rsidRPr="0054775B">
              <w:rPr>
                <w:rFonts w:eastAsiaTheme="minorHAnsi"/>
              </w:rPr>
              <w:t xml:space="preserve"> = </w:t>
            </w:r>
            <w:r w:rsidR="00F16E74" w:rsidRPr="0054775B">
              <w:rPr>
                <w:rFonts w:eastAsiaTheme="minorHAnsi"/>
              </w:rPr>
              <w:t xml:space="preserve">−2.38 </w:t>
            </w:r>
            <w:r w:rsidR="002A522B">
              <w:rPr>
                <w:rFonts w:eastAsiaTheme="minorHAnsi"/>
              </w:rPr>
              <w:t>(</w:t>
            </w:r>
            <w:r w:rsidR="00F16E74" w:rsidRPr="0054775B">
              <w:rPr>
                <w:rFonts w:eastAsiaTheme="minorHAnsi"/>
              </w:rPr>
              <w:t>2.24</w:t>
            </w:r>
            <w:r w:rsidR="002A522B">
              <w:rPr>
                <w:rFonts w:eastAsiaTheme="minorHAnsi"/>
              </w:rPr>
              <w:t>)</w:t>
            </w:r>
            <w:r w:rsidR="00A72858" w:rsidRPr="00C400E6">
              <w:rPr>
                <w:rFonts w:cs="Times New Roman"/>
                <w:sz w:val="16"/>
                <w:szCs w:val="21"/>
              </w:rPr>
              <w:t>‡</w:t>
            </w:r>
          </w:p>
        </w:tc>
        <w:tc>
          <w:tcPr>
            <w:tcW w:w="351" w:type="pct"/>
            <w:tcBorders>
              <w:top w:val="single" w:sz="6" w:space="0" w:color="000000"/>
              <w:left w:val="nil"/>
              <w:bottom w:val="single" w:sz="6" w:space="0" w:color="000000"/>
              <w:right w:val="nil"/>
            </w:tcBorders>
            <w:shd w:val="clear" w:color="auto" w:fill="auto"/>
            <w:vAlign w:val="center"/>
            <w:hideMark/>
          </w:tcPr>
          <w:p w14:paraId="6660340B" w14:textId="0B8CB35E" w:rsidR="00F16E74" w:rsidRPr="0054775B" w:rsidRDefault="005740E1" w:rsidP="00F16E74">
            <w:pPr>
              <w:pStyle w:val="2024TABLETEXT"/>
              <w:framePr w:hSpace="0" w:wrap="auto" w:vAnchor="margin" w:yAlign="inline"/>
              <w:suppressOverlap w:val="0"/>
              <w:rPr>
                <w:b/>
                <w:bCs/>
              </w:rPr>
            </w:pPr>
            <w:r>
              <w:t>-</w:t>
            </w:r>
          </w:p>
        </w:tc>
        <w:tc>
          <w:tcPr>
            <w:tcW w:w="450" w:type="pct"/>
            <w:tcBorders>
              <w:top w:val="single" w:sz="6" w:space="0" w:color="000000"/>
              <w:left w:val="nil"/>
              <w:bottom w:val="single" w:sz="6" w:space="0" w:color="000000"/>
              <w:right w:val="nil"/>
            </w:tcBorders>
            <w:vAlign w:val="center"/>
            <w:hideMark/>
          </w:tcPr>
          <w:p w14:paraId="13B96496" w14:textId="2032B16A" w:rsidR="00F16E74" w:rsidRPr="0054775B" w:rsidRDefault="00F16E74" w:rsidP="00F16E74">
            <w:pPr>
              <w:pStyle w:val="2024TABLETEXT"/>
              <w:framePr w:hSpace="0" w:wrap="auto" w:vAnchor="margin" w:yAlign="inline"/>
              <w:suppressOverlap w:val="0"/>
            </w:pPr>
            <w:r w:rsidRPr="0054775B">
              <w:t>43 (1)</w:t>
            </w:r>
          </w:p>
        </w:tc>
        <w:tc>
          <w:tcPr>
            <w:tcW w:w="400" w:type="pct"/>
            <w:tcBorders>
              <w:top w:val="single" w:sz="6" w:space="0" w:color="000000"/>
              <w:left w:val="nil"/>
              <w:bottom w:val="single" w:sz="6" w:space="0" w:color="000000"/>
              <w:right w:val="nil"/>
            </w:tcBorders>
            <w:vAlign w:val="center"/>
            <w:hideMark/>
          </w:tcPr>
          <w:p w14:paraId="4A54991F" w14:textId="67284330" w:rsidR="00F16E74" w:rsidRPr="0054775B" w:rsidRDefault="00F16E74" w:rsidP="00F16E74">
            <w:pPr>
              <w:pStyle w:val="2024TABLETEXT"/>
              <w:framePr w:hSpace="0" w:wrap="auto" w:vAnchor="margin" w:yAlign="inline"/>
              <w:suppressOverlap w:val="0"/>
              <w:rPr>
                <w:rStyle w:val="FootnoteReference"/>
                <w:caps/>
                <w:highlight w:val="yellow"/>
              </w:rPr>
            </w:pPr>
            <w:r w:rsidRPr="0054775B">
              <w:rPr>
                <w:rFonts w:ascii="Cambria Math" w:hAnsi="Cambria Math" w:cs="Cambria Math"/>
                <w:sz w:val="22"/>
                <w:szCs w:val="22"/>
              </w:rPr>
              <w:t>⨁</w:t>
            </w:r>
            <w:r w:rsidRPr="0054775B">
              <w:rPr>
                <w:rFonts w:ascii="Segoe UI Symbol" w:hAnsi="Segoe UI Symbol" w:cs="Segoe UI Symbol"/>
              </w:rPr>
              <w:t>◯◯◯</w:t>
            </w:r>
            <w:r w:rsidRPr="0054775B">
              <w:br/>
              <w:t>VERY LOW</w:t>
            </w:r>
            <w:r w:rsidRPr="0054775B">
              <w:rPr>
                <w:rStyle w:val="FootnoteReference"/>
              </w:rPr>
              <w:t xml:space="preserve"> a</w:t>
            </w:r>
          </w:p>
        </w:tc>
        <w:tc>
          <w:tcPr>
            <w:tcW w:w="998" w:type="pct"/>
            <w:tcBorders>
              <w:top w:val="single" w:sz="6" w:space="0" w:color="000000"/>
              <w:left w:val="nil"/>
              <w:bottom w:val="single" w:sz="6" w:space="0" w:color="000000"/>
              <w:right w:val="nil"/>
            </w:tcBorders>
            <w:vAlign w:val="center"/>
            <w:hideMark/>
          </w:tcPr>
          <w:p w14:paraId="2A8310CE" w14:textId="0F647A4A" w:rsidR="00F16E74" w:rsidRPr="0054775B" w:rsidRDefault="00F16E74" w:rsidP="00F16E74">
            <w:pPr>
              <w:pStyle w:val="2024TABLETEXT"/>
              <w:framePr w:hSpace="0" w:wrap="auto" w:vAnchor="margin" w:yAlign="inline"/>
              <w:suppressOverlap w:val="0"/>
              <w:rPr>
                <w:highlight w:val="yellow"/>
              </w:rPr>
            </w:pPr>
            <w:r w:rsidRPr="0054775B">
              <w:t>The evidence is very uncertain about the effect of magnesium on improvement in clinical levels of insomnia for people with insomnia or sleep disorders.</w:t>
            </w:r>
          </w:p>
        </w:tc>
      </w:tr>
      <w:tr w:rsidR="00041F3A" w:rsidRPr="0054775B" w14:paraId="4186FA47" w14:textId="77777777" w:rsidTr="00041F3A">
        <w:trPr>
          <w:cantSplit/>
        </w:trPr>
        <w:tc>
          <w:tcPr>
            <w:tcW w:w="300" w:type="pct"/>
            <w:tcBorders>
              <w:top w:val="single" w:sz="6" w:space="0" w:color="000000"/>
              <w:left w:val="nil"/>
              <w:bottom w:val="single" w:sz="6" w:space="0" w:color="000000"/>
              <w:right w:val="nil"/>
            </w:tcBorders>
            <w:vAlign w:val="center"/>
          </w:tcPr>
          <w:p w14:paraId="09E2541A" w14:textId="58AE2F00" w:rsidR="00551945" w:rsidRPr="0054775B" w:rsidRDefault="00551945" w:rsidP="00551945">
            <w:pPr>
              <w:pStyle w:val="2024TABLETEXT"/>
              <w:framePr w:hSpace="0" w:wrap="auto" w:vAnchor="margin" w:yAlign="inline"/>
              <w:suppressOverlap w:val="0"/>
              <w:jc w:val="center"/>
            </w:pPr>
            <w:r w:rsidRPr="0054775B">
              <w:t>8</w:t>
            </w:r>
          </w:p>
        </w:tc>
        <w:tc>
          <w:tcPr>
            <w:tcW w:w="1151" w:type="pct"/>
            <w:tcBorders>
              <w:top w:val="single" w:sz="6" w:space="0" w:color="000000"/>
              <w:left w:val="nil"/>
              <w:bottom w:val="single" w:sz="6" w:space="0" w:color="000000"/>
              <w:right w:val="nil"/>
            </w:tcBorders>
            <w:vAlign w:val="center"/>
          </w:tcPr>
          <w:p w14:paraId="5E769CEE" w14:textId="77777777" w:rsidR="00551945" w:rsidRPr="0054775B" w:rsidRDefault="00551945" w:rsidP="00551945">
            <w:pPr>
              <w:pStyle w:val="2024TABLETEXT"/>
              <w:framePr w:hSpace="0" w:wrap="auto" w:vAnchor="margin" w:yAlign="inline"/>
              <w:spacing w:after="120"/>
              <w:ind w:left="87"/>
              <w:suppressOverlap w:val="0"/>
              <w:rPr>
                <w:b/>
                <w:bCs/>
              </w:rPr>
            </w:pPr>
            <w:r w:rsidRPr="0054775B">
              <w:rPr>
                <w:b/>
                <w:bCs/>
              </w:rPr>
              <w:t>Global improvement in sleep quality or quantity (subjective)</w:t>
            </w:r>
          </w:p>
          <w:p w14:paraId="076F2D15" w14:textId="77777777" w:rsidR="00551945" w:rsidRPr="0054775B" w:rsidRDefault="00551945" w:rsidP="00551945">
            <w:pPr>
              <w:pStyle w:val="2024TABLETEXT"/>
              <w:framePr w:hSpace="0" w:wrap="auto" w:vAnchor="margin" w:yAlign="inline"/>
              <w:ind w:left="370"/>
              <w:suppressOverlap w:val="0"/>
              <w:rPr>
                <w:b/>
                <w:bCs/>
              </w:rPr>
            </w:pPr>
            <w:r w:rsidRPr="0054775B">
              <w:rPr>
                <w:b/>
                <w:bCs/>
              </w:rPr>
              <w:t xml:space="preserve">Population: </w:t>
            </w:r>
            <w:r w:rsidRPr="0054775B">
              <w:t>Older adults (aged 55 or over) with insomnia</w:t>
            </w:r>
          </w:p>
          <w:p w14:paraId="4F213134" w14:textId="77777777" w:rsidR="00551945" w:rsidRPr="0054775B" w:rsidRDefault="00551945" w:rsidP="00551945">
            <w:pPr>
              <w:pStyle w:val="2024TABLETEXT"/>
              <w:framePr w:hSpace="0" w:wrap="auto" w:vAnchor="margin" w:yAlign="inline"/>
              <w:ind w:left="370"/>
              <w:suppressOverlap w:val="0"/>
            </w:pPr>
            <w:r w:rsidRPr="0054775B">
              <w:rPr>
                <w:b/>
                <w:bCs/>
              </w:rPr>
              <w:t>Dose:</w:t>
            </w:r>
            <w:r w:rsidRPr="0054775B">
              <w:t xml:space="preserve"> 320mg elemental Magnesium daily</w:t>
            </w:r>
          </w:p>
          <w:p w14:paraId="47698908" w14:textId="32D6593A" w:rsidR="00551945" w:rsidRPr="0054775B" w:rsidRDefault="00551945" w:rsidP="00551945">
            <w:pPr>
              <w:pStyle w:val="2024TABLETEXT"/>
              <w:framePr w:hSpace="0" w:wrap="auto" w:vAnchor="margin" w:yAlign="inline"/>
              <w:ind w:left="370"/>
              <w:suppressOverlap w:val="0"/>
            </w:pPr>
            <w:r w:rsidRPr="0054775B">
              <w:rPr>
                <w:b/>
                <w:bCs/>
              </w:rPr>
              <w:t>Assessed with:</w:t>
            </w:r>
            <w:r w:rsidRPr="0054775B">
              <w:t xml:space="preserve"> PSQI (scored from 0 to 21; ≥5 = poor sleeper)</w:t>
            </w:r>
          </w:p>
          <w:p w14:paraId="4AC12730" w14:textId="36BADC63" w:rsidR="00551945" w:rsidRPr="0054775B" w:rsidRDefault="00551945" w:rsidP="00551945">
            <w:pPr>
              <w:pStyle w:val="2024TABLETEXT"/>
              <w:framePr w:hSpace="0" w:wrap="auto" w:vAnchor="margin" w:yAlign="inline"/>
              <w:ind w:left="370"/>
              <w:suppressOverlap w:val="0"/>
            </w:pPr>
            <w:r w:rsidRPr="0054775B">
              <w:rPr>
                <w:b/>
                <w:bCs/>
              </w:rPr>
              <w:t xml:space="preserve">Follow-up: </w:t>
            </w:r>
            <w:r w:rsidRPr="0054775B">
              <w:t>8 weeks</w:t>
            </w:r>
          </w:p>
        </w:tc>
        <w:tc>
          <w:tcPr>
            <w:tcW w:w="450" w:type="pct"/>
            <w:tcBorders>
              <w:top w:val="single" w:sz="6" w:space="0" w:color="000000"/>
              <w:left w:val="nil"/>
              <w:bottom w:val="single" w:sz="6" w:space="0" w:color="000000"/>
              <w:right w:val="nil"/>
            </w:tcBorders>
            <w:vAlign w:val="center"/>
          </w:tcPr>
          <w:p w14:paraId="6F093530" w14:textId="04720921" w:rsidR="00551945" w:rsidRPr="0054775B" w:rsidRDefault="00551945" w:rsidP="00551945">
            <w:pPr>
              <w:pStyle w:val="2024TABLETEXT"/>
              <w:framePr w:hSpace="0" w:wrap="auto" w:vAnchor="margin" w:yAlign="inline"/>
              <w:suppressOverlap w:val="0"/>
            </w:pPr>
            <w:r w:rsidRPr="0054775B">
              <w:rPr>
                <w:rFonts w:eastAsiaTheme="minorHAnsi"/>
              </w:rPr>
              <w:t>Mah 2021</w:t>
            </w:r>
          </w:p>
        </w:tc>
        <w:tc>
          <w:tcPr>
            <w:tcW w:w="450" w:type="pct"/>
            <w:tcBorders>
              <w:top w:val="single" w:sz="6" w:space="0" w:color="000000"/>
              <w:left w:val="nil"/>
              <w:bottom w:val="single" w:sz="6" w:space="0" w:color="000000"/>
              <w:right w:val="nil"/>
            </w:tcBorders>
            <w:vAlign w:val="center"/>
          </w:tcPr>
          <w:p w14:paraId="2AC11C80" w14:textId="42C94902" w:rsidR="00551945" w:rsidRPr="0054775B" w:rsidRDefault="00D17760" w:rsidP="00551945">
            <w:pPr>
              <w:pStyle w:val="2024TABLETEXT"/>
              <w:framePr w:hSpace="0" w:wrap="auto" w:vAnchor="margin" w:yAlign="inline"/>
              <w:suppressOverlap w:val="0"/>
              <w:rPr>
                <w:rFonts w:eastAsiaTheme="minorHAnsi"/>
              </w:rPr>
            </w:pPr>
            <w:r w:rsidRPr="0054775B">
              <w:rPr>
                <w:rFonts w:eastAsiaTheme="minorHAnsi"/>
              </w:rPr>
              <w:t>M</w:t>
            </w:r>
            <w:r>
              <w:rPr>
                <w:rFonts w:eastAsiaTheme="minorHAnsi"/>
              </w:rPr>
              <w:t xml:space="preserve">ean </w:t>
            </w:r>
            <w:r w:rsidR="002A522B">
              <w:rPr>
                <w:rFonts w:eastAsiaTheme="minorHAnsi"/>
              </w:rPr>
              <w:t>(SD)</w:t>
            </w:r>
            <w:r>
              <w:rPr>
                <w:rFonts w:eastAsiaTheme="minorHAnsi"/>
              </w:rPr>
              <w:t>change from baseline)</w:t>
            </w:r>
            <w:r w:rsidRPr="0054775B">
              <w:rPr>
                <w:rFonts w:eastAsiaTheme="minorHAnsi"/>
              </w:rPr>
              <w:t xml:space="preserve"> = </w:t>
            </w:r>
            <w:r w:rsidR="00551945" w:rsidRPr="0054775B">
              <w:rPr>
                <w:rFonts w:eastAsiaTheme="minorHAnsi"/>
              </w:rPr>
              <w:t>−4.1 (NR)</w:t>
            </w:r>
            <w:r w:rsidR="00A72858" w:rsidRPr="00A72858">
              <w:rPr>
                <w:rFonts w:eastAsiaTheme="minorHAnsi"/>
              </w:rPr>
              <w:t>†</w:t>
            </w:r>
          </w:p>
        </w:tc>
        <w:tc>
          <w:tcPr>
            <w:tcW w:w="450" w:type="pct"/>
            <w:tcBorders>
              <w:top w:val="single" w:sz="6" w:space="0" w:color="000000"/>
              <w:left w:val="nil"/>
              <w:bottom w:val="single" w:sz="6" w:space="0" w:color="000000"/>
              <w:right w:val="nil"/>
            </w:tcBorders>
            <w:vAlign w:val="center"/>
          </w:tcPr>
          <w:p w14:paraId="3688CE00" w14:textId="10FE9E9D" w:rsidR="00551945" w:rsidRPr="0054775B" w:rsidRDefault="00D17760" w:rsidP="00551945">
            <w:pPr>
              <w:pStyle w:val="2024TABLETEXT"/>
              <w:framePr w:hSpace="0" w:wrap="auto" w:vAnchor="margin" w:yAlign="inline"/>
              <w:suppressOverlap w:val="0"/>
              <w:rPr>
                <w:rFonts w:eastAsiaTheme="minorHAnsi"/>
              </w:rPr>
            </w:pPr>
            <w:r w:rsidRPr="0054775B">
              <w:rPr>
                <w:rFonts w:eastAsiaTheme="minorHAnsi"/>
              </w:rPr>
              <w:t>M</w:t>
            </w:r>
            <w:r>
              <w:rPr>
                <w:rFonts w:eastAsiaTheme="minorHAnsi"/>
              </w:rPr>
              <w:t xml:space="preserve">ean </w:t>
            </w:r>
            <w:r w:rsidR="002A522B">
              <w:rPr>
                <w:rFonts w:eastAsiaTheme="minorHAnsi"/>
              </w:rPr>
              <w:t xml:space="preserve">(SD) </w:t>
            </w:r>
            <w:r>
              <w:rPr>
                <w:rFonts w:eastAsiaTheme="minorHAnsi"/>
              </w:rPr>
              <w:t xml:space="preserve">change from baseline </w:t>
            </w:r>
            <w:r w:rsidRPr="0054775B">
              <w:rPr>
                <w:rFonts w:eastAsiaTheme="minorHAnsi"/>
              </w:rPr>
              <w:t xml:space="preserve"> = </w:t>
            </w:r>
            <w:r w:rsidR="00551945" w:rsidRPr="0054775B">
              <w:rPr>
                <w:rFonts w:eastAsiaTheme="minorHAnsi"/>
              </w:rPr>
              <w:t>−3.4 (NR)</w:t>
            </w:r>
            <w:r w:rsidR="00A72858" w:rsidRPr="00A72858">
              <w:rPr>
                <w:rFonts w:eastAsiaTheme="minorHAnsi"/>
              </w:rPr>
              <w:t>†</w:t>
            </w:r>
          </w:p>
        </w:tc>
        <w:tc>
          <w:tcPr>
            <w:tcW w:w="351" w:type="pct"/>
            <w:tcBorders>
              <w:top w:val="single" w:sz="6" w:space="0" w:color="000000"/>
              <w:left w:val="nil"/>
              <w:bottom w:val="single" w:sz="6" w:space="0" w:color="000000"/>
              <w:right w:val="nil"/>
            </w:tcBorders>
            <w:shd w:val="clear" w:color="auto" w:fill="auto"/>
            <w:vAlign w:val="center"/>
          </w:tcPr>
          <w:p w14:paraId="4F4A6560" w14:textId="686D3257" w:rsidR="00551945" w:rsidRPr="0054775B" w:rsidRDefault="005740E1" w:rsidP="00551945">
            <w:pPr>
              <w:pStyle w:val="2024TABLETEXT"/>
              <w:framePr w:hSpace="0" w:wrap="auto" w:vAnchor="margin" w:yAlign="inline"/>
              <w:suppressOverlap w:val="0"/>
            </w:pPr>
            <w:r>
              <w:t>-</w:t>
            </w:r>
          </w:p>
        </w:tc>
        <w:tc>
          <w:tcPr>
            <w:tcW w:w="450" w:type="pct"/>
            <w:tcBorders>
              <w:top w:val="single" w:sz="6" w:space="0" w:color="000000"/>
              <w:left w:val="nil"/>
              <w:bottom w:val="single" w:sz="6" w:space="0" w:color="000000"/>
              <w:right w:val="nil"/>
            </w:tcBorders>
            <w:vAlign w:val="center"/>
          </w:tcPr>
          <w:p w14:paraId="74200623" w14:textId="1F828D9F" w:rsidR="00551945" w:rsidRPr="0054775B" w:rsidRDefault="00551945" w:rsidP="00551945">
            <w:pPr>
              <w:pStyle w:val="2024TABLETEXT"/>
              <w:framePr w:hSpace="0" w:wrap="auto" w:vAnchor="margin" w:yAlign="inline"/>
              <w:suppressOverlap w:val="0"/>
            </w:pPr>
            <w:r w:rsidRPr="0054775B">
              <w:t>96 (1)</w:t>
            </w:r>
          </w:p>
        </w:tc>
        <w:tc>
          <w:tcPr>
            <w:tcW w:w="400" w:type="pct"/>
            <w:tcBorders>
              <w:top w:val="single" w:sz="6" w:space="0" w:color="000000"/>
              <w:left w:val="nil"/>
              <w:bottom w:val="single" w:sz="6" w:space="0" w:color="000000"/>
              <w:right w:val="nil"/>
            </w:tcBorders>
            <w:vAlign w:val="center"/>
          </w:tcPr>
          <w:p w14:paraId="0B986CFF" w14:textId="1B1A80A6" w:rsidR="00551945" w:rsidRPr="0054775B" w:rsidRDefault="00551945" w:rsidP="00551945">
            <w:pPr>
              <w:pStyle w:val="2024TABLETEXT"/>
              <w:framePr w:hSpace="0" w:wrap="auto" w:vAnchor="margin" w:yAlign="inline"/>
              <w:suppressOverlap w:val="0"/>
              <w:rPr>
                <w:highlight w:val="yellow"/>
              </w:rPr>
            </w:pPr>
            <w:r w:rsidRPr="0054775B">
              <w:rPr>
                <w:rFonts w:ascii="Cambria Math" w:hAnsi="Cambria Math" w:cs="Cambria Math"/>
                <w:sz w:val="22"/>
                <w:szCs w:val="22"/>
              </w:rPr>
              <w:t>⨁</w:t>
            </w:r>
            <w:r w:rsidRPr="0054775B">
              <w:rPr>
                <w:rFonts w:ascii="Segoe UI Symbol" w:hAnsi="Segoe UI Symbol" w:cs="Segoe UI Symbol"/>
              </w:rPr>
              <w:t>◯◯◯</w:t>
            </w:r>
            <w:r w:rsidRPr="0054775B">
              <w:br/>
              <w:t>VERY LOW</w:t>
            </w:r>
            <w:r w:rsidRPr="0054775B">
              <w:rPr>
                <w:rStyle w:val="FootnoteReference"/>
              </w:rPr>
              <w:t xml:space="preserve"> b</w:t>
            </w:r>
          </w:p>
        </w:tc>
        <w:tc>
          <w:tcPr>
            <w:tcW w:w="998" w:type="pct"/>
            <w:tcBorders>
              <w:top w:val="single" w:sz="6" w:space="0" w:color="000000"/>
              <w:left w:val="nil"/>
              <w:bottom w:val="single" w:sz="6" w:space="0" w:color="000000"/>
              <w:right w:val="nil"/>
            </w:tcBorders>
            <w:vAlign w:val="center"/>
          </w:tcPr>
          <w:p w14:paraId="719A24E9" w14:textId="465778E4" w:rsidR="00551945" w:rsidRPr="0054775B" w:rsidRDefault="00551945" w:rsidP="00551945">
            <w:pPr>
              <w:pStyle w:val="2024TABLETEXT"/>
              <w:framePr w:hSpace="0" w:wrap="auto" w:vAnchor="margin" w:yAlign="inline"/>
              <w:suppressOverlap w:val="0"/>
              <w:rPr>
                <w:highlight w:val="yellow"/>
              </w:rPr>
            </w:pPr>
            <w:r w:rsidRPr="0054775B">
              <w:t>The evidence is very uncertain about the effect of magnesium on subjective global improvement in sleep quality or quantity for insomnia or sleep disorders.</w:t>
            </w:r>
          </w:p>
        </w:tc>
      </w:tr>
      <w:tr w:rsidR="00041F3A" w:rsidRPr="0054775B" w14:paraId="0B8CCB20" w14:textId="77777777" w:rsidTr="00041F3A">
        <w:trPr>
          <w:cantSplit/>
          <w:trHeight w:val="186"/>
        </w:trPr>
        <w:tc>
          <w:tcPr>
            <w:tcW w:w="300" w:type="pct"/>
            <w:tcBorders>
              <w:top w:val="single" w:sz="6" w:space="0" w:color="000000"/>
              <w:left w:val="nil"/>
              <w:bottom w:val="single" w:sz="6" w:space="0" w:color="000000"/>
              <w:right w:val="nil"/>
            </w:tcBorders>
            <w:vAlign w:val="center"/>
          </w:tcPr>
          <w:p w14:paraId="723C4464" w14:textId="21898585" w:rsidR="00EB161C" w:rsidRPr="0054775B" w:rsidRDefault="00EB161C" w:rsidP="00761AFF">
            <w:pPr>
              <w:pStyle w:val="2024TABLETEXT"/>
              <w:framePr w:hSpace="0" w:wrap="auto" w:vAnchor="margin" w:yAlign="inline"/>
              <w:suppressOverlap w:val="0"/>
              <w:jc w:val="center"/>
            </w:pPr>
            <w:r w:rsidRPr="0054775B">
              <w:t>8</w:t>
            </w:r>
          </w:p>
        </w:tc>
        <w:tc>
          <w:tcPr>
            <w:tcW w:w="1151" w:type="pct"/>
            <w:tcBorders>
              <w:top w:val="single" w:sz="6" w:space="0" w:color="000000"/>
              <w:left w:val="nil"/>
              <w:bottom w:val="single" w:sz="6" w:space="0" w:color="000000"/>
              <w:right w:val="nil"/>
            </w:tcBorders>
            <w:vAlign w:val="center"/>
          </w:tcPr>
          <w:p w14:paraId="0D189EED" w14:textId="59030B46" w:rsidR="00EB161C" w:rsidRPr="0054775B" w:rsidRDefault="00EB161C" w:rsidP="006502EA">
            <w:pPr>
              <w:pStyle w:val="2024TABLETEXT"/>
              <w:framePr w:hSpace="0" w:wrap="auto" w:vAnchor="margin" w:yAlign="inline"/>
              <w:suppressOverlap w:val="0"/>
              <w:rPr>
                <w:b/>
                <w:bCs/>
              </w:rPr>
            </w:pPr>
            <w:r w:rsidRPr="0054775B">
              <w:rPr>
                <w:b/>
                <w:bCs/>
              </w:rPr>
              <w:t>Global improvement in sleep quality or quantity (objective)</w:t>
            </w:r>
          </w:p>
        </w:tc>
        <w:tc>
          <w:tcPr>
            <w:tcW w:w="450" w:type="pct"/>
            <w:tcBorders>
              <w:top w:val="single" w:sz="6" w:space="0" w:color="000000"/>
              <w:left w:val="nil"/>
              <w:bottom w:val="single" w:sz="6" w:space="0" w:color="000000"/>
              <w:right w:val="nil"/>
            </w:tcBorders>
            <w:vAlign w:val="center"/>
          </w:tcPr>
          <w:p w14:paraId="0495A179" w14:textId="77777777" w:rsidR="00EB161C" w:rsidRPr="0054775B" w:rsidRDefault="00EB161C" w:rsidP="006502EA">
            <w:pPr>
              <w:pStyle w:val="2024TABLETEXT"/>
              <w:framePr w:hSpace="0" w:wrap="auto" w:vAnchor="margin" w:yAlign="inline"/>
              <w:suppressOverlap w:val="0"/>
            </w:pPr>
            <w:r w:rsidRPr="0054775B">
              <w:t>-</w:t>
            </w:r>
          </w:p>
        </w:tc>
        <w:tc>
          <w:tcPr>
            <w:tcW w:w="450" w:type="pct"/>
            <w:tcBorders>
              <w:top w:val="single" w:sz="6" w:space="0" w:color="000000"/>
              <w:left w:val="nil"/>
              <w:bottom w:val="single" w:sz="6" w:space="0" w:color="000000"/>
              <w:right w:val="nil"/>
            </w:tcBorders>
            <w:vAlign w:val="center"/>
          </w:tcPr>
          <w:p w14:paraId="159973A0" w14:textId="29A3A6FD" w:rsidR="00EB161C" w:rsidRPr="0054775B" w:rsidRDefault="00EB161C" w:rsidP="006502EA">
            <w:pPr>
              <w:pStyle w:val="2024TABLETEXT"/>
              <w:framePr w:hSpace="0" w:wrap="auto" w:vAnchor="margin" w:yAlign="inline"/>
              <w:suppressOverlap w:val="0"/>
            </w:pPr>
            <w:r w:rsidRPr="0054775B">
              <w:t>-</w:t>
            </w:r>
          </w:p>
        </w:tc>
        <w:tc>
          <w:tcPr>
            <w:tcW w:w="450" w:type="pct"/>
            <w:tcBorders>
              <w:top w:val="single" w:sz="6" w:space="0" w:color="000000"/>
              <w:left w:val="nil"/>
              <w:bottom w:val="single" w:sz="6" w:space="0" w:color="000000"/>
              <w:right w:val="nil"/>
            </w:tcBorders>
            <w:vAlign w:val="center"/>
          </w:tcPr>
          <w:p w14:paraId="4FEB5AAB" w14:textId="064A00E5" w:rsidR="00EB161C" w:rsidRPr="0054775B" w:rsidRDefault="00EB161C" w:rsidP="006502EA">
            <w:pPr>
              <w:pStyle w:val="2024TABLETEXT"/>
              <w:framePr w:hSpace="0" w:wrap="auto" w:vAnchor="margin" w:yAlign="inline"/>
              <w:suppressOverlap w:val="0"/>
            </w:pPr>
            <w:r w:rsidRPr="0054775B">
              <w:t>-</w:t>
            </w:r>
          </w:p>
        </w:tc>
        <w:tc>
          <w:tcPr>
            <w:tcW w:w="351" w:type="pct"/>
            <w:tcBorders>
              <w:top w:val="single" w:sz="6" w:space="0" w:color="000000"/>
              <w:left w:val="nil"/>
              <w:bottom w:val="single" w:sz="6" w:space="0" w:color="000000"/>
              <w:right w:val="nil"/>
            </w:tcBorders>
            <w:shd w:val="clear" w:color="auto" w:fill="auto"/>
            <w:vAlign w:val="center"/>
          </w:tcPr>
          <w:p w14:paraId="7B605B59" w14:textId="43091EB2" w:rsidR="00EB161C" w:rsidRPr="0054775B" w:rsidRDefault="00EB161C" w:rsidP="006502EA">
            <w:pPr>
              <w:pStyle w:val="2024TABLETEXT"/>
              <w:framePr w:hSpace="0" w:wrap="auto" w:vAnchor="margin" w:yAlign="inline"/>
              <w:suppressOverlap w:val="0"/>
            </w:pPr>
            <w:r w:rsidRPr="0054775B">
              <w:t>-</w:t>
            </w:r>
          </w:p>
        </w:tc>
        <w:tc>
          <w:tcPr>
            <w:tcW w:w="450" w:type="pct"/>
            <w:tcBorders>
              <w:top w:val="single" w:sz="6" w:space="0" w:color="000000"/>
              <w:left w:val="nil"/>
              <w:bottom w:val="single" w:sz="6" w:space="0" w:color="000000"/>
              <w:right w:val="nil"/>
            </w:tcBorders>
            <w:vAlign w:val="center"/>
          </w:tcPr>
          <w:p w14:paraId="3A9D4E9B" w14:textId="77777777" w:rsidR="00EB161C" w:rsidRPr="0054775B" w:rsidRDefault="00EB161C" w:rsidP="006502EA">
            <w:pPr>
              <w:pStyle w:val="2024TABLETEXT"/>
              <w:framePr w:hSpace="0" w:wrap="auto" w:vAnchor="margin" w:yAlign="inline"/>
              <w:suppressOverlap w:val="0"/>
            </w:pPr>
            <w:r w:rsidRPr="0054775B">
              <w:t>-</w:t>
            </w:r>
          </w:p>
        </w:tc>
        <w:tc>
          <w:tcPr>
            <w:tcW w:w="400" w:type="pct"/>
            <w:tcBorders>
              <w:top w:val="single" w:sz="6" w:space="0" w:color="000000"/>
              <w:left w:val="nil"/>
              <w:bottom w:val="single" w:sz="6" w:space="0" w:color="000000"/>
              <w:right w:val="nil"/>
            </w:tcBorders>
            <w:vAlign w:val="center"/>
          </w:tcPr>
          <w:p w14:paraId="3FDD7217" w14:textId="77777777" w:rsidR="00EB161C" w:rsidRPr="0054775B" w:rsidRDefault="00EB161C" w:rsidP="006502EA">
            <w:pPr>
              <w:pStyle w:val="2024TABLETEXT"/>
              <w:framePr w:hSpace="0" w:wrap="auto" w:vAnchor="margin" w:yAlign="inline"/>
              <w:suppressOverlap w:val="0"/>
            </w:pPr>
            <w:r w:rsidRPr="0054775B">
              <w:t>-</w:t>
            </w:r>
          </w:p>
        </w:tc>
        <w:tc>
          <w:tcPr>
            <w:tcW w:w="998" w:type="pct"/>
            <w:tcBorders>
              <w:top w:val="single" w:sz="6" w:space="0" w:color="000000"/>
              <w:left w:val="nil"/>
              <w:bottom w:val="single" w:sz="6" w:space="0" w:color="000000"/>
              <w:right w:val="nil"/>
            </w:tcBorders>
            <w:vAlign w:val="center"/>
          </w:tcPr>
          <w:p w14:paraId="2D6EB7C5" w14:textId="1E6015B9" w:rsidR="00EB161C" w:rsidRPr="0054775B" w:rsidRDefault="00EB161C" w:rsidP="006502EA">
            <w:pPr>
              <w:pStyle w:val="2024TABLETEXT"/>
              <w:framePr w:hSpace="0" w:wrap="auto" w:vAnchor="margin" w:yAlign="inline"/>
              <w:suppressOverlap w:val="0"/>
            </w:pPr>
            <w:r w:rsidRPr="0054775B">
              <w:t xml:space="preserve">No </w:t>
            </w:r>
            <w:r w:rsidR="00417802">
              <w:t>reviews</w:t>
            </w:r>
            <w:r w:rsidR="00417802" w:rsidRPr="0054775B">
              <w:t xml:space="preserve"> </w:t>
            </w:r>
            <w:r w:rsidRPr="0054775B">
              <w:t>found. The effect of magnesium on objective global improvement in sleep quality or quantity for insomnia</w:t>
            </w:r>
            <w:r w:rsidR="00323066" w:rsidRPr="0054775B">
              <w:t xml:space="preserve"> or sleep disorders</w:t>
            </w:r>
            <w:r w:rsidR="00B3604A" w:rsidRPr="0054775B">
              <w:t xml:space="preserve"> is unknown</w:t>
            </w:r>
            <w:r w:rsidR="00323066" w:rsidRPr="0054775B">
              <w:t>.</w:t>
            </w:r>
          </w:p>
        </w:tc>
      </w:tr>
      <w:tr w:rsidR="00E1521F" w:rsidRPr="0054775B" w14:paraId="6CB5ED50" w14:textId="77777777" w:rsidTr="00EF20E5">
        <w:trPr>
          <w:cantSplit/>
        </w:trPr>
        <w:tc>
          <w:tcPr>
            <w:tcW w:w="300" w:type="pct"/>
            <w:vMerge w:val="restart"/>
            <w:tcBorders>
              <w:top w:val="single" w:sz="6" w:space="0" w:color="000000"/>
              <w:left w:val="nil"/>
              <w:right w:val="nil"/>
            </w:tcBorders>
            <w:vAlign w:val="center"/>
          </w:tcPr>
          <w:p w14:paraId="335933D6" w14:textId="69887434" w:rsidR="00323066" w:rsidRPr="0054775B" w:rsidRDefault="00323066" w:rsidP="00761AFF">
            <w:pPr>
              <w:pStyle w:val="2024TABLETEXT"/>
              <w:framePr w:hSpace="0" w:wrap="auto" w:vAnchor="margin" w:yAlign="inline"/>
              <w:suppressOverlap w:val="0"/>
              <w:jc w:val="center"/>
            </w:pPr>
            <w:r w:rsidRPr="0054775B">
              <w:t>8</w:t>
            </w:r>
          </w:p>
        </w:tc>
        <w:tc>
          <w:tcPr>
            <w:tcW w:w="4700" w:type="pct"/>
            <w:gridSpan w:val="8"/>
            <w:tcBorders>
              <w:top w:val="single" w:sz="6" w:space="0" w:color="000000"/>
              <w:left w:val="nil"/>
              <w:bottom w:val="single" w:sz="6" w:space="0" w:color="000000"/>
              <w:right w:val="nil"/>
            </w:tcBorders>
            <w:vAlign w:val="center"/>
          </w:tcPr>
          <w:p w14:paraId="6240D846" w14:textId="77A83951" w:rsidR="00323066" w:rsidRPr="0054775B" w:rsidRDefault="00DA04B9" w:rsidP="006502EA">
            <w:pPr>
              <w:pStyle w:val="2024TABLETEXT"/>
              <w:framePr w:hSpace="0" w:wrap="auto" w:vAnchor="margin" w:yAlign="inline"/>
              <w:suppressOverlap w:val="0"/>
              <w:rPr>
                <w:highlight w:val="yellow"/>
              </w:rPr>
            </w:pPr>
            <w:r w:rsidRPr="0054775B">
              <w:rPr>
                <w:b/>
                <w:bCs/>
              </w:rPr>
              <w:t>Improvement in individual sleep parameters</w:t>
            </w:r>
          </w:p>
        </w:tc>
      </w:tr>
      <w:tr w:rsidR="00041F3A" w:rsidRPr="0054775B" w14:paraId="7C367AAF" w14:textId="77777777" w:rsidTr="00041F3A">
        <w:trPr>
          <w:cantSplit/>
        </w:trPr>
        <w:tc>
          <w:tcPr>
            <w:tcW w:w="300" w:type="pct"/>
            <w:vMerge/>
            <w:tcBorders>
              <w:left w:val="nil"/>
              <w:right w:val="nil"/>
            </w:tcBorders>
            <w:vAlign w:val="center"/>
          </w:tcPr>
          <w:p w14:paraId="1B0CFD69" w14:textId="77777777" w:rsidR="00D65C40" w:rsidRPr="0054775B" w:rsidRDefault="00D65C40" w:rsidP="00D65C40">
            <w:pPr>
              <w:pStyle w:val="2024TABLETEXT"/>
              <w:framePr w:hSpace="0" w:wrap="auto" w:vAnchor="margin" w:yAlign="inline"/>
              <w:suppressOverlap w:val="0"/>
            </w:pPr>
          </w:p>
        </w:tc>
        <w:tc>
          <w:tcPr>
            <w:tcW w:w="1151" w:type="pct"/>
            <w:tcBorders>
              <w:top w:val="single" w:sz="6" w:space="0" w:color="000000"/>
              <w:left w:val="nil"/>
              <w:bottom w:val="single" w:sz="6" w:space="0" w:color="000000"/>
              <w:right w:val="nil"/>
            </w:tcBorders>
            <w:vAlign w:val="center"/>
          </w:tcPr>
          <w:p w14:paraId="621908AB" w14:textId="77777777" w:rsidR="00D65C40" w:rsidRPr="0054775B" w:rsidRDefault="00D65C40" w:rsidP="00D65C40">
            <w:pPr>
              <w:pStyle w:val="2024TABLETEXT"/>
              <w:framePr w:hSpace="0" w:wrap="auto" w:vAnchor="margin" w:yAlign="inline"/>
              <w:spacing w:after="120"/>
              <w:ind w:left="87"/>
              <w:suppressOverlap w:val="0"/>
              <w:rPr>
                <w:b/>
                <w:bCs/>
              </w:rPr>
            </w:pPr>
            <w:r w:rsidRPr="0054775B">
              <w:rPr>
                <w:b/>
                <w:bCs/>
              </w:rPr>
              <w:t>Total sleep time</w:t>
            </w:r>
          </w:p>
          <w:p w14:paraId="7F7FD551" w14:textId="2CEC7CA4" w:rsidR="00D65C40" w:rsidRPr="0054775B" w:rsidRDefault="00D65C40" w:rsidP="00D65C40">
            <w:pPr>
              <w:pStyle w:val="2024TABLETEXT"/>
              <w:framePr w:hSpace="0" w:wrap="auto" w:vAnchor="margin" w:yAlign="inline"/>
              <w:ind w:left="370"/>
              <w:suppressOverlap w:val="0"/>
              <w:rPr>
                <w:b/>
                <w:bCs/>
              </w:rPr>
            </w:pPr>
            <w:r w:rsidRPr="0054775B">
              <w:rPr>
                <w:b/>
                <w:bCs/>
              </w:rPr>
              <w:t xml:space="preserve">Population: </w:t>
            </w:r>
            <w:r w:rsidRPr="0054775B">
              <w:t>Older adults (aged 55 or over) with insomnia</w:t>
            </w:r>
          </w:p>
          <w:p w14:paraId="66278899" w14:textId="5D1C6788" w:rsidR="00D65C40" w:rsidRPr="0054775B" w:rsidRDefault="00D65C40" w:rsidP="00D65C40">
            <w:pPr>
              <w:pStyle w:val="2024TABLETEXT"/>
              <w:framePr w:hSpace="0" w:wrap="auto" w:vAnchor="margin" w:yAlign="inline"/>
              <w:ind w:left="370"/>
              <w:suppressOverlap w:val="0"/>
            </w:pPr>
            <w:r w:rsidRPr="0054775B">
              <w:rPr>
                <w:b/>
                <w:bCs/>
              </w:rPr>
              <w:t>Dose:</w:t>
            </w:r>
            <w:r w:rsidRPr="0054775B">
              <w:t xml:space="preserve"> 500-729mg elemental Magnesium daily</w:t>
            </w:r>
          </w:p>
          <w:p w14:paraId="15B03F4F" w14:textId="2AF68590" w:rsidR="00D65C40" w:rsidRPr="0054775B" w:rsidRDefault="00D65C40" w:rsidP="00D65C40">
            <w:pPr>
              <w:pStyle w:val="2024TABLETEXT"/>
              <w:framePr w:hSpace="0" w:wrap="auto" w:vAnchor="margin" w:yAlign="inline"/>
              <w:ind w:left="370"/>
              <w:suppressOverlap w:val="0"/>
            </w:pPr>
            <w:r w:rsidRPr="0054775B">
              <w:rPr>
                <w:b/>
                <w:bCs/>
              </w:rPr>
              <w:t>Assessed with:</w:t>
            </w:r>
            <w:r w:rsidRPr="0054775B">
              <w:t xml:space="preserve"> Time from sleep onset to offset (min)</w:t>
            </w:r>
          </w:p>
          <w:p w14:paraId="5C626B0D" w14:textId="517E8864" w:rsidR="00D65C40" w:rsidRPr="0054775B" w:rsidRDefault="00D65C40" w:rsidP="00D65C40">
            <w:pPr>
              <w:pStyle w:val="2024TABLETEXT"/>
              <w:framePr w:hSpace="0" w:wrap="auto" w:vAnchor="margin" w:yAlign="inline"/>
              <w:ind w:left="370"/>
              <w:suppressOverlap w:val="0"/>
            </w:pPr>
            <w:r w:rsidRPr="0054775B">
              <w:rPr>
                <w:b/>
                <w:bCs/>
              </w:rPr>
              <w:t xml:space="preserve">Follow-up: </w:t>
            </w:r>
            <w:r w:rsidRPr="0054775B">
              <w:t>20 days</w:t>
            </w:r>
            <w:r w:rsidRPr="0054775B">
              <w:rPr>
                <w:b/>
                <w:bCs/>
              </w:rPr>
              <w:t xml:space="preserve"> </w:t>
            </w:r>
            <w:r w:rsidRPr="0054775B">
              <w:t>to 8 weeks</w:t>
            </w:r>
          </w:p>
        </w:tc>
        <w:tc>
          <w:tcPr>
            <w:tcW w:w="450" w:type="pct"/>
            <w:tcBorders>
              <w:top w:val="single" w:sz="6" w:space="0" w:color="000000"/>
              <w:left w:val="nil"/>
              <w:bottom w:val="single" w:sz="6" w:space="0" w:color="000000"/>
              <w:right w:val="nil"/>
            </w:tcBorders>
            <w:vAlign w:val="center"/>
          </w:tcPr>
          <w:p w14:paraId="46B1BD9F" w14:textId="6D7B12E0" w:rsidR="00D65C40" w:rsidRPr="0054775B" w:rsidRDefault="00D65C40" w:rsidP="00D65C40">
            <w:pPr>
              <w:pStyle w:val="2024TABLETEXT"/>
              <w:framePr w:hSpace="0" w:wrap="auto" w:vAnchor="margin" w:yAlign="inline"/>
              <w:suppressOverlap w:val="0"/>
              <w:rPr>
                <w:rFonts w:eastAsiaTheme="minorHAnsi"/>
              </w:rPr>
            </w:pPr>
            <w:r w:rsidRPr="0054775B">
              <w:rPr>
                <w:rFonts w:eastAsiaTheme="minorHAnsi"/>
              </w:rPr>
              <w:t>Mah 2021</w:t>
            </w:r>
          </w:p>
        </w:tc>
        <w:tc>
          <w:tcPr>
            <w:tcW w:w="450" w:type="pct"/>
            <w:tcBorders>
              <w:top w:val="single" w:sz="6" w:space="0" w:color="000000"/>
              <w:left w:val="nil"/>
              <w:bottom w:val="single" w:sz="6" w:space="0" w:color="000000"/>
              <w:right w:val="nil"/>
            </w:tcBorders>
            <w:vAlign w:val="center"/>
          </w:tcPr>
          <w:p w14:paraId="2BC445D2" w14:textId="4B079A91" w:rsidR="00D65C40" w:rsidRPr="0054775B" w:rsidRDefault="00D65C40" w:rsidP="00D65C40">
            <w:pPr>
              <w:pStyle w:val="2024TABLETEXT"/>
              <w:framePr w:hSpace="0" w:wrap="auto" w:vAnchor="margin" w:yAlign="inline"/>
              <w:suppressOverlap w:val="0"/>
              <w:rPr>
                <w:rFonts w:eastAsiaTheme="minorHAnsi"/>
              </w:rPr>
            </w:pPr>
            <w:r w:rsidRPr="0054775B">
              <w:rPr>
                <w:rFonts w:eastAsiaTheme="minorHAnsi"/>
              </w:rPr>
              <w:t>Mean at follow-up ranged from 326.2 to 456.0</w:t>
            </w:r>
            <w:r w:rsidR="00A4199A">
              <w:rPr>
                <w:rFonts w:eastAsiaTheme="minorHAnsi"/>
              </w:rPr>
              <w:t xml:space="preserve"> </w:t>
            </w:r>
            <w:r w:rsidRPr="0054775B">
              <w:rPr>
                <w:rFonts w:eastAsiaTheme="minorHAnsi"/>
              </w:rPr>
              <w:t>min</w:t>
            </w:r>
            <w:r w:rsidRPr="0054775B" w:rsidDel="00586017">
              <w:rPr>
                <w:rFonts w:eastAsiaTheme="minorHAnsi"/>
              </w:rPr>
              <w:t>.</w:t>
            </w:r>
          </w:p>
        </w:tc>
        <w:tc>
          <w:tcPr>
            <w:tcW w:w="450" w:type="pct"/>
            <w:tcBorders>
              <w:top w:val="single" w:sz="6" w:space="0" w:color="000000"/>
              <w:left w:val="nil"/>
              <w:bottom w:val="single" w:sz="6" w:space="0" w:color="000000"/>
              <w:right w:val="nil"/>
            </w:tcBorders>
            <w:vAlign w:val="center"/>
          </w:tcPr>
          <w:p w14:paraId="23B74097" w14:textId="00F83F9D" w:rsidR="00D65C40" w:rsidRPr="00200517" w:rsidRDefault="00D65C40" w:rsidP="00D65C40">
            <w:pPr>
              <w:pStyle w:val="2024TABLETEXT"/>
              <w:framePr w:hSpace="0" w:wrap="auto" w:vAnchor="margin" w:yAlign="inline"/>
              <w:suppressOverlap w:val="0"/>
              <w:rPr>
                <w:rFonts w:eastAsiaTheme="minorHAnsi"/>
              </w:rPr>
            </w:pPr>
          </w:p>
        </w:tc>
        <w:tc>
          <w:tcPr>
            <w:tcW w:w="351" w:type="pct"/>
            <w:tcBorders>
              <w:top w:val="single" w:sz="6" w:space="0" w:color="000000"/>
              <w:left w:val="nil"/>
              <w:bottom w:val="single" w:sz="6" w:space="0" w:color="000000"/>
              <w:right w:val="nil"/>
            </w:tcBorders>
            <w:shd w:val="clear" w:color="auto" w:fill="auto"/>
            <w:vAlign w:val="center"/>
          </w:tcPr>
          <w:p w14:paraId="48359647" w14:textId="6389AD3F" w:rsidR="00D65C40" w:rsidRPr="0054775B" w:rsidRDefault="002A522B" w:rsidP="00D65C40">
            <w:pPr>
              <w:pStyle w:val="2024TABLETEXT"/>
              <w:framePr w:hSpace="0" w:wrap="auto" w:vAnchor="margin" w:yAlign="inline"/>
              <w:suppressOverlap w:val="0"/>
              <w:rPr>
                <w:rFonts w:eastAsiaTheme="minorHAnsi"/>
              </w:rPr>
            </w:pPr>
            <w:r w:rsidRPr="001428E8">
              <w:rPr>
                <w:rFonts w:eastAsiaTheme="minorHAnsi"/>
              </w:rPr>
              <w:t xml:space="preserve">The mean </w:t>
            </w:r>
            <w:r>
              <w:rPr>
                <w:rFonts w:eastAsiaTheme="minorHAnsi"/>
              </w:rPr>
              <w:t>change in th</w:t>
            </w:r>
            <w:r w:rsidR="00F07869">
              <w:rPr>
                <w:rFonts w:eastAsiaTheme="minorHAnsi"/>
              </w:rPr>
              <w:t xml:space="preserve">e </w:t>
            </w:r>
            <w:r w:rsidRPr="001428E8">
              <w:rPr>
                <w:rFonts w:eastAsiaTheme="minorHAnsi"/>
              </w:rPr>
              <w:t>intervention group was 16.06 min higher (95% CI: − 5.99 to 38.12)</w:t>
            </w:r>
            <w:r w:rsidRPr="00C463E1">
              <w:rPr>
                <w:rFonts w:eastAsiaTheme="minorHAnsi"/>
              </w:rPr>
              <w:t>§</w:t>
            </w:r>
          </w:p>
        </w:tc>
        <w:tc>
          <w:tcPr>
            <w:tcW w:w="450" w:type="pct"/>
            <w:tcBorders>
              <w:top w:val="single" w:sz="6" w:space="0" w:color="000000"/>
              <w:left w:val="nil"/>
              <w:bottom w:val="single" w:sz="6" w:space="0" w:color="000000"/>
              <w:right w:val="nil"/>
            </w:tcBorders>
            <w:vAlign w:val="center"/>
          </w:tcPr>
          <w:p w14:paraId="4AD30F30" w14:textId="6B9BCCC5" w:rsidR="00D65C40" w:rsidRPr="0054775B" w:rsidRDefault="00D65C40" w:rsidP="00D65C40">
            <w:pPr>
              <w:pStyle w:val="2024TABLETEXT"/>
              <w:framePr w:hSpace="0" w:wrap="auto" w:vAnchor="margin" w:yAlign="inline"/>
              <w:suppressOverlap w:val="0"/>
            </w:pPr>
            <w:r w:rsidRPr="0054775B">
              <w:t>55 (2)</w:t>
            </w:r>
          </w:p>
        </w:tc>
        <w:tc>
          <w:tcPr>
            <w:tcW w:w="400" w:type="pct"/>
            <w:tcBorders>
              <w:top w:val="single" w:sz="6" w:space="0" w:color="000000"/>
              <w:left w:val="nil"/>
              <w:bottom w:val="single" w:sz="6" w:space="0" w:color="000000"/>
              <w:right w:val="nil"/>
            </w:tcBorders>
            <w:vAlign w:val="center"/>
          </w:tcPr>
          <w:p w14:paraId="1DFA85C6" w14:textId="17C76DF2" w:rsidR="00D65C40" w:rsidRPr="0054775B" w:rsidRDefault="00D65C40" w:rsidP="00D65C40">
            <w:pPr>
              <w:pStyle w:val="2024TABLETEXT"/>
              <w:framePr w:hSpace="0" w:wrap="auto" w:vAnchor="margin" w:yAlign="inline"/>
              <w:suppressOverlap w:val="0"/>
            </w:pPr>
            <w:r w:rsidRPr="0054775B">
              <w:rPr>
                <w:rFonts w:ascii="Cambria Math" w:hAnsi="Cambria Math" w:cs="Cambria Math"/>
                <w:sz w:val="22"/>
                <w:szCs w:val="22"/>
              </w:rPr>
              <w:t>⨁</w:t>
            </w:r>
            <w:r w:rsidRPr="0054775B">
              <w:rPr>
                <w:rFonts w:ascii="Segoe UI Symbol" w:hAnsi="Segoe UI Symbol" w:cs="Segoe UI Symbol"/>
              </w:rPr>
              <w:t>◯◯◯</w:t>
            </w:r>
            <w:r w:rsidRPr="0054775B">
              <w:br/>
              <w:t>VERY LOW</w:t>
            </w:r>
            <w:r w:rsidRPr="0054775B">
              <w:rPr>
                <w:rStyle w:val="FootnoteReference"/>
              </w:rPr>
              <w:t xml:space="preserve"> c</w:t>
            </w:r>
          </w:p>
        </w:tc>
        <w:tc>
          <w:tcPr>
            <w:tcW w:w="998" w:type="pct"/>
            <w:tcBorders>
              <w:top w:val="single" w:sz="6" w:space="0" w:color="000000"/>
              <w:left w:val="nil"/>
              <w:bottom w:val="single" w:sz="6" w:space="0" w:color="000000"/>
              <w:right w:val="nil"/>
            </w:tcBorders>
            <w:vAlign w:val="center"/>
          </w:tcPr>
          <w:p w14:paraId="2EEAAE89" w14:textId="1E90657C" w:rsidR="00D65C40" w:rsidRPr="0054775B" w:rsidRDefault="00D65C40" w:rsidP="00D65C40">
            <w:pPr>
              <w:pStyle w:val="2024TABLETEXT"/>
              <w:framePr w:hSpace="0" w:wrap="auto" w:vAnchor="margin" w:yAlign="inline"/>
              <w:suppressOverlap w:val="0"/>
            </w:pPr>
            <w:r w:rsidRPr="0054775B">
              <w:t>The evidence is very uncertain about the</w:t>
            </w:r>
            <w:r w:rsidR="00922C4A" w:rsidRPr="0054775B">
              <w:t xml:space="preserve"> effect of magnesium</w:t>
            </w:r>
            <w:r w:rsidRPr="0054775B">
              <w:t xml:space="preserve"> </w:t>
            </w:r>
            <w:r w:rsidR="00922C4A">
              <w:t xml:space="preserve">on </w:t>
            </w:r>
            <w:r w:rsidRPr="0054775B">
              <w:t>total sleep time for insomnia or sleep disorders.</w:t>
            </w:r>
          </w:p>
        </w:tc>
      </w:tr>
      <w:tr w:rsidR="00041F3A" w:rsidRPr="0054775B" w14:paraId="47CA4DB3" w14:textId="77777777" w:rsidTr="00041F3A">
        <w:tc>
          <w:tcPr>
            <w:tcW w:w="300" w:type="pct"/>
            <w:vMerge/>
            <w:tcBorders>
              <w:left w:val="nil"/>
              <w:right w:val="nil"/>
            </w:tcBorders>
            <w:vAlign w:val="center"/>
          </w:tcPr>
          <w:p w14:paraId="1170A9BB" w14:textId="77777777" w:rsidR="00D65C40" w:rsidRPr="0054775B" w:rsidRDefault="00D65C40" w:rsidP="00D65C40">
            <w:pPr>
              <w:pStyle w:val="2024TABLETEXT"/>
              <w:framePr w:hSpace="0" w:wrap="auto" w:vAnchor="margin" w:yAlign="inline"/>
              <w:suppressOverlap w:val="0"/>
            </w:pPr>
          </w:p>
        </w:tc>
        <w:tc>
          <w:tcPr>
            <w:tcW w:w="1151" w:type="pct"/>
            <w:tcBorders>
              <w:top w:val="single" w:sz="6" w:space="0" w:color="000000"/>
              <w:left w:val="nil"/>
              <w:bottom w:val="single" w:sz="6" w:space="0" w:color="000000"/>
              <w:right w:val="nil"/>
            </w:tcBorders>
            <w:vAlign w:val="center"/>
          </w:tcPr>
          <w:p w14:paraId="53466649" w14:textId="61B49550" w:rsidR="00D65C40" w:rsidRPr="0054775B" w:rsidRDefault="00D65C40" w:rsidP="00D65C40">
            <w:pPr>
              <w:pStyle w:val="2024TABLETEXT"/>
              <w:framePr w:hSpace="0" w:wrap="auto" w:vAnchor="margin" w:yAlign="inline"/>
              <w:spacing w:after="120"/>
              <w:ind w:left="87"/>
              <w:suppressOverlap w:val="0"/>
              <w:rPr>
                <w:b/>
                <w:bCs/>
              </w:rPr>
            </w:pPr>
            <w:r w:rsidRPr="0054775B">
              <w:rPr>
                <w:b/>
                <w:bCs/>
              </w:rPr>
              <w:t>Sleep onset latency</w:t>
            </w:r>
          </w:p>
          <w:p w14:paraId="788DC8F9" w14:textId="79FAF2A0" w:rsidR="00D65C40" w:rsidRPr="0054775B" w:rsidRDefault="00D65C40" w:rsidP="00D65C40">
            <w:pPr>
              <w:pStyle w:val="2024TABLETEXT"/>
              <w:framePr w:hSpace="0" w:wrap="auto" w:vAnchor="margin" w:yAlign="inline"/>
              <w:ind w:left="370"/>
              <w:suppressOverlap w:val="0"/>
              <w:rPr>
                <w:b/>
                <w:bCs/>
              </w:rPr>
            </w:pPr>
            <w:r w:rsidRPr="0054775B">
              <w:rPr>
                <w:b/>
                <w:bCs/>
              </w:rPr>
              <w:t xml:space="preserve">Population: </w:t>
            </w:r>
            <w:r w:rsidRPr="0054775B">
              <w:t>Older adults (aged 55 or over) with insomnia</w:t>
            </w:r>
          </w:p>
          <w:p w14:paraId="7263F50F" w14:textId="51CC8A5A" w:rsidR="00D65C40" w:rsidRPr="0054775B" w:rsidRDefault="00D65C40" w:rsidP="00D65C40">
            <w:pPr>
              <w:pStyle w:val="2024TABLETEXT"/>
              <w:framePr w:hSpace="0" w:wrap="auto" w:vAnchor="margin" w:yAlign="inline"/>
              <w:ind w:left="370"/>
              <w:suppressOverlap w:val="0"/>
            </w:pPr>
            <w:r w:rsidRPr="0054775B">
              <w:rPr>
                <w:b/>
                <w:bCs/>
              </w:rPr>
              <w:t>Dose:</w:t>
            </w:r>
            <w:r w:rsidRPr="0054775B">
              <w:t xml:space="preserve"> 500-729mg elemental Magnesium daily</w:t>
            </w:r>
          </w:p>
          <w:p w14:paraId="2BDC03D1" w14:textId="2529E191" w:rsidR="00D65C40" w:rsidRPr="0054775B" w:rsidRDefault="00D65C40" w:rsidP="00D65C40">
            <w:pPr>
              <w:pStyle w:val="2024TABLETEXT"/>
              <w:framePr w:hSpace="0" w:wrap="auto" w:vAnchor="margin" w:yAlign="inline"/>
              <w:ind w:left="370"/>
              <w:suppressOverlap w:val="0"/>
            </w:pPr>
            <w:r w:rsidRPr="0054775B">
              <w:rPr>
                <w:b/>
                <w:bCs/>
              </w:rPr>
              <w:t>Assessed with:</w:t>
            </w:r>
            <w:r w:rsidRPr="0054775B">
              <w:t xml:space="preserve"> Time from wakefulness to initiation of sleep (min), lower numbers indicate less night-time wakefulness and sleep initiation</w:t>
            </w:r>
          </w:p>
          <w:p w14:paraId="2A2C2BAC" w14:textId="328B2864" w:rsidR="00D65C40" w:rsidRPr="0054775B" w:rsidRDefault="00D65C40" w:rsidP="00D65C40">
            <w:pPr>
              <w:pStyle w:val="2024TABLETEXT"/>
              <w:framePr w:hSpace="0" w:wrap="auto" w:vAnchor="margin" w:yAlign="inline"/>
              <w:ind w:left="370"/>
              <w:suppressOverlap w:val="0"/>
            </w:pPr>
            <w:r w:rsidRPr="0054775B">
              <w:rPr>
                <w:b/>
                <w:bCs/>
              </w:rPr>
              <w:t xml:space="preserve">Follow-up: </w:t>
            </w:r>
            <w:r w:rsidRPr="0054775B">
              <w:t>20 days</w:t>
            </w:r>
            <w:r w:rsidRPr="0054775B">
              <w:rPr>
                <w:b/>
                <w:bCs/>
              </w:rPr>
              <w:t xml:space="preserve"> </w:t>
            </w:r>
            <w:r w:rsidRPr="0054775B">
              <w:t>to 8 weeks</w:t>
            </w:r>
          </w:p>
        </w:tc>
        <w:tc>
          <w:tcPr>
            <w:tcW w:w="450" w:type="pct"/>
            <w:tcBorders>
              <w:top w:val="single" w:sz="6" w:space="0" w:color="000000"/>
              <w:left w:val="nil"/>
              <w:bottom w:val="single" w:sz="6" w:space="0" w:color="000000"/>
              <w:right w:val="nil"/>
            </w:tcBorders>
            <w:vAlign w:val="center"/>
          </w:tcPr>
          <w:p w14:paraId="7B943CEC" w14:textId="491B1324" w:rsidR="00D65C40" w:rsidRPr="0054775B" w:rsidRDefault="00D65C40" w:rsidP="00D65C40">
            <w:pPr>
              <w:pStyle w:val="2024TABLETEXT"/>
              <w:framePr w:hSpace="0" w:wrap="auto" w:vAnchor="margin" w:yAlign="inline"/>
              <w:suppressOverlap w:val="0"/>
              <w:rPr>
                <w:rFonts w:eastAsiaTheme="minorHAnsi"/>
              </w:rPr>
            </w:pPr>
            <w:r w:rsidRPr="0054775B">
              <w:rPr>
                <w:rFonts w:eastAsiaTheme="minorHAnsi"/>
              </w:rPr>
              <w:t>Mah 2021</w:t>
            </w:r>
          </w:p>
        </w:tc>
        <w:tc>
          <w:tcPr>
            <w:tcW w:w="450" w:type="pct"/>
            <w:tcBorders>
              <w:top w:val="single" w:sz="6" w:space="0" w:color="000000"/>
              <w:left w:val="nil"/>
              <w:bottom w:val="single" w:sz="6" w:space="0" w:color="000000"/>
              <w:right w:val="nil"/>
            </w:tcBorders>
            <w:vAlign w:val="center"/>
          </w:tcPr>
          <w:p w14:paraId="00F228F7" w14:textId="2D80FCF7" w:rsidR="00D65C40" w:rsidRPr="0054775B" w:rsidRDefault="00D65C40" w:rsidP="00D65C40">
            <w:pPr>
              <w:pStyle w:val="2024TABLETEXT"/>
              <w:framePr w:hSpace="0" w:wrap="auto" w:vAnchor="margin" w:yAlign="inline"/>
              <w:suppressOverlap w:val="0"/>
              <w:rPr>
                <w:rFonts w:eastAsiaTheme="minorHAnsi"/>
                <w:color w:val="000000" w:themeColor="text1"/>
                <w:lang w:eastAsia="en-US"/>
              </w:rPr>
            </w:pPr>
            <w:r w:rsidRPr="0054775B">
              <w:rPr>
                <w:rFonts w:eastAsiaTheme="minorHAnsi"/>
              </w:rPr>
              <w:t>Mean at follow-up ranged from 34.7 to 84.0 min.</w:t>
            </w:r>
          </w:p>
        </w:tc>
        <w:tc>
          <w:tcPr>
            <w:tcW w:w="450" w:type="pct"/>
            <w:tcBorders>
              <w:top w:val="single" w:sz="6" w:space="0" w:color="000000"/>
              <w:left w:val="nil"/>
              <w:bottom w:val="single" w:sz="6" w:space="0" w:color="000000"/>
              <w:right w:val="nil"/>
            </w:tcBorders>
            <w:vAlign w:val="center"/>
          </w:tcPr>
          <w:p w14:paraId="651A4F8A" w14:textId="404A48F5" w:rsidR="00D65C40" w:rsidRPr="001428E8" w:rsidRDefault="00D65C40" w:rsidP="00D65C40">
            <w:pPr>
              <w:pStyle w:val="2024TABLETEXT"/>
              <w:framePr w:hSpace="0" w:wrap="auto" w:vAnchor="margin" w:yAlign="inline"/>
              <w:suppressOverlap w:val="0"/>
              <w:rPr>
                <w:rFonts w:eastAsiaTheme="minorHAnsi"/>
              </w:rPr>
            </w:pPr>
          </w:p>
        </w:tc>
        <w:tc>
          <w:tcPr>
            <w:tcW w:w="351" w:type="pct"/>
            <w:tcBorders>
              <w:top w:val="single" w:sz="6" w:space="0" w:color="000000"/>
              <w:left w:val="nil"/>
              <w:bottom w:val="single" w:sz="6" w:space="0" w:color="000000"/>
              <w:right w:val="nil"/>
            </w:tcBorders>
            <w:shd w:val="clear" w:color="auto" w:fill="auto"/>
            <w:vAlign w:val="center"/>
          </w:tcPr>
          <w:p w14:paraId="3D6A49BC" w14:textId="06CBCC79" w:rsidR="00D65C40" w:rsidRPr="0054775B" w:rsidRDefault="002A522B" w:rsidP="00D65C40">
            <w:pPr>
              <w:pStyle w:val="2024TABLETEXT"/>
              <w:framePr w:hSpace="0" w:wrap="auto" w:vAnchor="margin" w:yAlign="inline"/>
              <w:suppressOverlap w:val="0"/>
              <w:rPr>
                <w:rFonts w:eastAsiaTheme="minorHAnsi"/>
              </w:rPr>
            </w:pPr>
            <w:r w:rsidRPr="001428E8">
              <w:rPr>
                <w:rFonts w:eastAsiaTheme="minorHAnsi"/>
              </w:rPr>
              <w:t xml:space="preserve">The mean </w:t>
            </w:r>
            <w:r>
              <w:rPr>
                <w:rFonts w:eastAsiaTheme="minorHAnsi"/>
              </w:rPr>
              <w:t>change</w:t>
            </w:r>
            <w:r w:rsidRPr="001428E8">
              <w:rPr>
                <w:rFonts w:eastAsiaTheme="minorHAnsi"/>
              </w:rPr>
              <w:t xml:space="preserve"> in the intervention group was − 17.36 min lower (95% CI: − 27.27 to − 7.44)</w:t>
            </w:r>
            <w:r w:rsidRPr="00C463E1">
              <w:rPr>
                <w:rFonts w:eastAsiaTheme="minorHAnsi"/>
              </w:rPr>
              <w:t>§</w:t>
            </w:r>
          </w:p>
        </w:tc>
        <w:tc>
          <w:tcPr>
            <w:tcW w:w="450" w:type="pct"/>
            <w:tcBorders>
              <w:top w:val="single" w:sz="6" w:space="0" w:color="000000"/>
              <w:left w:val="nil"/>
              <w:bottom w:val="single" w:sz="6" w:space="0" w:color="000000"/>
              <w:right w:val="nil"/>
            </w:tcBorders>
            <w:vAlign w:val="center"/>
          </w:tcPr>
          <w:p w14:paraId="319B861E" w14:textId="17B6DC73" w:rsidR="00D65C40" w:rsidRPr="0054775B" w:rsidRDefault="00D65C40" w:rsidP="00D65C40">
            <w:pPr>
              <w:pStyle w:val="2024TABLETEXT"/>
              <w:framePr w:hSpace="0" w:wrap="auto" w:vAnchor="margin" w:yAlign="inline"/>
              <w:suppressOverlap w:val="0"/>
            </w:pPr>
            <w:r w:rsidRPr="0054775B">
              <w:t>55 (2)</w:t>
            </w:r>
          </w:p>
        </w:tc>
        <w:tc>
          <w:tcPr>
            <w:tcW w:w="400" w:type="pct"/>
            <w:tcBorders>
              <w:top w:val="single" w:sz="6" w:space="0" w:color="000000"/>
              <w:left w:val="nil"/>
              <w:bottom w:val="single" w:sz="6" w:space="0" w:color="000000"/>
              <w:right w:val="nil"/>
            </w:tcBorders>
            <w:vAlign w:val="center"/>
          </w:tcPr>
          <w:p w14:paraId="3674F80D" w14:textId="0EF281C8" w:rsidR="00D65C40" w:rsidRPr="0054775B" w:rsidRDefault="00D65C40" w:rsidP="00D65C40">
            <w:pPr>
              <w:pStyle w:val="2024TABLETEXT"/>
              <w:framePr w:hSpace="0" w:wrap="auto" w:vAnchor="margin" w:yAlign="inline"/>
              <w:suppressOverlap w:val="0"/>
            </w:pPr>
            <w:r w:rsidRPr="0054775B">
              <w:rPr>
                <w:rFonts w:ascii="Cambria Math" w:hAnsi="Cambria Math" w:cs="Cambria Math"/>
                <w:sz w:val="22"/>
                <w:szCs w:val="22"/>
              </w:rPr>
              <w:t>⨁</w:t>
            </w:r>
            <w:r w:rsidRPr="0054775B">
              <w:rPr>
                <w:rFonts w:ascii="Segoe UI Symbol" w:hAnsi="Segoe UI Symbol" w:cs="Segoe UI Symbol"/>
              </w:rPr>
              <w:t>◯◯◯</w:t>
            </w:r>
            <w:r w:rsidRPr="0054775B">
              <w:br/>
              <w:t>VERY LOW</w:t>
            </w:r>
            <w:r w:rsidRPr="0054775B">
              <w:rPr>
                <w:rStyle w:val="FootnoteReference"/>
              </w:rPr>
              <w:t xml:space="preserve"> </w:t>
            </w:r>
            <w:r w:rsidR="002B5E7D" w:rsidRPr="00450D08">
              <w:rPr>
                <w:vertAlign w:val="superscript"/>
              </w:rPr>
              <w:t>d</w:t>
            </w:r>
          </w:p>
        </w:tc>
        <w:tc>
          <w:tcPr>
            <w:tcW w:w="998" w:type="pct"/>
            <w:tcBorders>
              <w:top w:val="single" w:sz="6" w:space="0" w:color="000000"/>
              <w:left w:val="nil"/>
              <w:bottom w:val="single" w:sz="6" w:space="0" w:color="000000"/>
              <w:right w:val="nil"/>
            </w:tcBorders>
            <w:vAlign w:val="center"/>
          </w:tcPr>
          <w:p w14:paraId="405CEBAE" w14:textId="51071415" w:rsidR="00D65C40" w:rsidRPr="0054775B" w:rsidRDefault="00D65C40" w:rsidP="00D65C40">
            <w:pPr>
              <w:pStyle w:val="2024TABLETEXT"/>
              <w:framePr w:hSpace="0" w:wrap="auto" w:vAnchor="margin" w:yAlign="inline"/>
              <w:suppressOverlap w:val="0"/>
            </w:pPr>
            <w:r w:rsidRPr="0054775B">
              <w:t xml:space="preserve">The evidence is very uncertain about </w:t>
            </w:r>
            <w:r w:rsidR="00922C4A" w:rsidRPr="0054775B">
              <w:t xml:space="preserve">the effect of magnesium </w:t>
            </w:r>
            <w:r w:rsidR="00922C4A">
              <w:t xml:space="preserve">on </w:t>
            </w:r>
            <w:r w:rsidRPr="0054775B" w:rsidDel="00AC34C5">
              <w:t xml:space="preserve">sleep </w:t>
            </w:r>
            <w:r w:rsidR="00AC34C5">
              <w:t>onset latency</w:t>
            </w:r>
            <w:r w:rsidRPr="0054775B">
              <w:t xml:space="preserve"> for insomnia or sleep disorders.</w:t>
            </w:r>
          </w:p>
        </w:tc>
      </w:tr>
      <w:tr w:rsidR="00041F3A" w:rsidRPr="0054775B" w14:paraId="11BA549E" w14:textId="77777777" w:rsidTr="00041F3A">
        <w:trPr>
          <w:cantSplit/>
        </w:trPr>
        <w:tc>
          <w:tcPr>
            <w:tcW w:w="300" w:type="pct"/>
            <w:vMerge/>
            <w:tcBorders>
              <w:left w:val="nil"/>
              <w:right w:val="nil"/>
            </w:tcBorders>
            <w:vAlign w:val="center"/>
          </w:tcPr>
          <w:p w14:paraId="25EE794E" w14:textId="77777777" w:rsidR="00D65C40" w:rsidRPr="0054775B" w:rsidRDefault="00D65C40" w:rsidP="00D65C40">
            <w:pPr>
              <w:pStyle w:val="2024TABLETEXT"/>
              <w:framePr w:hSpace="0" w:wrap="auto" w:vAnchor="margin" w:yAlign="inline"/>
              <w:suppressOverlap w:val="0"/>
            </w:pPr>
          </w:p>
        </w:tc>
        <w:tc>
          <w:tcPr>
            <w:tcW w:w="1151" w:type="pct"/>
            <w:tcBorders>
              <w:top w:val="single" w:sz="6" w:space="0" w:color="000000"/>
              <w:left w:val="nil"/>
              <w:bottom w:val="single" w:sz="6" w:space="0" w:color="000000"/>
              <w:right w:val="nil"/>
            </w:tcBorders>
            <w:vAlign w:val="bottom"/>
          </w:tcPr>
          <w:p w14:paraId="77879B76" w14:textId="44EEBE47" w:rsidR="00D65C40" w:rsidRPr="0054775B" w:rsidRDefault="00D65C40" w:rsidP="00D65C40">
            <w:pPr>
              <w:pStyle w:val="2024TABLETEXT"/>
              <w:framePr w:hSpace="0" w:wrap="auto" w:vAnchor="margin" w:yAlign="inline"/>
              <w:spacing w:after="120"/>
              <w:ind w:left="87"/>
              <w:suppressOverlap w:val="0"/>
              <w:rPr>
                <w:b/>
                <w:bCs/>
              </w:rPr>
            </w:pPr>
            <w:r w:rsidRPr="0054775B">
              <w:rPr>
                <w:b/>
                <w:bCs/>
              </w:rPr>
              <w:t>Sleep efficiency</w:t>
            </w:r>
          </w:p>
          <w:p w14:paraId="37E3AA2C" w14:textId="58511389" w:rsidR="00D65C40" w:rsidRPr="0054775B" w:rsidRDefault="00D65C40" w:rsidP="00D65C40">
            <w:pPr>
              <w:pStyle w:val="2024TABLETEXT"/>
              <w:framePr w:hSpace="0" w:wrap="auto" w:vAnchor="margin" w:yAlign="inline"/>
              <w:ind w:left="370"/>
              <w:suppressOverlap w:val="0"/>
              <w:rPr>
                <w:b/>
                <w:bCs/>
              </w:rPr>
            </w:pPr>
            <w:r w:rsidRPr="0054775B">
              <w:rPr>
                <w:b/>
                <w:bCs/>
              </w:rPr>
              <w:t xml:space="preserve">Population: </w:t>
            </w:r>
            <w:r w:rsidRPr="0054775B">
              <w:t>Older adults (aged 55 or over) with insomnia</w:t>
            </w:r>
          </w:p>
          <w:p w14:paraId="34042DAE" w14:textId="0CF9BC91" w:rsidR="00D65C40" w:rsidRPr="0054775B" w:rsidRDefault="00D65C40" w:rsidP="00D65C40">
            <w:pPr>
              <w:pStyle w:val="2024TABLETEXT"/>
              <w:framePr w:hSpace="0" w:wrap="auto" w:vAnchor="margin" w:yAlign="inline"/>
              <w:ind w:left="370"/>
              <w:suppressOverlap w:val="0"/>
            </w:pPr>
            <w:r w:rsidRPr="0054775B">
              <w:rPr>
                <w:b/>
                <w:bCs/>
              </w:rPr>
              <w:t>Dose:</w:t>
            </w:r>
            <w:r w:rsidRPr="0054775B">
              <w:t xml:space="preserve"> 500mg elemental Magnesium daily</w:t>
            </w:r>
          </w:p>
          <w:p w14:paraId="1B4763DA" w14:textId="77777777" w:rsidR="00D65C40" w:rsidRPr="0054775B" w:rsidRDefault="00D65C40" w:rsidP="00D65C40">
            <w:pPr>
              <w:pStyle w:val="2024TABLETEXT"/>
              <w:framePr w:hSpace="0" w:wrap="auto" w:vAnchor="margin" w:yAlign="inline"/>
              <w:ind w:left="370"/>
              <w:suppressOverlap w:val="0"/>
            </w:pPr>
            <w:r w:rsidRPr="0054775B">
              <w:rPr>
                <w:b/>
                <w:bCs/>
              </w:rPr>
              <w:t xml:space="preserve">Assessed with: </w:t>
            </w:r>
            <w:r w:rsidRPr="0054775B">
              <w:t>Sum of REM &amp; non-REM sleep / total time in bed (h)</w:t>
            </w:r>
          </w:p>
          <w:p w14:paraId="48B07536" w14:textId="1CCE63D6" w:rsidR="00D65C40" w:rsidRPr="0054775B" w:rsidRDefault="00D65C40" w:rsidP="00D65C40">
            <w:pPr>
              <w:pStyle w:val="2024TABLETEXT"/>
              <w:framePr w:hSpace="0" w:wrap="auto" w:vAnchor="margin" w:yAlign="inline"/>
              <w:ind w:left="370"/>
              <w:suppressOverlap w:val="0"/>
            </w:pPr>
            <w:r w:rsidRPr="0054775B">
              <w:rPr>
                <w:b/>
                <w:bCs/>
              </w:rPr>
              <w:t xml:space="preserve">Follow-up: </w:t>
            </w:r>
            <w:r w:rsidRPr="0054775B">
              <w:t>8 weeks</w:t>
            </w:r>
          </w:p>
        </w:tc>
        <w:tc>
          <w:tcPr>
            <w:tcW w:w="450" w:type="pct"/>
            <w:tcBorders>
              <w:top w:val="single" w:sz="6" w:space="0" w:color="000000"/>
              <w:left w:val="nil"/>
              <w:bottom w:val="single" w:sz="6" w:space="0" w:color="000000"/>
              <w:right w:val="nil"/>
            </w:tcBorders>
            <w:vAlign w:val="center"/>
          </w:tcPr>
          <w:p w14:paraId="348D6439" w14:textId="78E30E26" w:rsidR="00D65C40" w:rsidRPr="0054775B" w:rsidRDefault="00D65C40" w:rsidP="00D65C40">
            <w:pPr>
              <w:pStyle w:val="2024TABLETEXT"/>
              <w:framePr w:hSpace="0" w:wrap="auto" w:vAnchor="margin" w:yAlign="inline"/>
              <w:suppressOverlap w:val="0"/>
              <w:rPr>
                <w:rFonts w:eastAsiaTheme="minorHAnsi"/>
              </w:rPr>
            </w:pPr>
            <w:r w:rsidRPr="0054775B">
              <w:rPr>
                <w:rFonts w:eastAsiaTheme="minorHAnsi"/>
              </w:rPr>
              <w:t>Mah 2021</w:t>
            </w:r>
          </w:p>
        </w:tc>
        <w:tc>
          <w:tcPr>
            <w:tcW w:w="450" w:type="pct"/>
            <w:tcBorders>
              <w:top w:val="single" w:sz="6" w:space="0" w:color="000000"/>
              <w:left w:val="nil"/>
              <w:bottom w:val="single" w:sz="6" w:space="0" w:color="000000"/>
              <w:right w:val="nil"/>
            </w:tcBorders>
            <w:vAlign w:val="center"/>
          </w:tcPr>
          <w:p w14:paraId="2F4A9CC0" w14:textId="680D5561" w:rsidR="00D65C40" w:rsidRPr="0054775B" w:rsidRDefault="00D65C40" w:rsidP="00D65C40">
            <w:pPr>
              <w:pStyle w:val="2024TABLETEXT"/>
              <w:framePr w:hSpace="0" w:wrap="auto" w:vAnchor="margin" w:yAlign="inline"/>
              <w:suppressOverlap w:val="0"/>
              <w:rPr>
                <w:rFonts w:eastAsiaTheme="minorHAnsi"/>
              </w:rPr>
            </w:pPr>
            <w:r w:rsidRPr="0054775B">
              <w:rPr>
                <w:rFonts w:eastAsiaTheme="minorHAnsi"/>
              </w:rPr>
              <w:t>M</w:t>
            </w:r>
            <w:r>
              <w:rPr>
                <w:rFonts w:eastAsiaTheme="minorHAnsi"/>
              </w:rPr>
              <w:t xml:space="preserve">ean </w:t>
            </w:r>
            <w:r w:rsidR="00F07869">
              <w:rPr>
                <w:rFonts w:eastAsiaTheme="minorHAnsi"/>
              </w:rPr>
              <w:t>(SD)</w:t>
            </w:r>
            <w:r>
              <w:rPr>
                <w:rFonts w:eastAsiaTheme="minorHAnsi"/>
              </w:rPr>
              <w:t xml:space="preserve">change from baseline </w:t>
            </w:r>
            <w:r w:rsidR="005F5F44" w:rsidRPr="0054775B">
              <w:rPr>
                <w:rFonts w:eastAsiaTheme="minorHAnsi"/>
              </w:rPr>
              <w:t>= −</w:t>
            </w:r>
            <w:r w:rsidRPr="0054775B">
              <w:rPr>
                <w:rFonts w:eastAsiaTheme="minorHAnsi"/>
              </w:rPr>
              <w:t xml:space="preserve"> 0.00</w:t>
            </w:r>
            <w:r w:rsidR="008D301F">
              <w:rPr>
                <w:rFonts w:eastAsiaTheme="minorHAnsi"/>
              </w:rPr>
              <w:t xml:space="preserve"> </w:t>
            </w:r>
            <w:r w:rsidR="00F07869">
              <w:rPr>
                <w:rFonts w:eastAsiaTheme="minorHAnsi"/>
              </w:rPr>
              <w:t>(</w:t>
            </w:r>
            <w:r w:rsidRPr="0054775B">
              <w:rPr>
                <w:rFonts w:eastAsiaTheme="minorHAnsi"/>
              </w:rPr>
              <w:t>0.05</w:t>
            </w:r>
            <w:r w:rsidR="00F07869">
              <w:rPr>
                <w:rFonts w:eastAsiaTheme="minorHAnsi"/>
              </w:rPr>
              <w:t>)</w:t>
            </w:r>
            <w:r w:rsidR="008D301F">
              <w:rPr>
                <w:rFonts w:eastAsiaTheme="minorHAnsi"/>
              </w:rPr>
              <w:t xml:space="preserve"> </w:t>
            </w:r>
            <w:r w:rsidR="00AF6181">
              <w:rPr>
                <w:rFonts w:eastAsiaTheme="minorHAnsi"/>
              </w:rPr>
              <w:t xml:space="preserve">hours </w:t>
            </w:r>
            <w:r w:rsidR="008E2B4A" w:rsidRPr="008E2B4A">
              <w:t>¶</w:t>
            </w:r>
            <w:r w:rsidRPr="0054775B">
              <w:rPr>
                <w:rFonts w:eastAsiaTheme="minorHAnsi"/>
              </w:rPr>
              <w:t xml:space="preserve"> </w:t>
            </w:r>
          </w:p>
        </w:tc>
        <w:tc>
          <w:tcPr>
            <w:tcW w:w="450" w:type="pct"/>
            <w:tcBorders>
              <w:top w:val="single" w:sz="6" w:space="0" w:color="000000"/>
              <w:left w:val="nil"/>
              <w:bottom w:val="single" w:sz="6" w:space="0" w:color="000000"/>
              <w:right w:val="nil"/>
            </w:tcBorders>
            <w:vAlign w:val="center"/>
          </w:tcPr>
          <w:p w14:paraId="5C6C3482" w14:textId="05807E99" w:rsidR="00D65C40" w:rsidRPr="0054775B" w:rsidRDefault="00D65C40" w:rsidP="00D65C40">
            <w:pPr>
              <w:pStyle w:val="2024TABLETEXT"/>
              <w:framePr w:hSpace="0" w:wrap="auto" w:vAnchor="margin" w:yAlign="inline"/>
              <w:suppressOverlap w:val="0"/>
              <w:rPr>
                <w:rFonts w:eastAsiaTheme="minorHAnsi"/>
              </w:rPr>
            </w:pPr>
            <w:r w:rsidRPr="0054775B">
              <w:rPr>
                <w:rFonts w:eastAsiaTheme="minorHAnsi"/>
              </w:rPr>
              <w:t>M</w:t>
            </w:r>
            <w:r>
              <w:rPr>
                <w:rFonts w:eastAsiaTheme="minorHAnsi"/>
              </w:rPr>
              <w:t xml:space="preserve">ean </w:t>
            </w:r>
            <w:r w:rsidR="00F07869">
              <w:rPr>
                <w:rFonts w:eastAsiaTheme="minorHAnsi"/>
              </w:rPr>
              <w:t xml:space="preserve">(SD) </w:t>
            </w:r>
            <w:r>
              <w:rPr>
                <w:rFonts w:eastAsiaTheme="minorHAnsi"/>
              </w:rPr>
              <w:t xml:space="preserve">change from baseline </w:t>
            </w:r>
            <w:r w:rsidRPr="0054775B">
              <w:rPr>
                <w:rFonts w:eastAsiaTheme="minorHAnsi"/>
              </w:rPr>
              <w:t>= − 0.06</w:t>
            </w:r>
            <w:r w:rsidR="008D301F">
              <w:rPr>
                <w:rFonts w:eastAsiaTheme="minorHAnsi"/>
              </w:rPr>
              <w:t xml:space="preserve"> </w:t>
            </w:r>
            <w:r w:rsidR="00F07869">
              <w:rPr>
                <w:rFonts w:eastAsiaTheme="minorHAnsi"/>
              </w:rPr>
              <w:t>(</w:t>
            </w:r>
            <w:r w:rsidRPr="0054775B">
              <w:rPr>
                <w:rFonts w:eastAsiaTheme="minorHAnsi"/>
              </w:rPr>
              <w:t>0.01</w:t>
            </w:r>
            <w:r w:rsidR="00F07869">
              <w:rPr>
                <w:rFonts w:eastAsiaTheme="minorHAnsi"/>
              </w:rPr>
              <w:t>)</w:t>
            </w:r>
            <w:r w:rsidR="008D301F">
              <w:rPr>
                <w:rFonts w:eastAsiaTheme="minorHAnsi"/>
              </w:rPr>
              <w:t xml:space="preserve"> </w:t>
            </w:r>
            <w:r w:rsidRPr="0054775B">
              <w:rPr>
                <w:rFonts w:eastAsiaTheme="minorHAnsi"/>
              </w:rPr>
              <w:t>h</w:t>
            </w:r>
            <w:r w:rsidR="00AF6181">
              <w:rPr>
                <w:rFonts w:eastAsiaTheme="minorHAnsi"/>
              </w:rPr>
              <w:t xml:space="preserve">ours </w:t>
            </w:r>
            <w:r w:rsidR="008E2B4A" w:rsidRPr="008E2B4A">
              <w:t>¶</w:t>
            </w:r>
          </w:p>
        </w:tc>
        <w:tc>
          <w:tcPr>
            <w:tcW w:w="351" w:type="pct"/>
            <w:tcBorders>
              <w:top w:val="single" w:sz="6" w:space="0" w:color="000000"/>
              <w:left w:val="nil"/>
              <w:bottom w:val="single" w:sz="6" w:space="0" w:color="000000"/>
              <w:right w:val="nil"/>
            </w:tcBorders>
            <w:shd w:val="clear" w:color="auto" w:fill="auto"/>
            <w:vAlign w:val="center"/>
          </w:tcPr>
          <w:p w14:paraId="3E27595C" w14:textId="5415C2B0" w:rsidR="00D65C40" w:rsidRPr="0054775B" w:rsidRDefault="00D65C40" w:rsidP="00D65C40">
            <w:pPr>
              <w:pStyle w:val="2024TABLETEXT"/>
              <w:framePr w:hSpace="0" w:wrap="auto" w:vAnchor="margin" w:yAlign="inline"/>
              <w:suppressOverlap w:val="0"/>
            </w:pPr>
            <w:r w:rsidRPr="0054775B">
              <w:t>-</w:t>
            </w:r>
          </w:p>
        </w:tc>
        <w:tc>
          <w:tcPr>
            <w:tcW w:w="450" w:type="pct"/>
            <w:tcBorders>
              <w:top w:val="single" w:sz="6" w:space="0" w:color="000000"/>
              <w:left w:val="nil"/>
              <w:bottom w:val="single" w:sz="6" w:space="0" w:color="000000"/>
              <w:right w:val="nil"/>
            </w:tcBorders>
            <w:vAlign w:val="center"/>
          </w:tcPr>
          <w:p w14:paraId="069BFB1D" w14:textId="1FBBBB04" w:rsidR="00D65C40" w:rsidRPr="0054775B" w:rsidRDefault="00D65C40" w:rsidP="00D65C40">
            <w:pPr>
              <w:pStyle w:val="2024TABLETEXT"/>
              <w:framePr w:hSpace="0" w:wrap="auto" w:vAnchor="margin" w:yAlign="inline"/>
              <w:suppressOverlap w:val="0"/>
            </w:pPr>
            <w:r w:rsidRPr="0054775B">
              <w:t>43 (1)</w:t>
            </w:r>
          </w:p>
        </w:tc>
        <w:tc>
          <w:tcPr>
            <w:tcW w:w="400" w:type="pct"/>
            <w:tcBorders>
              <w:top w:val="single" w:sz="6" w:space="0" w:color="000000"/>
              <w:left w:val="nil"/>
              <w:bottom w:val="single" w:sz="6" w:space="0" w:color="000000"/>
              <w:right w:val="nil"/>
            </w:tcBorders>
            <w:vAlign w:val="center"/>
          </w:tcPr>
          <w:p w14:paraId="28FD2F19" w14:textId="613CB08A" w:rsidR="00D65C40" w:rsidRPr="0054775B" w:rsidRDefault="00D65C40" w:rsidP="00D65C40">
            <w:pPr>
              <w:pStyle w:val="2024TABLETEXT"/>
              <w:framePr w:hSpace="0" w:wrap="auto" w:vAnchor="margin" w:yAlign="inline"/>
              <w:suppressOverlap w:val="0"/>
            </w:pPr>
            <w:r w:rsidRPr="0054775B">
              <w:rPr>
                <w:rFonts w:ascii="Cambria Math" w:hAnsi="Cambria Math" w:cs="Cambria Math"/>
                <w:sz w:val="22"/>
                <w:szCs w:val="22"/>
              </w:rPr>
              <w:t>⨁</w:t>
            </w:r>
            <w:r w:rsidRPr="0054775B">
              <w:rPr>
                <w:rFonts w:ascii="Segoe UI Symbol" w:hAnsi="Segoe UI Symbol" w:cs="Segoe UI Symbol"/>
              </w:rPr>
              <w:t>◯◯◯</w:t>
            </w:r>
            <w:r w:rsidRPr="0054775B">
              <w:br/>
              <w:t>VERY LOW</w:t>
            </w:r>
            <w:r w:rsidRPr="0054775B">
              <w:rPr>
                <w:rStyle w:val="FootnoteReference"/>
              </w:rPr>
              <w:t xml:space="preserve"> a</w:t>
            </w:r>
          </w:p>
        </w:tc>
        <w:tc>
          <w:tcPr>
            <w:tcW w:w="998" w:type="pct"/>
            <w:tcBorders>
              <w:top w:val="single" w:sz="6" w:space="0" w:color="000000"/>
              <w:left w:val="nil"/>
              <w:bottom w:val="single" w:sz="6" w:space="0" w:color="000000"/>
              <w:right w:val="nil"/>
            </w:tcBorders>
            <w:vAlign w:val="center"/>
          </w:tcPr>
          <w:p w14:paraId="1404A854" w14:textId="7039AB68" w:rsidR="00D65C40" w:rsidRPr="0054775B" w:rsidRDefault="00D65C40" w:rsidP="00D65C40">
            <w:pPr>
              <w:pStyle w:val="2024TABLETEXT"/>
              <w:framePr w:hSpace="0" w:wrap="auto" w:vAnchor="margin" w:yAlign="inline"/>
              <w:suppressOverlap w:val="0"/>
            </w:pPr>
            <w:r w:rsidRPr="0054775B">
              <w:t xml:space="preserve">The evidence is very uncertain about the effect of magnesium on </w:t>
            </w:r>
            <w:r w:rsidR="00AC34C5">
              <w:t>sleep efficiency</w:t>
            </w:r>
            <w:r w:rsidRPr="0054775B">
              <w:t xml:space="preserve"> for insomnia or sleep disorders.</w:t>
            </w:r>
          </w:p>
        </w:tc>
      </w:tr>
      <w:tr w:rsidR="00041F3A" w:rsidRPr="0054775B" w14:paraId="684F240C" w14:textId="77777777" w:rsidTr="00041F3A">
        <w:trPr>
          <w:cantSplit/>
        </w:trPr>
        <w:tc>
          <w:tcPr>
            <w:tcW w:w="300" w:type="pct"/>
            <w:vMerge/>
            <w:tcBorders>
              <w:left w:val="nil"/>
              <w:bottom w:val="single" w:sz="6" w:space="0" w:color="000000"/>
              <w:right w:val="nil"/>
            </w:tcBorders>
            <w:vAlign w:val="center"/>
          </w:tcPr>
          <w:p w14:paraId="1AB8313C" w14:textId="77777777" w:rsidR="00D65C40" w:rsidRPr="0054775B" w:rsidRDefault="00D65C40" w:rsidP="00D65C40">
            <w:pPr>
              <w:pStyle w:val="2024TABLETEXT"/>
              <w:framePr w:hSpace="0" w:wrap="auto" w:vAnchor="margin" w:yAlign="inline"/>
              <w:suppressOverlap w:val="0"/>
            </w:pPr>
          </w:p>
        </w:tc>
        <w:tc>
          <w:tcPr>
            <w:tcW w:w="1151" w:type="pct"/>
            <w:tcBorders>
              <w:top w:val="single" w:sz="6" w:space="0" w:color="000000"/>
              <w:left w:val="nil"/>
              <w:bottom w:val="single" w:sz="6" w:space="0" w:color="000000"/>
              <w:right w:val="nil"/>
            </w:tcBorders>
            <w:vAlign w:val="bottom"/>
          </w:tcPr>
          <w:p w14:paraId="2F25299F" w14:textId="5CC4BDDF" w:rsidR="00D65C40" w:rsidRPr="0054775B" w:rsidRDefault="00D65C40" w:rsidP="00D65C40">
            <w:pPr>
              <w:pStyle w:val="2024TABLETEXT"/>
              <w:framePr w:hSpace="0" w:wrap="auto" w:vAnchor="margin" w:yAlign="inline"/>
              <w:spacing w:after="120"/>
              <w:ind w:left="87"/>
              <w:suppressOverlap w:val="0"/>
              <w:rPr>
                <w:b/>
                <w:bCs/>
              </w:rPr>
            </w:pPr>
            <w:r w:rsidRPr="0054775B">
              <w:rPr>
                <w:b/>
                <w:bCs/>
              </w:rPr>
              <w:t>Early morning awakening</w:t>
            </w:r>
          </w:p>
          <w:p w14:paraId="6EFA857F" w14:textId="35F4C596" w:rsidR="00D65C40" w:rsidRPr="0054775B" w:rsidRDefault="00D65C40" w:rsidP="00D65C40">
            <w:pPr>
              <w:pStyle w:val="2024TABLETEXT"/>
              <w:framePr w:hSpace="0" w:wrap="auto" w:vAnchor="margin" w:yAlign="inline"/>
              <w:ind w:left="370"/>
              <w:suppressOverlap w:val="0"/>
              <w:rPr>
                <w:b/>
                <w:bCs/>
              </w:rPr>
            </w:pPr>
            <w:r w:rsidRPr="0054775B">
              <w:rPr>
                <w:b/>
                <w:bCs/>
              </w:rPr>
              <w:t xml:space="preserve">Population: </w:t>
            </w:r>
            <w:r w:rsidRPr="0054775B">
              <w:t>Older adults (aged 55 or over) with insomnia</w:t>
            </w:r>
          </w:p>
          <w:p w14:paraId="1BE03F31" w14:textId="6816ACD6" w:rsidR="00D65C40" w:rsidRPr="0054775B" w:rsidRDefault="00D65C40" w:rsidP="00D65C40">
            <w:pPr>
              <w:pStyle w:val="2024TABLETEXT"/>
              <w:framePr w:hSpace="0" w:wrap="auto" w:vAnchor="margin" w:yAlign="inline"/>
              <w:ind w:left="370"/>
              <w:suppressOverlap w:val="0"/>
            </w:pPr>
            <w:r w:rsidRPr="0054775B">
              <w:rPr>
                <w:b/>
                <w:bCs/>
              </w:rPr>
              <w:t>Dose:</w:t>
            </w:r>
            <w:r w:rsidRPr="0054775B">
              <w:t xml:space="preserve"> 500mg elemental Magnesium daily</w:t>
            </w:r>
          </w:p>
          <w:p w14:paraId="203B7BD7" w14:textId="358D0C1F" w:rsidR="00D65C40" w:rsidRPr="0054775B" w:rsidRDefault="00D65C40" w:rsidP="00D65C40">
            <w:pPr>
              <w:pStyle w:val="2024TABLETEXT"/>
              <w:framePr w:hSpace="0" w:wrap="auto" w:vAnchor="margin" w:yAlign="inline"/>
              <w:ind w:left="370"/>
              <w:suppressOverlap w:val="0"/>
            </w:pPr>
            <w:r w:rsidRPr="0054775B">
              <w:rPr>
                <w:b/>
                <w:bCs/>
              </w:rPr>
              <w:t xml:space="preserve">Assessed with: </w:t>
            </w:r>
            <w:r w:rsidRPr="0054775B">
              <w:t>Premature termination of sleep (hours), lower numbers indicate less early morning awakenings and better sleep maintenance</w:t>
            </w:r>
          </w:p>
          <w:p w14:paraId="2745852B" w14:textId="250A9C62" w:rsidR="00D65C40" w:rsidRPr="0054775B" w:rsidRDefault="00D65C40" w:rsidP="00D65C40">
            <w:pPr>
              <w:pStyle w:val="2024TABLETEXT"/>
              <w:framePr w:hSpace="0" w:wrap="auto" w:vAnchor="margin" w:yAlign="inline"/>
              <w:ind w:left="370"/>
              <w:suppressOverlap w:val="0"/>
            </w:pPr>
            <w:r w:rsidRPr="0054775B">
              <w:rPr>
                <w:b/>
                <w:bCs/>
              </w:rPr>
              <w:t xml:space="preserve">Follow-up: </w:t>
            </w:r>
            <w:r w:rsidRPr="0054775B">
              <w:t>8 weeks</w:t>
            </w:r>
          </w:p>
        </w:tc>
        <w:tc>
          <w:tcPr>
            <w:tcW w:w="450" w:type="pct"/>
            <w:tcBorders>
              <w:top w:val="single" w:sz="6" w:space="0" w:color="000000"/>
              <w:left w:val="nil"/>
              <w:bottom w:val="single" w:sz="6" w:space="0" w:color="000000"/>
              <w:right w:val="nil"/>
            </w:tcBorders>
            <w:vAlign w:val="center"/>
          </w:tcPr>
          <w:p w14:paraId="31128934" w14:textId="40AFFA99" w:rsidR="00D65C40" w:rsidRPr="0054775B" w:rsidRDefault="00D65C40" w:rsidP="00D65C40">
            <w:pPr>
              <w:pStyle w:val="2024TABLETEXT"/>
              <w:framePr w:hSpace="0" w:wrap="auto" w:vAnchor="margin" w:yAlign="inline"/>
              <w:suppressOverlap w:val="0"/>
              <w:rPr>
                <w:rFonts w:eastAsiaTheme="minorHAnsi"/>
              </w:rPr>
            </w:pPr>
            <w:r w:rsidRPr="0054775B">
              <w:rPr>
                <w:rFonts w:eastAsiaTheme="minorHAnsi"/>
              </w:rPr>
              <w:t>Mah 2021</w:t>
            </w:r>
          </w:p>
        </w:tc>
        <w:tc>
          <w:tcPr>
            <w:tcW w:w="450" w:type="pct"/>
            <w:tcBorders>
              <w:top w:val="single" w:sz="6" w:space="0" w:color="000000"/>
              <w:left w:val="nil"/>
              <w:bottom w:val="single" w:sz="6" w:space="0" w:color="000000"/>
              <w:right w:val="nil"/>
            </w:tcBorders>
            <w:vAlign w:val="center"/>
          </w:tcPr>
          <w:p w14:paraId="25126076" w14:textId="656F9BDE" w:rsidR="00F07869" w:rsidRDefault="00D65C40" w:rsidP="00D65C40">
            <w:pPr>
              <w:pStyle w:val="2024TABLETEXT"/>
              <w:framePr w:hSpace="0" w:wrap="auto" w:vAnchor="margin" w:yAlign="inline"/>
              <w:suppressOverlap w:val="0"/>
              <w:rPr>
                <w:rFonts w:eastAsiaTheme="minorHAnsi"/>
              </w:rPr>
            </w:pPr>
            <w:r w:rsidRPr="0054775B">
              <w:rPr>
                <w:rFonts w:eastAsiaTheme="minorHAnsi"/>
              </w:rPr>
              <w:t>M</w:t>
            </w:r>
            <w:r>
              <w:rPr>
                <w:rFonts w:eastAsiaTheme="minorHAnsi"/>
              </w:rPr>
              <w:t xml:space="preserve">ean </w:t>
            </w:r>
            <w:r w:rsidR="00F07869">
              <w:rPr>
                <w:rFonts w:eastAsiaTheme="minorHAnsi"/>
              </w:rPr>
              <w:t>(SD)</w:t>
            </w:r>
            <w:r>
              <w:rPr>
                <w:rFonts w:eastAsiaTheme="minorHAnsi"/>
              </w:rPr>
              <w:t xml:space="preserve">change from baseline </w:t>
            </w:r>
          </w:p>
          <w:p w14:paraId="2F266DC7" w14:textId="31C279B8" w:rsidR="00D65C40" w:rsidRPr="0054775B" w:rsidRDefault="005F5F44" w:rsidP="00D65C40">
            <w:pPr>
              <w:pStyle w:val="2024TABLETEXT"/>
              <w:framePr w:hSpace="0" w:wrap="auto" w:vAnchor="margin" w:yAlign="inline"/>
              <w:suppressOverlap w:val="0"/>
              <w:rPr>
                <w:rFonts w:eastAsiaTheme="minorHAnsi"/>
              </w:rPr>
            </w:pPr>
            <w:r w:rsidRPr="0054775B">
              <w:rPr>
                <w:rFonts w:eastAsiaTheme="minorHAnsi"/>
              </w:rPr>
              <w:t>= 1.03</w:t>
            </w:r>
            <w:r w:rsidR="00F07869">
              <w:rPr>
                <w:rFonts w:eastAsiaTheme="minorHAnsi"/>
              </w:rPr>
              <w:t xml:space="preserve"> (</w:t>
            </w:r>
            <w:r w:rsidR="00D65C40" w:rsidRPr="0054775B">
              <w:rPr>
                <w:rFonts w:eastAsiaTheme="minorHAnsi"/>
              </w:rPr>
              <w:t>0.02</w:t>
            </w:r>
            <w:r w:rsidR="00F07869">
              <w:rPr>
                <w:rFonts w:eastAsiaTheme="minorHAnsi"/>
              </w:rPr>
              <w:t>)</w:t>
            </w:r>
            <w:r w:rsidR="00A6464E">
              <w:rPr>
                <w:rFonts w:eastAsiaTheme="minorHAnsi"/>
              </w:rPr>
              <w:t>^</w:t>
            </w:r>
          </w:p>
        </w:tc>
        <w:tc>
          <w:tcPr>
            <w:tcW w:w="450" w:type="pct"/>
            <w:tcBorders>
              <w:top w:val="single" w:sz="6" w:space="0" w:color="000000"/>
              <w:left w:val="nil"/>
              <w:bottom w:val="single" w:sz="6" w:space="0" w:color="000000"/>
              <w:right w:val="nil"/>
            </w:tcBorders>
            <w:vAlign w:val="center"/>
          </w:tcPr>
          <w:p w14:paraId="704E359F" w14:textId="25D44C3C" w:rsidR="00D65C40" w:rsidRPr="0054775B" w:rsidRDefault="00D65C40" w:rsidP="00D65C40">
            <w:pPr>
              <w:pStyle w:val="2024TABLETEXT"/>
              <w:framePr w:hSpace="0" w:wrap="auto" w:vAnchor="margin" w:yAlign="inline"/>
              <w:suppressOverlap w:val="0"/>
              <w:rPr>
                <w:rFonts w:eastAsiaTheme="minorHAnsi"/>
              </w:rPr>
            </w:pPr>
            <w:r w:rsidRPr="0054775B">
              <w:rPr>
                <w:rFonts w:eastAsiaTheme="minorHAnsi"/>
              </w:rPr>
              <w:t>M</w:t>
            </w:r>
            <w:r>
              <w:rPr>
                <w:rFonts w:eastAsiaTheme="minorHAnsi"/>
              </w:rPr>
              <w:t xml:space="preserve">ean </w:t>
            </w:r>
            <w:r w:rsidR="00F07869">
              <w:rPr>
                <w:rFonts w:eastAsiaTheme="minorHAnsi"/>
              </w:rPr>
              <w:t>(SD)</w:t>
            </w:r>
            <w:r>
              <w:rPr>
                <w:rFonts w:eastAsiaTheme="minorHAnsi"/>
              </w:rPr>
              <w:t xml:space="preserve">change from baseline </w:t>
            </w:r>
            <w:r w:rsidRPr="0054775B">
              <w:rPr>
                <w:rFonts w:eastAsiaTheme="minorHAnsi"/>
              </w:rPr>
              <w:t xml:space="preserve">= 1.01 </w:t>
            </w:r>
            <w:r w:rsidR="00F07869">
              <w:rPr>
                <w:rFonts w:eastAsiaTheme="minorHAnsi"/>
              </w:rPr>
              <w:t>(</w:t>
            </w:r>
            <w:r w:rsidRPr="0054775B">
              <w:rPr>
                <w:rFonts w:eastAsiaTheme="minorHAnsi"/>
              </w:rPr>
              <w:t>0.05</w:t>
            </w:r>
            <w:r w:rsidR="00F07869">
              <w:rPr>
                <w:rFonts w:eastAsiaTheme="minorHAnsi"/>
              </w:rPr>
              <w:t>)</w:t>
            </w:r>
            <w:r w:rsidR="00A6464E">
              <w:rPr>
                <w:rFonts w:eastAsiaTheme="minorHAnsi"/>
              </w:rPr>
              <w:t>^</w:t>
            </w:r>
          </w:p>
        </w:tc>
        <w:tc>
          <w:tcPr>
            <w:tcW w:w="351" w:type="pct"/>
            <w:tcBorders>
              <w:top w:val="single" w:sz="6" w:space="0" w:color="000000"/>
              <w:left w:val="nil"/>
              <w:bottom w:val="single" w:sz="6" w:space="0" w:color="000000"/>
              <w:right w:val="nil"/>
            </w:tcBorders>
            <w:shd w:val="clear" w:color="auto" w:fill="auto"/>
            <w:vAlign w:val="center"/>
          </w:tcPr>
          <w:p w14:paraId="036BF5CC" w14:textId="7A86191E" w:rsidR="00D65C40" w:rsidRPr="0054775B" w:rsidRDefault="00D65C40" w:rsidP="00D65C40">
            <w:pPr>
              <w:pStyle w:val="2024TABLETEXT"/>
              <w:framePr w:hSpace="0" w:wrap="auto" w:vAnchor="margin" w:yAlign="inline"/>
              <w:suppressOverlap w:val="0"/>
            </w:pPr>
            <w:r w:rsidRPr="0054775B">
              <w:t>-</w:t>
            </w:r>
          </w:p>
        </w:tc>
        <w:tc>
          <w:tcPr>
            <w:tcW w:w="450" w:type="pct"/>
            <w:tcBorders>
              <w:top w:val="single" w:sz="6" w:space="0" w:color="000000"/>
              <w:left w:val="nil"/>
              <w:bottom w:val="single" w:sz="6" w:space="0" w:color="000000"/>
              <w:right w:val="nil"/>
            </w:tcBorders>
            <w:vAlign w:val="center"/>
          </w:tcPr>
          <w:p w14:paraId="5FC14F46" w14:textId="1A7573AA" w:rsidR="00D65C40" w:rsidRPr="0054775B" w:rsidRDefault="00D65C40" w:rsidP="00D65C40">
            <w:pPr>
              <w:pStyle w:val="2024TABLETEXT"/>
              <w:framePr w:hSpace="0" w:wrap="auto" w:vAnchor="margin" w:yAlign="inline"/>
              <w:suppressOverlap w:val="0"/>
            </w:pPr>
            <w:r w:rsidRPr="0054775B">
              <w:t>43 (1)</w:t>
            </w:r>
          </w:p>
        </w:tc>
        <w:tc>
          <w:tcPr>
            <w:tcW w:w="400" w:type="pct"/>
            <w:tcBorders>
              <w:top w:val="single" w:sz="6" w:space="0" w:color="000000"/>
              <w:left w:val="nil"/>
              <w:bottom w:val="single" w:sz="6" w:space="0" w:color="000000"/>
              <w:right w:val="nil"/>
            </w:tcBorders>
            <w:vAlign w:val="center"/>
          </w:tcPr>
          <w:p w14:paraId="160B2B2A" w14:textId="3E7B1C1B" w:rsidR="00D65C40" w:rsidRPr="0054775B" w:rsidRDefault="00D65C40" w:rsidP="00D65C40">
            <w:pPr>
              <w:pStyle w:val="2024TABLETEXT"/>
              <w:framePr w:hSpace="0" w:wrap="auto" w:vAnchor="margin" w:yAlign="inline"/>
              <w:suppressOverlap w:val="0"/>
            </w:pPr>
            <w:r w:rsidRPr="0054775B">
              <w:rPr>
                <w:rFonts w:ascii="Cambria Math" w:hAnsi="Cambria Math" w:cs="Cambria Math"/>
                <w:sz w:val="22"/>
                <w:szCs w:val="22"/>
              </w:rPr>
              <w:t>⨁</w:t>
            </w:r>
            <w:r w:rsidRPr="0054775B">
              <w:rPr>
                <w:rFonts w:ascii="Segoe UI Symbol" w:hAnsi="Segoe UI Symbol" w:cs="Segoe UI Symbol"/>
              </w:rPr>
              <w:t>◯◯◯</w:t>
            </w:r>
            <w:r w:rsidRPr="0054775B">
              <w:br/>
              <w:t>VERY LOW</w:t>
            </w:r>
            <w:r w:rsidRPr="0054775B">
              <w:rPr>
                <w:rStyle w:val="FootnoteReference"/>
              </w:rPr>
              <w:t xml:space="preserve"> </w:t>
            </w:r>
            <w:r w:rsidR="005B1618">
              <w:rPr>
                <w:rStyle w:val="FootnoteReference"/>
              </w:rPr>
              <w:t>e</w:t>
            </w:r>
          </w:p>
        </w:tc>
        <w:tc>
          <w:tcPr>
            <w:tcW w:w="998" w:type="pct"/>
            <w:tcBorders>
              <w:top w:val="single" w:sz="6" w:space="0" w:color="000000"/>
              <w:left w:val="nil"/>
              <w:bottom w:val="single" w:sz="6" w:space="0" w:color="000000"/>
              <w:right w:val="nil"/>
            </w:tcBorders>
            <w:vAlign w:val="center"/>
          </w:tcPr>
          <w:p w14:paraId="4583B1F7" w14:textId="3DA20EEA" w:rsidR="00D65C40" w:rsidRPr="0054775B" w:rsidRDefault="00D65C40" w:rsidP="00D65C40">
            <w:pPr>
              <w:pStyle w:val="2024TABLETEXT"/>
              <w:framePr w:hSpace="0" w:wrap="auto" w:vAnchor="margin" w:yAlign="inline"/>
              <w:suppressOverlap w:val="0"/>
            </w:pPr>
            <w:r w:rsidRPr="0054775B">
              <w:t xml:space="preserve">The evidence is very uncertain about the effect of magnesium on </w:t>
            </w:r>
            <w:r w:rsidR="00AC34C5">
              <w:t xml:space="preserve">early morning awakening </w:t>
            </w:r>
            <w:r w:rsidRPr="0054775B">
              <w:t>for insomnia or sleep disorders.</w:t>
            </w:r>
          </w:p>
        </w:tc>
      </w:tr>
      <w:tr w:rsidR="00041F3A" w:rsidRPr="0054775B" w14:paraId="41DA0BE7" w14:textId="77777777" w:rsidTr="00041F3A">
        <w:trPr>
          <w:cantSplit/>
        </w:trPr>
        <w:tc>
          <w:tcPr>
            <w:tcW w:w="300" w:type="pct"/>
            <w:tcBorders>
              <w:top w:val="single" w:sz="6" w:space="0" w:color="000000"/>
              <w:left w:val="nil"/>
              <w:bottom w:val="single" w:sz="6" w:space="0" w:color="000000"/>
              <w:right w:val="nil"/>
            </w:tcBorders>
            <w:vAlign w:val="center"/>
          </w:tcPr>
          <w:p w14:paraId="1A5E07E2" w14:textId="77777777" w:rsidR="009C2499" w:rsidRPr="0054775B" w:rsidRDefault="009C2499" w:rsidP="00761AFF">
            <w:pPr>
              <w:pStyle w:val="2024TABLETEXT"/>
              <w:framePr w:hSpace="0" w:wrap="auto" w:vAnchor="margin" w:yAlign="inline"/>
              <w:suppressOverlap w:val="0"/>
              <w:jc w:val="center"/>
            </w:pPr>
            <w:r w:rsidRPr="0054775B">
              <w:lastRenderedPageBreak/>
              <w:t>8</w:t>
            </w:r>
          </w:p>
        </w:tc>
        <w:tc>
          <w:tcPr>
            <w:tcW w:w="1151" w:type="pct"/>
            <w:tcBorders>
              <w:top w:val="single" w:sz="6" w:space="0" w:color="000000"/>
              <w:left w:val="nil"/>
              <w:bottom w:val="single" w:sz="6" w:space="0" w:color="000000"/>
              <w:right w:val="nil"/>
            </w:tcBorders>
            <w:vAlign w:val="center"/>
          </w:tcPr>
          <w:p w14:paraId="24611948" w14:textId="086C9A4A" w:rsidR="009C2499" w:rsidRPr="0054775B" w:rsidRDefault="009C2499" w:rsidP="009C2499">
            <w:pPr>
              <w:pStyle w:val="2024TABLETEXT"/>
              <w:framePr w:hSpace="0" w:wrap="auto" w:vAnchor="margin" w:yAlign="inline"/>
              <w:suppressOverlap w:val="0"/>
              <w:rPr>
                <w:b/>
                <w:bCs/>
              </w:rPr>
            </w:pPr>
            <w:r w:rsidRPr="0054775B">
              <w:rPr>
                <w:b/>
                <w:bCs/>
              </w:rPr>
              <w:t>Quality of life</w:t>
            </w:r>
          </w:p>
        </w:tc>
        <w:tc>
          <w:tcPr>
            <w:tcW w:w="450" w:type="pct"/>
            <w:tcBorders>
              <w:top w:val="single" w:sz="6" w:space="0" w:color="000000"/>
              <w:left w:val="nil"/>
              <w:bottom w:val="single" w:sz="6" w:space="0" w:color="000000"/>
              <w:right w:val="nil"/>
            </w:tcBorders>
            <w:vAlign w:val="center"/>
          </w:tcPr>
          <w:p w14:paraId="3C13B121" w14:textId="77777777" w:rsidR="009C2499" w:rsidRPr="0054775B" w:rsidRDefault="009C2499" w:rsidP="009C2499">
            <w:pPr>
              <w:pStyle w:val="2024TABLETEXT"/>
              <w:framePr w:hSpace="0" w:wrap="auto" w:vAnchor="margin" w:yAlign="inline"/>
              <w:suppressOverlap w:val="0"/>
            </w:pPr>
            <w:r w:rsidRPr="0054775B">
              <w:t>-</w:t>
            </w:r>
          </w:p>
        </w:tc>
        <w:tc>
          <w:tcPr>
            <w:tcW w:w="450" w:type="pct"/>
            <w:tcBorders>
              <w:top w:val="single" w:sz="6" w:space="0" w:color="000000"/>
              <w:left w:val="nil"/>
              <w:bottom w:val="single" w:sz="6" w:space="0" w:color="000000"/>
              <w:right w:val="nil"/>
            </w:tcBorders>
            <w:vAlign w:val="center"/>
          </w:tcPr>
          <w:p w14:paraId="6B0D5B68" w14:textId="6897A140" w:rsidR="009C2499" w:rsidRPr="0054775B" w:rsidRDefault="009C2499" w:rsidP="009C2499">
            <w:pPr>
              <w:pStyle w:val="2024TABLETEXT"/>
              <w:framePr w:hSpace="0" w:wrap="auto" w:vAnchor="margin" w:yAlign="inline"/>
              <w:suppressOverlap w:val="0"/>
            </w:pPr>
            <w:r w:rsidRPr="0054775B">
              <w:t>-</w:t>
            </w:r>
          </w:p>
        </w:tc>
        <w:tc>
          <w:tcPr>
            <w:tcW w:w="450" w:type="pct"/>
            <w:tcBorders>
              <w:top w:val="single" w:sz="6" w:space="0" w:color="000000"/>
              <w:left w:val="nil"/>
              <w:bottom w:val="single" w:sz="6" w:space="0" w:color="000000"/>
              <w:right w:val="nil"/>
            </w:tcBorders>
            <w:vAlign w:val="center"/>
          </w:tcPr>
          <w:p w14:paraId="0625159F" w14:textId="1C11FC2E" w:rsidR="009C2499" w:rsidRPr="0054775B" w:rsidRDefault="009C2499" w:rsidP="009C2499">
            <w:pPr>
              <w:pStyle w:val="2024TABLETEXT"/>
              <w:framePr w:hSpace="0" w:wrap="auto" w:vAnchor="margin" w:yAlign="inline"/>
              <w:suppressOverlap w:val="0"/>
            </w:pPr>
            <w:r w:rsidRPr="0054775B">
              <w:t>-</w:t>
            </w:r>
          </w:p>
        </w:tc>
        <w:tc>
          <w:tcPr>
            <w:tcW w:w="351" w:type="pct"/>
            <w:tcBorders>
              <w:top w:val="single" w:sz="6" w:space="0" w:color="000000"/>
              <w:left w:val="nil"/>
              <w:bottom w:val="single" w:sz="6" w:space="0" w:color="000000"/>
              <w:right w:val="nil"/>
            </w:tcBorders>
            <w:shd w:val="clear" w:color="auto" w:fill="auto"/>
            <w:vAlign w:val="center"/>
          </w:tcPr>
          <w:p w14:paraId="5A7F0DE3" w14:textId="2FA91F5E" w:rsidR="009C2499" w:rsidRPr="0054775B" w:rsidRDefault="009C2499" w:rsidP="009C2499">
            <w:pPr>
              <w:pStyle w:val="2024TABLETEXT"/>
              <w:framePr w:hSpace="0" w:wrap="auto" w:vAnchor="margin" w:yAlign="inline"/>
              <w:suppressOverlap w:val="0"/>
            </w:pPr>
            <w:r w:rsidRPr="0054775B">
              <w:t>-</w:t>
            </w:r>
          </w:p>
        </w:tc>
        <w:tc>
          <w:tcPr>
            <w:tcW w:w="450" w:type="pct"/>
            <w:tcBorders>
              <w:top w:val="single" w:sz="6" w:space="0" w:color="000000"/>
              <w:left w:val="nil"/>
              <w:bottom w:val="single" w:sz="6" w:space="0" w:color="000000"/>
              <w:right w:val="nil"/>
            </w:tcBorders>
            <w:vAlign w:val="center"/>
          </w:tcPr>
          <w:p w14:paraId="5744A191" w14:textId="77777777" w:rsidR="009C2499" w:rsidRPr="0054775B" w:rsidRDefault="009C2499" w:rsidP="009C2499">
            <w:pPr>
              <w:pStyle w:val="2024TABLETEXT"/>
              <w:framePr w:hSpace="0" w:wrap="auto" w:vAnchor="margin" w:yAlign="inline"/>
              <w:suppressOverlap w:val="0"/>
            </w:pPr>
            <w:r w:rsidRPr="0054775B">
              <w:t>-</w:t>
            </w:r>
          </w:p>
        </w:tc>
        <w:tc>
          <w:tcPr>
            <w:tcW w:w="400" w:type="pct"/>
            <w:tcBorders>
              <w:top w:val="single" w:sz="6" w:space="0" w:color="000000"/>
              <w:left w:val="nil"/>
              <w:bottom w:val="single" w:sz="6" w:space="0" w:color="000000"/>
              <w:right w:val="nil"/>
            </w:tcBorders>
            <w:vAlign w:val="center"/>
          </w:tcPr>
          <w:p w14:paraId="7EF72B49" w14:textId="77777777" w:rsidR="009C2499" w:rsidRPr="0054775B" w:rsidRDefault="009C2499" w:rsidP="009C2499">
            <w:pPr>
              <w:pStyle w:val="2024TABLETEXT"/>
              <w:framePr w:hSpace="0" w:wrap="auto" w:vAnchor="margin" w:yAlign="inline"/>
              <w:suppressOverlap w:val="0"/>
            </w:pPr>
            <w:r w:rsidRPr="0054775B">
              <w:t>-</w:t>
            </w:r>
          </w:p>
        </w:tc>
        <w:tc>
          <w:tcPr>
            <w:tcW w:w="998" w:type="pct"/>
            <w:tcBorders>
              <w:top w:val="single" w:sz="6" w:space="0" w:color="000000"/>
              <w:left w:val="nil"/>
              <w:bottom w:val="single" w:sz="6" w:space="0" w:color="000000"/>
              <w:right w:val="nil"/>
            </w:tcBorders>
            <w:vAlign w:val="center"/>
          </w:tcPr>
          <w:p w14:paraId="6B449A22" w14:textId="6DCBB39B" w:rsidR="009C2499" w:rsidRPr="0054775B" w:rsidRDefault="009C2499" w:rsidP="009C2499">
            <w:pPr>
              <w:pStyle w:val="2024TABLETEXT"/>
              <w:framePr w:hSpace="0" w:wrap="auto" w:vAnchor="margin" w:yAlign="inline"/>
              <w:suppressOverlap w:val="0"/>
            </w:pPr>
            <w:r w:rsidRPr="0054775B">
              <w:t xml:space="preserve">No </w:t>
            </w:r>
            <w:r w:rsidR="00417802">
              <w:t>reviews</w:t>
            </w:r>
            <w:r w:rsidR="00417802" w:rsidRPr="0054775B">
              <w:t xml:space="preserve"> </w:t>
            </w:r>
            <w:r w:rsidRPr="0054775B">
              <w:t>found. The effect of magnesium on quality of life for insomnia or sleep disorders is unknown.</w:t>
            </w:r>
          </w:p>
        </w:tc>
      </w:tr>
      <w:tr w:rsidR="00041F3A" w:rsidRPr="0054775B" w14:paraId="31C0D93A" w14:textId="77777777" w:rsidTr="00041F3A">
        <w:trPr>
          <w:cantSplit/>
        </w:trPr>
        <w:tc>
          <w:tcPr>
            <w:tcW w:w="300" w:type="pct"/>
            <w:tcBorders>
              <w:top w:val="single" w:sz="6" w:space="0" w:color="000000"/>
              <w:left w:val="nil"/>
              <w:bottom w:val="single" w:sz="6" w:space="0" w:color="000000"/>
              <w:right w:val="nil"/>
            </w:tcBorders>
            <w:vAlign w:val="center"/>
          </w:tcPr>
          <w:p w14:paraId="65077901" w14:textId="5E5A7F36" w:rsidR="009C2499" w:rsidRPr="0054775B" w:rsidRDefault="009C2499" w:rsidP="00761AFF">
            <w:pPr>
              <w:pStyle w:val="2024TABLETEXT"/>
              <w:framePr w:hSpace="0" w:wrap="auto" w:vAnchor="margin" w:yAlign="inline"/>
              <w:suppressOverlap w:val="0"/>
              <w:jc w:val="center"/>
            </w:pPr>
            <w:r w:rsidRPr="0054775B">
              <w:t>7</w:t>
            </w:r>
          </w:p>
        </w:tc>
        <w:tc>
          <w:tcPr>
            <w:tcW w:w="1151" w:type="pct"/>
            <w:tcBorders>
              <w:top w:val="single" w:sz="6" w:space="0" w:color="000000"/>
              <w:left w:val="nil"/>
              <w:bottom w:val="single" w:sz="6" w:space="0" w:color="000000"/>
              <w:right w:val="nil"/>
            </w:tcBorders>
            <w:vAlign w:val="center"/>
          </w:tcPr>
          <w:p w14:paraId="6AB9FE44" w14:textId="2AAF32BC" w:rsidR="009C2499" w:rsidRPr="0054775B" w:rsidRDefault="009C2499" w:rsidP="009C2499">
            <w:pPr>
              <w:pStyle w:val="2024TABLETEXT"/>
              <w:framePr w:hSpace="0" w:wrap="auto" w:vAnchor="margin" w:yAlign="inline"/>
              <w:suppressOverlap w:val="0"/>
              <w:rPr>
                <w:b/>
                <w:bCs/>
              </w:rPr>
            </w:pPr>
            <w:r w:rsidRPr="0054775B">
              <w:rPr>
                <w:b/>
                <w:bCs/>
              </w:rPr>
              <w:t>Daytime functioning</w:t>
            </w:r>
          </w:p>
        </w:tc>
        <w:tc>
          <w:tcPr>
            <w:tcW w:w="450" w:type="pct"/>
            <w:tcBorders>
              <w:top w:val="single" w:sz="6" w:space="0" w:color="000000"/>
              <w:left w:val="nil"/>
              <w:bottom w:val="single" w:sz="6" w:space="0" w:color="000000"/>
              <w:right w:val="nil"/>
            </w:tcBorders>
            <w:vAlign w:val="center"/>
          </w:tcPr>
          <w:p w14:paraId="7C5C6DE9" w14:textId="77777777" w:rsidR="009C2499" w:rsidRPr="0054775B" w:rsidRDefault="009C2499" w:rsidP="009C2499">
            <w:pPr>
              <w:pStyle w:val="2024TABLETEXT"/>
              <w:framePr w:hSpace="0" w:wrap="auto" w:vAnchor="margin" w:yAlign="inline"/>
              <w:suppressOverlap w:val="0"/>
            </w:pPr>
            <w:r w:rsidRPr="0054775B">
              <w:t>-</w:t>
            </w:r>
          </w:p>
        </w:tc>
        <w:tc>
          <w:tcPr>
            <w:tcW w:w="450" w:type="pct"/>
            <w:tcBorders>
              <w:top w:val="single" w:sz="6" w:space="0" w:color="000000"/>
              <w:left w:val="nil"/>
              <w:bottom w:val="single" w:sz="6" w:space="0" w:color="000000"/>
              <w:right w:val="nil"/>
            </w:tcBorders>
            <w:vAlign w:val="center"/>
          </w:tcPr>
          <w:p w14:paraId="26C94A47" w14:textId="790421B6" w:rsidR="009C2499" w:rsidRPr="0054775B" w:rsidRDefault="009C2499" w:rsidP="009C2499">
            <w:pPr>
              <w:pStyle w:val="2024TABLETEXT"/>
              <w:framePr w:hSpace="0" w:wrap="auto" w:vAnchor="margin" w:yAlign="inline"/>
              <w:suppressOverlap w:val="0"/>
            </w:pPr>
            <w:r w:rsidRPr="0054775B">
              <w:t>-</w:t>
            </w:r>
          </w:p>
        </w:tc>
        <w:tc>
          <w:tcPr>
            <w:tcW w:w="450" w:type="pct"/>
            <w:tcBorders>
              <w:top w:val="single" w:sz="6" w:space="0" w:color="000000"/>
              <w:left w:val="nil"/>
              <w:bottom w:val="single" w:sz="6" w:space="0" w:color="000000"/>
              <w:right w:val="nil"/>
            </w:tcBorders>
            <w:vAlign w:val="center"/>
          </w:tcPr>
          <w:p w14:paraId="0C0CF19B" w14:textId="2E8E3B61" w:rsidR="009C2499" w:rsidRPr="0054775B" w:rsidRDefault="009C2499" w:rsidP="009C2499">
            <w:pPr>
              <w:pStyle w:val="2024TABLETEXT"/>
              <w:framePr w:hSpace="0" w:wrap="auto" w:vAnchor="margin" w:yAlign="inline"/>
              <w:suppressOverlap w:val="0"/>
            </w:pPr>
            <w:r w:rsidRPr="0054775B">
              <w:t>-</w:t>
            </w:r>
          </w:p>
        </w:tc>
        <w:tc>
          <w:tcPr>
            <w:tcW w:w="351" w:type="pct"/>
            <w:tcBorders>
              <w:top w:val="single" w:sz="6" w:space="0" w:color="000000"/>
              <w:left w:val="nil"/>
              <w:bottom w:val="single" w:sz="6" w:space="0" w:color="000000"/>
              <w:right w:val="nil"/>
            </w:tcBorders>
            <w:shd w:val="clear" w:color="auto" w:fill="auto"/>
            <w:vAlign w:val="center"/>
          </w:tcPr>
          <w:p w14:paraId="00F1837A" w14:textId="5A69130E" w:rsidR="009C2499" w:rsidRPr="0054775B" w:rsidRDefault="009C2499" w:rsidP="009C2499">
            <w:pPr>
              <w:pStyle w:val="2024TABLETEXT"/>
              <w:framePr w:hSpace="0" w:wrap="auto" w:vAnchor="margin" w:yAlign="inline"/>
              <w:suppressOverlap w:val="0"/>
            </w:pPr>
            <w:r w:rsidRPr="0054775B">
              <w:t>-</w:t>
            </w:r>
          </w:p>
        </w:tc>
        <w:tc>
          <w:tcPr>
            <w:tcW w:w="450" w:type="pct"/>
            <w:tcBorders>
              <w:top w:val="single" w:sz="6" w:space="0" w:color="000000"/>
              <w:left w:val="nil"/>
              <w:bottom w:val="single" w:sz="6" w:space="0" w:color="000000"/>
              <w:right w:val="nil"/>
            </w:tcBorders>
            <w:vAlign w:val="center"/>
          </w:tcPr>
          <w:p w14:paraId="4C4D8E26" w14:textId="77777777" w:rsidR="009C2499" w:rsidRPr="0054775B" w:rsidRDefault="009C2499" w:rsidP="009C2499">
            <w:pPr>
              <w:pStyle w:val="2024TABLETEXT"/>
              <w:framePr w:hSpace="0" w:wrap="auto" w:vAnchor="margin" w:yAlign="inline"/>
              <w:suppressOverlap w:val="0"/>
            </w:pPr>
            <w:r w:rsidRPr="0054775B">
              <w:t>-</w:t>
            </w:r>
          </w:p>
        </w:tc>
        <w:tc>
          <w:tcPr>
            <w:tcW w:w="400" w:type="pct"/>
            <w:tcBorders>
              <w:top w:val="single" w:sz="6" w:space="0" w:color="000000"/>
              <w:left w:val="nil"/>
              <w:bottom w:val="single" w:sz="6" w:space="0" w:color="000000"/>
              <w:right w:val="nil"/>
            </w:tcBorders>
            <w:vAlign w:val="center"/>
          </w:tcPr>
          <w:p w14:paraId="565335CD" w14:textId="77777777" w:rsidR="009C2499" w:rsidRPr="0054775B" w:rsidRDefault="009C2499" w:rsidP="009C2499">
            <w:pPr>
              <w:pStyle w:val="2024TABLETEXT"/>
              <w:framePr w:hSpace="0" w:wrap="auto" w:vAnchor="margin" w:yAlign="inline"/>
              <w:suppressOverlap w:val="0"/>
            </w:pPr>
            <w:r w:rsidRPr="0054775B">
              <w:t>-</w:t>
            </w:r>
          </w:p>
        </w:tc>
        <w:tc>
          <w:tcPr>
            <w:tcW w:w="998" w:type="pct"/>
            <w:tcBorders>
              <w:top w:val="single" w:sz="6" w:space="0" w:color="000000"/>
              <w:left w:val="nil"/>
              <w:bottom w:val="single" w:sz="6" w:space="0" w:color="000000"/>
              <w:right w:val="nil"/>
            </w:tcBorders>
            <w:vAlign w:val="center"/>
          </w:tcPr>
          <w:p w14:paraId="5143D14A" w14:textId="4F6CD39B" w:rsidR="009C2499" w:rsidRPr="0054775B" w:rsidRDefault="009C2499" w:rsidP="009C2499">
            <w:pPr>
              <w:pStyle w:val="2024TABLETEXT"/>
              <w:framePr w:hSpace="0" w:wrap="auto" w:vAnchor="margin" w:yAlign="inline"/>
              <w:suppressOverlap w:val="0"/>
            </w:pPr>
            <w:r w:rsidRPr="0054775B">
              <w:t xml:space="preserve">No </w:t>
            </w:r>
            <w:r w:rsidR="00417802">
              <w:t>reviews</w:t>
            </w:r>
            <w:r w:rsidR="00417802" w:rsidRPr="0054775B">
              <w:t xml:space="preserve"> </w:t>
            </w:r>
            <w:r w:rsidRPr="0054775B">
              <w:t>found. The effect of magnesium on daytime functioning for insomnia or sleep disorders is unknown.</w:t>
            </w:r>
          </w:p>
        </w:tc>
      </w:tr>
      <w:tr w:rsidR="00041F3A" w:rsidRPr="0054775B" w14:paraId="39F571E8" w14:textId="77777777" w:rsidTr="00041F3A">
        <w:trPr>
          <w:cantSplit/>
        </w:trPr>
        <w:tc>
          <w:tcPr>
            <w:tcW w:w="300" w:type="pct"/>
            <w:tcBorders>
              <w:top w:val="single" w:sz="6" w:space="0" w:color="000000"/>
              <w:left w:val="nil"/>
              <w:bottom w:val="single" w:sz="6" w:space="0" w:color="000000"/>
              <w:right w:val="nil"/>
            </w:tcBorders>
            <w:vAlign w:val="center"/>
          </w:tcPr>
          <w:p w14:paraId="4E5A5BA3" w14:textId="32B84508" w:rsidR="009C2499" w:rsidRPr="0054775B" w:rsidRDefault="009C2499" w:rsidP="00761AFF">
            <w:pPr>
              <w:pStyle w:val="2024TABLETEXT"/>
              <w:framePr w:hSpace="0" w:wrap="auto" w:vAnchor="margin" w:yAlign="inline"/>
              <w:suppressOverlap w:val="0"/>
              <w:jc w:val="center"/>
            </w:pPr>
            <w:r w:rsidRPr="0054775B">
              <w:t>7</w:t>
            </w:r>
          </w:p>
        </w:tc>
        <w:tc>
          <w:tcPr>
            <w:tcW w:w="1151" w:type="pct"/>
            <w:tcBorders>
              <w:top w:val="single" w:sz="6" w:space="0" w:color="000000"/>
              <w:left w:val="nil"/>
              <w:bottom w:val="single" w:sz="6" w:space="0" w:color="000000"/>
              <w:right w:val="nil"/>
            </w:tcBorders>
            <w:vAlign w:val="center"/>
          </w:tcPr>
          <w:p w14:paraId="7B7A66AF" w14:textId="375B9726" w:rsidR="009C2499" w:rsidRPr="0054775B" w:rsidRDefault="009C2499" w:rsidP="009C2499">
            <w:pPr>
              <w:pStyle w:val="2024TABLETEXT"/>
              <w:framePr w:hSpace="0" w:wrap="auto" w:vAnchor="margin" w:yAlign="inline"/>
              <w:suppressOverlap w:val="0"/>
              <w:rPr>
                <w:b/>
                <w:bCs/>
              </w:rPr>
            </w:pPr>
            <w:r w:rsidRPr="0054775B">
              <w:rPr>
                <w:b/>
                <w:bCs/>
              </w:rPr>
              <w:t>Fatigue</w:t>
            </w:r>
          </w:p>
        </w:tc>
        <w:tc>
          <w:tcPr>
            <w:tcW w:w="450" w:type="pct"/>
            <w:tcBorders>
              <w:top w:val="single" w:sz="6" w:space="0" w:color="000000"/>
              <w:left w:val="nil"/>
              <w:bottom w:val="single" w:sz="6" w:space="0" w:color="000000"/>
              <w:right w:val="nil"/>
            </w:tcBorders>
            <w:vAlign w:val="center"/>
          </w:tcPr>
          <w:p w14:paraId="21C24C0D" w14:textId="77777777" w:rsidR="009C2499" w:rsidRPr="0054775B" w:rsidRDefault="009C2499" w:rsidP="009C2499">
            <w:pPr>
              <w:pStyle w:val="2024TABLETEXT"/>
              <w:framePr w:hSpace="0" w:wrap="auto" w:vAnchor="margin" w:yAlign="inline"/>
              <w:suppressOverlap w:val="0"/>
            </w:pPr>
            <w:r w:rsidRPr="0054775B">
              <w:t>-</w:t>
            </w:r>
          </w:p>
        </w:tc>
        <w:tc>
          <w:tcPr>
            <w:tcW w:w="450" w:type="pct"/>
            <w:tcBorders>
              <w:top w:val="single" w:sz="6" w:space="0" w:color="000000"/>
              <w:left w:val="nil"/>
              <w:bottom w:val="single" w:sz="6" w:space="0" w:color="000000"/>
              <w:right w:val="nil"/>
            </w:tcBorders>
            <w:vAlign w:val="center"/>
          </w:tcPr>
          <w:p w14:paraId="38708201" w14:textId="2188C03F" w:rsidR="009C2499" w:rsidRPr="0054775B" w:rsidRDefault="009C2499" w:rsidP="009C2499">
            <w:pPr>
              <w:pStyle w:val="2024TABLETEXT"/>
              <w:framePr w:hSpace="0" w:wrap="auto" w:vAnchor="margin" w:yAlign="inline"/>
              <w:suppressOverlap w:val="0"/>
            </w:pPr>
            <w:r w:rsidRPr="0054775B">
              <w:t>-</w:t>
            </w:r>
          </w:p>
        </w:tc>
        <w:tc>
          <w:tcPr>
            <w:tcW w:w="450" w:type="pct"/>
            <w:tcBorders>
              <w:top w:val="single" w:sz="6" w:space="0" w:color="000000"/>
              <w:left w:val="nil"/>
              <w:bottom w:val="single" w:sz="6" w:space="0" w:color="000000"/>
              <w:right w:val="nil"/>
            </w:tcBorders>
            <w:vAlign w:val="center"/>
          </w:tcPr>
          <w:p w14:paraId="3D2A6CCA" w14:textId="1643F9B8" w:rsidR="009C2499" w:rsidRPr="0054775B" w:rsidRDefault="009C2499" w:rsidP="009C2499">
            <w:pPr>
              <w:pStyle w:val="2024TABLETEXT"/>
              <w:framePr w:hSpace="0" w:wrap="auto" w:vAnchor="margin" w:yAlign="inline"/>
              <w:suppressOverlap w:val="0"/>
            </w:pPr>
            <w:r w:rsidRPr="0054775B">
              <w:t>-</w:t>
            </w:r>
          </w:p>
        </w:tc>
        <w:tc>
          <w:tcPr>
            <w:tcW w:w="351" w:type="pct"/>
            <w:tcBorders>
              <w:top w:val="single" w:sz="6" w:space="0" w:color="000000"/>
              <w:left w:val="nil"/>
              <w:bottom w:val="single" w:sz="6" w:space="0" w:color="000000"/>
              <w:right w:val="nil"/>
            </w:tcBorders>
            <w:shd w:val="clear" w:color="auto" w:fill="auto"/>
            <w:vAlign w:val="center"/>
          </w:tcPr>
          <w:p w14:paraId="35EC4798" w14:textId="6938A54D" w:rsidR="009C2499" w:rsidRPr="0054775B" w:rsidRDefault="009C2499" w:rsidP="009C2499">
            <w:pPr>
              <w:pStyle w:val="2024TABLETEXT"/>
              <w:framePr w:hSpace="0" w:wrap="auto" w:vAnchor="margin" w:yAlign="inline"/>
              <w:suppressOverlap w:val="0"/>
            </w:pPr>
            <w:r w:rsidRPr="0054775B">
              <w:t>-</w:t>
            </w:r>
          </w:p>
        </w:tc>
        <w:tc>
          <w:tcPr>
            <w:tcW w:w="450" w:type="pct"/>
            <w:tcBorders>
              <w:top w:val="single" w:sz="6" w:space="0" w:color="000000"/>
              <w:left w:val="nil"/>
              <w:bottom w:val="single" w:sz="6" w:space="0" w:color="000000"/>
              <w:right w:val="nil"/>
            </w:tcBorders>
            <w:vAlign w:val="center"/>
          </w:tcPr>
          <w:p w14:paraId="448366E3" w14:textId="77777777" w:rsidR="009C2499" w:rsidRPr="0054775B" w:rsidRDefault="009C2499" w:rsidP="009C2499">
            <w:pPr>
              <w:pStyle w:val="2024TABLETEXT"/>
              <w:framePr w:hSpace="0" w:wrap="auto" w:vAnchor="margin" w:yAlign="inline"/>
              <w:suppressOverlap w:val="0"/>
            </w:pPr>
            <w:r w:rsidRPr="0054775B">
              <w:t>-</w:t>
            </w:r>
          </w:p>
        </w:tc>
        <w:tc>
          <w:tcPr>
            <w:tcW w:w="400" w:type="pct"/>
            <w:tcBorders>
              <w:top w:val="single" w:sz="6" w:space="0" w:color="000000"/>
              <w:left w:val="nil"/>
              <w:bottom w:val="single" w:sz="6" w:space="0" w:color="000000"/>
              <w:right w:val="nil"/>
            </w:tcBorders>
            <w:vAlign w:val="center"/>
          </w:tcPr>
          <w:p w14:paraId="000EF60C" w14:textId="77777777" w:rsidR="009C2499" w:rsidRPr="0054775B" w:rsidRDefault="009C2499" w:rsidP="009C2499">
            <w:pPr>
              <w:pStyle w:val="2024TABLETEXT"/>
              <w:framePr w:hSpace="0" w:wrap="auto" w:vAnchor="margin" w:yAlign="inline"/>
              <w:suppressOverlap w:val="0"/>
            </w:pPr>
            <w:r w:rsidRPr="0054775B">
              <w:t>-</w:t>
            </w:r>
          </w:p>
        </w:tc>
        <w:tc>
          <w:tcPr>
            <w:tcW w:w="998" w:type="pct"/>
            <w:tcBorders>
              <w:top w:val="single" w:sz="6" w:space="0" w:color="000000"/>
              <w:left w:val="nil"/>
              <w:bottom w:val="single" w:sz="6" w:space="0" w:color="000000"/>
              <w:right w:val="nil"/>
            </w:tcBorders>
            <w:vAlign w:val="center"/>
          </w:tcPr>
          <w:p w14:paraId="5901ED32" w14:textId="5E26BD92" w:rsidR="009C2499" w:rsidRPr="0054775B" w:rsidRDefault="009C2499" w:rsidP="009C2499">
            <w:pPr>
              <w:pStyle w:val="2024TABLETEXT"/>
              <w:framePr w:hSpace="0" w:wrap="auto" w:vAnchor="margin" w:yAlign="inline"/>
              <w:suppressOverlap w:val="0"/>
            </w:pPr>
            <w:r w:rsidRPr="0054775B">
              <w:t xml:space="preserve">No </w:t>
            </w:r>
            <w:r w:rsidR="00417802">
              <w:t>reviews</w:t>
            </w:r>
            <w:r w:rsidR="00417802" w:rsidRPr="0054775B">
              <w:t xml:space="preserve"> </w:t>
            </w:r>
            <w:r w:rsidRPr="0054775B">
              <w:t>found. The effect of magnesium on fatigue for insomnia or sleep disorders is unknown.</w:t>
            </w:r>
          </w:p>
        </w:tc>
      </w:tr>
      <w:tr w:rsidR="00EF20E5" w:rsidRPr="0054775B" w14:paraId="75B74327" w14:textId="77777777" w:rsidTr="006502EA">
        <w:trPr>
          <w:trHeight w:val="50"/>
        </w:trPr>
        <w:tc>
          <w:tcPr>
            <w:tcW w:w="5000" w:type="pct"/>
            <w:gridSpan w:val="9"/>
            <w:tcBorders>
              <w:top w:val="single" w:sz="6" w:space="0" w:color="000000"/>
              <w:left w:val="nil"/>
              <w:bottom w:val="single" w:sz="6" w:space="0" w:color="000000"/>
              <w:right w:val="nil"/>
            </w:tcBorders>
          </w:tcPr>
          <w:p w14:paraId="5AF6635F" w14:textId="77777777" w:rsidR="005F5F44" w:rsidRPr="0054775B" w:rsidRDefault="005F5F44" w:rsidP="005F5F44">
            <w:pPr>
              <w:pStyle w:val="2024TABLEFOOTER"/>
            </w:pPr>
            <w:r w:rsidRPr="0054775B">
              <w:t>*Ratings 1-3 = of limited importance to decision making; 4-6 = important, but not critical, to decision making; 7-9 = critical for decision-making</w:t>
            </w:r>
          </w:p>
          <w:p w14:paraId="7203F9F1" w14:textId="6AE2BDB5" w:rsidR="005F5F44" w:rsidRDefault="005F5F44" w:rsidP="005F5F44">
            <w:pPr>
              <w:pStyle w:val="2024TABLEFOOTER"/>
            </w:pPr>
            <w:r w:rsidRPr="00C400E6">
              <w:t>‡</w:t>
            </w:r>
            <w:r w:rsidRPr="00263AC3">
              <w:t>MCID is 3.47 for ISI (defined as 30% reduction from baseline)</w:t>
            </w:r>
            <w:r>
              <w:t xml:space="preserve"> </w:t>
            </w:r>
            <w:r>
              <w:rPr>
                <w:noProof/>
              </w:rPr>
              <w:t>(80)</w:t>
            </w:r>
            <w:r>
              <w:t>.</w:t>
            </w:r>
          </w:p>
          <w:p w14:paraId="3BFC979F" w14:textId="2328F7E3" w:rsidR="00F815C8" w:rsidRDefault="00A72858" w:rsidP="00EF20E5">
            <w:pPr>
              <w:pStyle w:val="2024TABLEFOOTER"/>
            </w:pPr>
            <w:r w:rsidRPr="00A72858">
              <w:rPr>
                <w:rFonts w:eastAsiaTheme="minorHAnsi"/>
              </w:rPr>
              <w:t>†</w:t>
            </w:r>
            <w:r w:rsidR="00F815C8" w:rsidRPr="00E664DC">
              <w:t>MCID</w:t>
            </w:r>
            <w:r w:rsidR="00F815C8">
              <w:t xml:space="preserve"> is 3.0 for PSQI </w:t>
            </w:r>
            <w:r w:rsidR="00A61385">
              <w:rPr>
                <w:noProof/>
              </w:rPr>
              <w:t>(79, 80)</w:t>
            </w:r>
            <w:r w:rsidR="00F815C8">
              <w:t>.</w:t>
            </w:r>
          </w:p>
          <w:p w14:paraId="3673D8FC" w14:textId="257FD521" w:rsidR="00B95677" w:rsidRDefault="00625799" w:rsidP="00625799">
            <w:pPr>
              <w:pStyle w:val="2024TABLEFOOTER"/>
            </w:pPr>
            <w:r w:rsidRPr="00C463E1">
              <w:rPr>
                <w:rFonts w:eastAsiaTheme="minorHAnsi"/>
              </w:rPr>
              <w:t>§</w:t>
            </w:r>
            <w:r w:rsidR="00B95677">
              <w:t>MCI</w:t>
            </w:r>
            <w:r w:rsidR="001356D2">
              <w:t>D</w:t>
            </w:r>
            <w:r w:rsidR="00B95677">
              <w:t xml:space="preserve"> is</w:t>
            </w:r>
            <w:r w:rsidR="001356D2">
              <w:t xml:space="preserve"> </w:t>
            </w:r>
            <w:r w:rsidR="004F5AA6">
              <w:t>40min</w:t>
            </w:r>
            <w:r w:rsidR="001356D2">
              <w:t xml:space="preserve"> for </w:t>
            </w:r>
            <w:r w:rsidR="00B95677">
              <w:t xml:space="preserve">Total Sleep </w:t>
            </w:r>
            <w:r w:rsidR="00B95677" w:rsidRPr="00625799">
              <w:t>Time (TST) (higher is better)</w:t>
            </w:r>
            <w:r w:rsidRPr="00625799">
              <w:t xml:space="preserve">, </w:t>
            </w:r>
            <w:r w:rsidR="004F5AA6">
              <w:t>30min for s</w:t>
            </w:r>
            <w:r w:rsidRPr="00263AC3">
              <w:t>leep-onset latency (SOL) (lower is better)</w:t>
            </w:r>
            <w:r w:rsidR="00890824">
              <w:t xml:space="preserve"> </w:t>
            </w:r>
            <w:r w:rsidR="00A61385">
              <w:rPr>
                <w:noProof/>
              </w:rPr>
              <w:t>(80)</w:t>
            </w:r>
            <w:r w:rsidR="00890824">
              <w:t>.</w:t>
            </w:r>
          </w:p>
          <w:p w14:paraId="563BAD5B" w14:textId="2848114F" w:rsidR="008E2B4A" w:rsidRDefault="008E2B4A" w:rsidP="00625799">
            <w:pPr>
              <w:pStyle w:val="2024TABLEFOOTER"/>
            </w:pPr>
            <w:r w:rsidRPr="008E2B4A">
              <w:t>¶</w:t>
            </w:r>
            <w:r w:rsidRPr="00E664DC">
              <w:t>MCID</w:t>
            </w:r>
            <w:r>
              <w:t xml:space="preserve"> is 5% for sleep efficiency</w:t>
            </w:r>
            <w:r w:rsidR="00890824">
              <w:t xml:space="preserve"> </w:t>
            </w:r>
            <w:r w:rsidR="00A61385">
              <w:rPr>
                <w:noProof/>
              </w:rPr>
              <w:t>(80)</w:t>
            </w:r>
            <w:r w:rsidR="00890824">
              <w:t>.</w:t>
            </w:r>
          </w:p>
          <w:p w14:paraId="1309365C" w14:textId="73C4FD71" w:rsidR="00A6464E" w:rsidRPr="00625799" w:rsidRDefault="00A6464E" w:rsidP="00625799">
            <w:pPr>
              <w:pStyle w:val="2024TABLEFOOTER"/>
            </w:pPr>
            <w:r w:rsidRPr="0054775B">
              <w:t>^</w:t>
            </w:r>
            <w:r w:rsidR="00754826">
              <w:t>Unable to find</w:t>
            </w:r>
            <w:r>
              <w:t xml:space="preserve"> published MCID estimations for early morning awakening</w:t>
            </w:r>
            <w:r w:rsidR="00416F2B">
              <w:t>.</w:t>
            </w:r>
          </w:p>
          <w:p w14:paraId="58D75F2B" w14:textId="77777777" w:rsidR="00F815C8" w:rsidRDefault="00F815C8" w:rsidP="00EF20E5">
            <w:pPr>
              <w:pStyle w:val="2024TABLEFOOTER"/>
            </w:pPr>
          </w:p>
          <w:p w14:paraId="0E0F22D0" w14:textId="262D7F26" w:rsidR="00EF20E5" w:rsidRPr="0054775B" w:rsidRDefault="00AA31AF" w:rsidP="00EF20E5">
            <w:pPr>
              <w:pStyle w:val="2024TABLEFOOTER"/>
            </w:pPr>
            <w:r w:rsidRPr="0054775B">
              <w:t xml:space="preserve">Abbreviations: CI=Confidence Interval, GAD=generalised anxiety disorder, HAM-A=Hamilton Anxiety Scale, </w:t>
            </w:r>
            <w:r w:rsidR="00251CAF" w:rsidRPr="0054775B">
              <w:t>ISI</w:t>
            </w:r>
            <w:r w:rsidR="00DA04B9" w:rsidRPr="0054775B">
              <w:t>=Insomnia Severity Index,</w:t>
            </w:r>
            <w:r w:rsidR="00251CAF" w:rsidRPr="0054775B">
              <w:t xml:space="preserve"> </w:t>
            </w:r>
            <w:r w:rsidRPr="0054775B">
              <w:t xml:space="preserve">MD=Mean difference, </w:t>
            </w:r>
            <w:r w:rsidR="005815C9" w:rsidRPr="0054775B">
              <w:t>REM=Rapid eye movement, PSQI=</w:t>
            </w:r>
            <w:r w:rsidR="00251CAF" w:rsidRPr="0054775B">
              <w:t>Pittsburgh Sleep Quality Index</w:t>
            </w:r>
            <w:r w:rsidR="005815C9" w:rsidRPr="0054775B">
              <w:t>, NR=Not reported</w:t>
            </w:r>
          </w:p>
        </w:tc>
      </w:tr>
      <w:tr w:rsidR="00EF20E5" w:rsidRPr="0054775B" w14:paraId="6F648F0A" w14:textId="77777777" w:rsidTr="006502EA">
        <w:trPr>
          <w:trHeight w:val="236"/>
        </w:trPr>
        <w:tc>
          <w:tcPr>
            <w:tcW w:w="5000" w:type="pct"/>
            <w:gridSpan w:val="9"/>
            <w:tcBorders>
              <w:top w:val="single" w:sz="6" w:space="0" w:color="000000"/>
              <w:left w:val="nil"/>
              <w:bottom w:val="single" w:sz="6" w:space="0" w:color="000000"/>
              <w:right w:val="nil"/>
            </w:tcBorders>
          </w:tcPr>
          <w:p w14:paraId="129814D9" w14:textId="7A2D79DC" w:rsidR="00EF20E5" w:rsidRPr="0054775B" w:rsidRDefault="00EF20E5" w:rsidP="00EF20E5">
            <w:pPr>
              <w:pStyle w:val="2024TABLEFOOTER"/>
              <w:rPr>
                <w:b/>
                <w:bCs/>
              </w:rPr>
            </w:pPr>
            <w:r w:rsidRPr="0054775B">
              <w:t>GRADE Working Group grades of evidence</w:t>
            </w:r>
            <w:r w:rsidRPr="0054775B">
              <w:br/>
            </w:r>
            <w:r w:rsidRPr="0054775B">
              <w:rPr>
                <w:b/>
                <w:bCs/>
              </w:rPr>
              <w:t>High certainty:</w:t>
            </w:r>
            <w:r w:rsidRPr="0054775B">
              <w:t xml:space="preserve"> we are very confident that the true effect lies close to that of the estimate of the effect.</w:t>
            </w:r>
            <w:r w:rsidRPr="0054775B">
              <w:br/>
            </w:r>
            <w:r w:rsidRPr="0054775B">
              <w:rPr>
                <w:b/>
                <w:bCs/>
              </w:rPr>
              <w:t>Moderate certainty:</w:t>
            </w:r>
            <w:r w:rsidRPr="0054775B">
              <w:t xml:space="preserve"> we are moderately confident in the effect estimate: the true effect is likely to be close to the estimate of the effect, but there is a possibility that it is substantially different.</w:t>
            </w:r>
            <w:r w:rsidRPr="0054775B">
              <w:br/>
            </w:r>
            <w:r w:rsidRPr="0054775B">
              <w:rPr>
                <w:b/>
                <w:bCs/>
              </w:rPr>
              <w:t>Low certainty:</w:t>
            </w:r>
            <w:r w:rsidRPr="0054775B">
              <w:t xml:space="preserve"> our confidence in the effect estimate is limited: the true effect may be substantially different from the estimate of the effect.</w:t>
            </w:r>
            <w:r w:rsidRPr="0054775B">
              <w:br/>
            </w:r>
            <w:r w:rsidRPr="0054775B">
              <w:rPr>
                <w:b/>
                <w:bCs/>
              </w:rPr>
              <w:t>Very low certainty:</w:t>
            </w:r>
            <w:r w:rsidRPr="0054775B">
              <w:t xml:space="preserve"> we have very little confidence in the effect estimate: the true effect is likely to be substantially different from the estimate of effect.</w:t>
            </w:r>
          </w:p>
        </w:tc>
      </w:tr>
      <w:tr w:rsidR="00EF20E5" w:rsidRPr="0054775B" w14:paraId="2546C750" w14:textId="77777777" w:rsidTr="006502EA">
        <w:trPr>
          <w:trHeight w:val="236"/>
        </w:trPr>
        <w:tc>
          <w:tcPr>
            <w:tcW w:w="5000" w:type="pct"/>
            <w:gridSpan w:val="9"/>
            <w:tcBorders>
              <w:top w:val="single" w:sz="6" w:space="0" w:color="000000"/>
              <w:left w:val="nil"/>
              <w:bottom w:val="single" w:sz="6" w:space="0" w:color="000000"/>
              <w:right w:val="nil"/>
            </w:tcBorders>
          </w:tcPr>
          <w:p w14:paraId="7FD05409" w14:textId="317394D5" w:rsidR="00EF20E5" w:rsidRPr="0054775B" w:rsidRDefault="00EF20E5" w:rsidP="00EF20E5">
            <w:pPr>
              <w:pStyle w:val="2024TABLEFOOTER"/>
            </w:pPr>
            <w:r w:rsidRPr="0054775B">
              <w:t>Explanations</w:t>
            </w:r>
          </w:p>
          <w:p w14:paraId="15AA969D" w14:textId="09BEE8A9" w:rsidR="00EF20E5" w:rsidRPr="00BD3B19" w:rsidRDefault="006158C6" w:rsidP="00107BEE">
            <w:pPr>
              <w:pStyle w:val="2024TABLEFOOTER"/>
              <w:numPr>
                <w:ilvl w:val="0"/>
                <w:numId w:val="13"/>
              </w:numPr>
              <w:rPr>
                <w:lang w:val="en-GB"/>
              </w:rPr>
            </w:pPr>
            <w:r w:rsidRPr="0054775B">
              <w:t>M</w:t>
            </w:r>
            <w:r w:rsidR="00EF20E5" w:rsidRPr="0054775B">
              <w:t>ethodological concerns in relevant primary study</w:t>
            </w:r>
            <w:r w:rsidRPr="0054775B">
              <w:t xml:space="preserve"> </w:t>
            </w:r>
            <w:r w:rsidR="00EF20E5" w:rsidRPr="0054775B">
              <w:t>(downgrade one for risk of bias). Population</w:t>
            </w:r>
            <w:r w:rsidRPr="0054775B">
              <w:t xml:space="preserve"> in</w:t>
            </w:r>
            <w:r w:rsidR="00EF20E5" w:rsidRPr="0054775B">
              <w:t xml:space="preserve"> the included review was restricted to people ≥55 years old (downgraded one for indirectness). </w:t>
            </w:r>
            <w:r w:rsidR="002424AC">
              <w:t>CI</w:t>
            </w:r>
            <w:r w:rsidR="006870EE">
              <w:t>s</w:t>
            </w:r>
            <w:r w:rsidR="002424AC">
              <w:t xml:space="preserve"> </w:t>
            </w:r>
            <w:r w:rsidR="00185A9A">
              <w:t>not provided</w:t>
            </w:r>
            <w:r w:rsidR="003A5B38">
              <w:t>, naïve comparison across intervention and comparator would suggest a modest effect size from MCID</w:t>
            </w:r>
            <w:r w:rsidR="00DA6C2E">
              <w:t xml:space="preserve">, however, </w:t>
            </w:r>
            <w:r w:rsidR="00762787">
              <w:t xml:space="preserve">very small sample size </w:t>
            </w:r>
            <w:r w:rsidR="00DA6C2E">
              <w:t>raising concerns about optimal information size</w:t>
            </w:r>
            <w:r w:rsidR="00043824">
              <w:t xml:space="preserve"> </w:t>
            </w:r>
            <w:r w:rsidR="00EF20E5" w:rsidRPr="0054775B">
              <w:t xml:space="preserve">(downgraded </w:t>
            </w:r>
            <w:r w:rsidR="00762787">
              <w:t>one</w:t>
            </w:r>
            <w:r w:rsidR="00762787" w:rsidRPr="0054775B">
              <w:t xml:space="preserve"> </w:t>
            </w:r>
            <w:r w:rsidR="00EF20E5" w:rsidRPr="0054775B">
              <w:t>for imprecision</w:t>
            </w:r>
            <w:r w:rsidR="00B12D73" w:rsidRPr="0054775B">
              <w:t>).</w:t>
            </w:r>
            <w:r w:rsidR="00B12D73">
              <w:t xml:space="preserve"> No inconsistency due to singular study (no change for inconsistency</w:t>
            </w:r>
            <w:r w:rsidR="00EF20E5" w:rsidRPr="0054775B" w:rsidDel="00B12D73">
              <w:t>).</w:t>
            </w:r>
            <w:r w:rsidR="00762787">
              <w:t xml:space="preserve"> </w:t>
            </w:r>
            <w:r w:rsidR="00762787" w:rsidRPr="00762787">
              <w:rPr>
                <w:lang w:val="en-GB"/>
              </w:rPr>
              <w:t>Publication bias not assessed due to insufficient number of studies (no change for publication bias).</w:t>
            </w:r>
          </w:p>
          <w:p w14:paraId="254F493D" w14:textId="3FA1570E" w:rsidR="00EF20E5" w:rsidRPr="00BD3B19" w:rsidRDefault="00841A71" w:rsidP="00107BEE">
            <w:pPr>
              <w:pStyle w:val="2024TABLEFOOTER"/>
              <w:numPr>
                <w:ilvl w:val="0"/>
                <w:numId w:val="13"/>
              </w:numPr>
              <w:rPr>
                <w:lang w:val="en-GB"/>
              </w:rPr>
            </w:pPr>
            <w:r w:rsidRPr="0054775B">
              <w:t>H</w:t>
            </w:r>
            <w:r w:rsidR="00EF20E5" w:rsidRPr="0054775B">
              <w:t>igh risk of bias from selective reporting in relevant primary study (downgraded one for risk of bias). Population</w:t>
            </w:r>
            <w:r w:rsidRPr="0054775B">
              <w:t xml:space="preserve"> in</w:t>
            </w:r>
            <w:r w:rsidR="00EF20E5" w:rsidRPr="0054775B">
              <w:t xml:space="preserve"> the included review was restricted to people ≥55 years old (downgraded one for indirectness). </w:t>
            </w:r>
            <w:r w:rsidR="003A5B38">
              <w:t>CIs not provided, naïve comparison across intervention and comparator would suggest an appreciable effect size from MCID, however, very small sample size raising concerns about optimal information size</w:t>
            </w:r>
            <w:r w:rsidR="003A5B38" w:rsidDel="00185A9A">
              <w:t xml:space="preserve"> </w:t>
            </w:r>
            <w:r w:rsidR="00043824" w:rsidRPr="0054775B">
              <w:t>(downgraded</w:t>
            </w:r>
            <w:r w:rsidR="00043824" w:rsidRPr="0054775B" w:rsidDel="00185A9A">
              <w:t xml:space="preserve"> </w:t>
            </w:r>
            <w:r w:rsidR="00185A9A">
              <w:t>one</w:t>
            </w:r>
            <w:r w:rsidR="00185A9A" w:rsidRPr="0054775B">
              <w:t xml:space="preserve"> </w:t>
            </w:r>
            <w:r w:rsidR="00043824" w:rsidRPr="0054775B">
              <w:t>for imprecision).</w:t>
            </w:r>
            <w:r w:rsidR="00043824">
              <w:t xml:space="preserve"> </w:t>
            </w:r>
            <w:r w:rsidR="00764DFF">
              <w:t>No inconsistency due to singular study (no change for inconsistency).</w:t>
            </w:r>
            <w:r w:rsidR="00762787">
              <w:t xml:space="preserve"> </w:t>
            </w:r>
            <w:r w:rsidR="00762787" w:rsidRPr="00762787">
              <w:rPr>
                <w:lang w:val="en-GB"/>
              </w:rPr>
              <w:t>Publication bias not assessed due to insufficient number of studies (no change for publication bias).</w:t>
            </w:r>
          </w:p>
          <w:p w14:paraId="6820644B" w14:textId="3DAE5F58" w:rsidR="002B5E7D" w:rsidRPr="00BD3B19" w:rsidRDefault="008A1588" w:rsidP="00107BEE">
            <w:pPr>
              <w:pStyle w:val="2024TABLEFOOTER"/>
              <w:numPr>
                <w:ilvl w:val="0"/>
                <w:numId w:val="13"/>
              </w:numPr>
              <w:rPr>
                <w:lang w:val="en-GB"/>
              </w:rPr>
            </w:pPr>
            <w:r>
              <w:t>S</w:t>
            </w:r>
            <w:r w:rsidR="00EF20E5" w:rsidRPr="0054775B">
              <w:t xml:space="preserve">erious or concerning methodological limitations in contributing studies (downgraded one for risk of bias). Population in the included review was restricted to people ≥55 years old (downgraded one for indirectness). </w:t>
            </w:r>
            <w:r w:rsidR="0027394F">
              <w:t>W</w:t>
            </w:r>
            <w:r w:rsidR="002B5E7D" w:rsidRPr="001428E8">
              <w:t>ide CI</w:t>
            </w:r>
            <w:r w:rsidR="0027394F">
              <w:t>s</w:t>
            </w:r>
            <w:r w:rsidR="002B5E7D" w:rsidRPr="001428E8">
              <w:t xml:space="preserve"> to where point estimate is uninterpretable; CI</w:t>
            </w:r>
            <w:r w:rsidR="003873B4">
              <w:t>s</w:t>
            </w:r>
            <w:r w:rsidR="002B5E7D" w:rsidRPr="001428E8">
              <w:t xml:space="preserve"> appreciably crosses the threshold(s) of interest (</w:t>
            </w:r>
            <w:r w:rsidR="002B5E7D">
              <w:t xml:space="preserve">40min for Total Sleep </w:t>
            </w:r>
            <w:r w:rsidR="002B5E7D" w:rsidRPr="00625799">
              <w:t>Time (TST) (higher is better)</w:t>
            </w:r>
            <w:r w:rsidR="002B5E7D" w:rsidRPr="001428E8">
              <w:t xml:space="preserve">) (downgraded </w:t>
            </w:r>
            <w:r w:rsidR="00102AF1">
              <w:t>3</w:t>
            </w:r>
            <w:r w:rsidR="002B5E7D" w:rsidRPr="001428E8">
              <w:t xml:space="preserve"> for</w:t>
            </w:r>
            <w:r w:rsidR="002A0376">
              <w:t xml:space="preserve"> very serious</w:t>
            </w:r>
            <w:r w:rsidR="002B5E7D" w:rsidRPr="001428E8">
              <w:t xml:space="preserve"> imprecision).</w:t>
            </w:r>
            <w:r w:rsidR="00762787">
              <w:t xml:space="preserve"> </w:t>
            </w:r>
            <w:r w:rsidR="00762787" w:rsidRPr="00762787">
              <w:rPr>
                <w:lang w:val="en-GB"/>
              </w:rPr>
              <w:t>Publication bias not assessed due to insufficient number of studies (no change for publication bias).</w:t>
            </w:r>
          </w:p>
          <w:p w14:paraId="3EDC86A7" w14:textId="0EC98603" w:rsidR="00EF20E5" w:rsidRPr="00BD3B19" w:rsidRDefault="002B5E7D" w:rsidP="00107BEE">
            <w:pPr>
              <w:pStyle w:val="2024TABLEFOOTER"/>
              <w:numPr>
                <w:ilvl w:val="0"/>
                <w:numId w:val="13"/>
              </w:numPr>
              <w:rPr>
                <w:lang w:val="en-GB"/>
              </w:rPr>
            </w:pPr>
            <w:r>
              <w:t>S</w:t>
            </w:r>
            <w:r w:rsidRPr="0054775B">
              <w:t xml:space="preserve">erious or concerning methodological limitations in contributing studies (downgraded one for risk of bias). Population in the included review was restricted to people ≥55 years old (downgraded one for indirectness). </w:t>
            </w:r>
            <w:r w:rsidR="00293717" w:rsidRPr="001428E8">
              <w:t>CI boundaries suggest similar inferences about the magnitude of benefit based on MCID (</w:t>
            </w:r>
            <w:r w:rsidR="00293717">
              <w:t>30min for s</w:t>
            </w:r>
            <w:r w:rsidR="00293717" w:rsidRPr="00C400E6">
              <w:t>leep-onset latency (SOL)</w:t>
            </w:r>
            <w:r w:rsidR="0027394F" w:rsidRPr="00C400E6">
              <w:t xml:space="preserve"> (lower is better)</w:t>
            </w:r>
            <w:r w:rsidR="0027394F" w:rsidRPr="001428E8">
              <w:t>)</w:t>
            </w:r>
            <w:r w:rsidR="0027394F">
              <w:t xml:space="preserve">, however, very small sample size raising concerns about optimal information size </w:t>
            </w:r>
            <w:r w:rsidRPr="00775ECD">
              <w:t xml:space="preserve">(downgraded </w:t>
            </w:r>
            <w:r w:rsidR="00293717">
              <w:t>one</w:t>
            </w:r>
            <w:r w:rsidRPr="00775ECD">
              <w:t xml:space="preserve"> for</w:t>
            </w:r>
            <w:r w:rsidRPr="00775ECD" w:rsidDel="0027394F">
              <w:t xml:space="preserve"> </w:t>
            </w:r>
            <w:r w:rsidRPr="00775ECD">
              <w:t>imprecision).</w:t>
            </w:r>
            <w:r w:rsidR="00762787">
              <w:t xml:space="preserve"> </w:t>
            </w:r>
            <w:r w:rsidR="00762787" w:rsidRPr="00762787">
              <w:rPr>
                <w:lang w:val="en-GB"/>
              </w:rPr>
              <w:t>Publication bias not assessed due to insufficient number of studies (no change for publication bias).</w:t>
            </w:r>
          </w:p>
          <w:p w14:paraId="5E84BCAB" w14:textId="7925A176" w:rsidR="005B1618" w:rsidRPr="00BD3B19" w:rsidRDefault="005B1618" w:rsidP="00107BEE">
            <w:pPr>
              <w:pStyle w:val="2024TABLEFOOTER"/>
              <w:numPr>
                <w:ilvl w:val="0"/>
                <w:numId w:val="13"/>
              </w:numPr>
              <w:rPr>
                <w:lang w:val="en-GB"/>
              </w:rPr>
            </w:pPr>
            <w:r w:rsidRPr="0054775B">
              <w:t xml:space="preserve">Methodological concerns in relevant primary study (downgrade one for risk of bias). Population in the included review was restricted to people ≥55 years old (downgraded one for indirectness). </w:t>
            </w:r>
            <w:r w:rsidR="005F6191">
              <w:t>No MCID found, so threshold uninterpretable</w:t>
            </w:r>
            <w:r w:rsidR="00360408">
              <w:t>,</w:t>
            </w:r>
            <w:r w:rsidR="005F6191">
              <w:t xml:space="preserve"> </w:t>
            </w:r>
            <w:r w:rsidR="00360408">
              <w:t>CIs not provided, v</w:t>
            </w:r>
            <w:r>
              <w:t>ery</w:t>
            </w:r>
            <w:r w:rsidRPr="0054775B">
              <w:t xml:space="preserve"> small sample size</w:t>
            </w:r>
            <w:r>
              <w:t xml:space="preserve"> </w:t>
            </w:r>
            <w:r w:rsidR="005F6191">
              <w:t>raising concerns about optimal information size</w:t>
            </w:r>
            <w:r w:rsidR="005F6191" w:rsidRPr="0054775B">
              <w:t xml:space="preserve"> </w:t>
            </w:r>
            <w:r w:rsidRPr="0054775B">
              <w:t xml:space="preserve">(downgraded </w:t>
            </w:r>
            <w:r w:rsidR="005F6191">
              <w:t>two</w:t>
            </w:r>
            <w:r w:rsidRPr="0054775B">
              <w:t xml:space="preserve"> for </w:t>
            </w:r>
            <w:r w:rsidR="002A0376">
              <w:t xml:space="preserve">serious </w:t>
            </w:r>
            <w:r w:rsidRPr="0054775B">
              <w:t>imprecision).</w:t>
            </w:r>
            <w:r>
              <w:t xml:space="preserve"> No inconsistency due to singular study (no change for inconsistency</w:t>
            </w:r>
            <w:r w:rsidRPr="0054775B" w:rsidDel="00B12D73">
              <w:t>).</w:t>
            </w:r>
            <w:r w:rsidR="00762787" w:rsidRPr="00762787">
              <w:rPr>
                <w:rFonts w:ascii="AppleSystemUIFont" w:eastAsiaTheme="minorHAnsi" w:hAnsi="AppleSystemUIFont" w:cs="AppleSystemUIFont"/>
                <w:sz w:val="26"/>
                <w:szCs w:val="26"/>
                <w:lang w:val="en-GB" w:eastAsia="en-US"/>
              </w:rPr>
              <w:t xml:space="preserve"> </w:t>
            </w:r>
            <w:r w:rsidR="00762787" w:rsidRPr="00762787">
              <w:rPr>
                <w:lang w:val="en-GB"/>
              </w:rPr>
              <w:t>Publication bias not assessed due to insufficient number of studies (no change for publication bias).</w:t>
            </w:r>
          </w:p>
        </w:tc>
      </w:tr>
    </w:tbl>
    <w:p w14:paraId="1CAB16BA" w14:textId="691B3F77" w:rsidR="007B4175" w:rsidRPr="0054775B" w:rsidRDefault="007B4175">
      <w:pPr>
        <w:spacing w:before="0" w:after="160" w:line="259" w:lineRule="auto"/>
        <w:rPr>
          <w:b/>
          <w:bCs/>
          <w:color w:val="000000" w:themeColor="text1"/>
          <w:sz w:val="20"/>
          <w:szCs w:val="20"/>
        </w:rPr>
      </w:pPr>
    </w:p>
    <w:p w14:paraId="5601B5B7" w14:textId="22EFB78B" w:rsidR="00A63E0E" w:rsidRPr="0054775B" w:rsidRDefault="00A63E0E" w:rsidP="009760CB">
      <w:pPr>
        <w:pStyle w:val="2024TABLECAPTION"/>
        <w:rPr>
          <w:rFonts w:ascii="Aptos" w:hAnsi="Aptos"/>
        </w:rPr>
      </w:pPr>
      <w:bookmarkStart w:id="80" w:name="_Toc185261595"/>
      <w:r w:rsidRPr="0054775B">
        <w:rPr>
          <w:rFonts w:ascii="Aptos" w:hAnsi="Aptos"/>
        </w:rPr>
        <w:lastRenderedPageBreak/>
        <w:t xml:space="preserve">Table </w:t>
      </w:r>
      <w:r w:rsidRPr="0054775B">
        <w:rPr>
          <w:rFonts w:ascii="Aptos" w:hAnsi="Aptos"/>
        </w:rPr>
        <w:fldChar w:fldCharType="begin"/>
      </w:r>
      <w:r w:rsidRPr="0054775B">
        <w:rPr>
          <w:rFonts w:ascii="Aptos" w:hAnsi="Aptos"/>
        </w:rPr>
        <w:instrText>SEQ Table \* ARABIC</w:instrText>
      </w:r>
      <w:r w:rsidRPr="0054775B">
        <w:rPr>
          <w:rFonts w:ascii="Aptos" w:hAnsi="Aptos"/>
        </w:rPr>
        <w:fldChar w:fldCharType="separate"/>
      </w:r>
      <w:r w:rsidR="00651E04">
        <w:rPr>
          <w:rFonts w:ascii="Aptos" w:hAnsi="Aptos"/>
          <w:noProof/>
        </w:rPr>
        <w:t>17</w:t>
      </w:r>
      <w:r w:rsidRPr="0054775B">
        <w:rPr>
          <w:rFonts w:ascii="Aptos" w:hAnsi="Aptos"/>
        </w:rPr>
        <w:fldChar w:fldCharType="end"/>
      </w:r>
      <w:r w:rsidRPr="0054775B">
        <w:rPr>
          <w:rFonts w:ascii="Aptos" w:hAnsi="Aptos"/>
        </w:rPr>
        <w:t>. Magnesium + naturopathy co-intervention compared to placebo</w:t>
      </w:r>
      <w:r w:rsidR="004F02E1" w:rsidRPr="0054775B">
        <w:rPr>
          <w:rFonts w:ascii="Aptos" w:hAnsi="Aptos"/>
        </w:rPr>
        <w:t>/inactive control</w:t>
      </w:r>
      <w:r w:rsidRPr="0054775B">
        <w:rPr>
          <w:rFonts w:ascii="Aptos" w:hAnsi="Aptos"/>
        </w:rPr>
        <w:t xml:space="preserve"> for insomnia/sleep disorders</w:t>
      </w:r>
      <w:bookmarkEnd w:id="80"/>
    </w:p>
    <w:tbl>
      <w:tblPr>
        <w:tblpPr w:leftFromText="180" w:rightFromText="180" w:vertAnchor="text" w:tblpY="1"/>
        <w:tblOverlap w:val="never"/>
        <w:tblW w:w="4686" w:type="pct"/>
        <w:tblLayout w:type="fixed"/>
        <w:tblCellMar>
          <w:top w:w="28" w:type="dxa"/>
          <w:left w:w="57" w:type="dxa"/>
          <w:bottom w:w="28" w:type="dxa"/>
          <w:right w:w="28" w:type="dxa"/>
        </w:tblCellMar>
        <w:tblLook w:val="04A0" w:firstRow="1" w:lastRow="0" w:firstColumn="1" w:lastColumn="0" w:noHBand="0" w:noVBand="1"/>
      </w:tblPr>
      <w:tblGrid>
        <w:gridCol w:w="816"/>
        <w:gridCol w:w="3807"/>
        <w:gridCol w:w="1220"/>
        <w:gridCol w:w="1091"/>
        <w:gridCol w:w="1402"/>
        <w:gridCol w:w="1220"/>
        <w:gridCol w:w="1091"/>
        <w:gridCol w:w="3602"/>
      </w:tblGrid>
      <w:tr w:rsidR="00227E42" w:rsidRPr="0054775B" w14:paraId="59964219" w14:textId="77777777" w:rsidTr="00A77DBB">
        <w:tc>
          <w:tcPr>
            <w:tcW w:w="5000" w:type="pct"/>
            <w:gridSpan w:val="8"/>
            <w:tcBorders>
              <w:top w:val="single" w:sz="12" w:space="0" w:color="000000"/>
              <w:left w:val="nil"/>
              <w:bottom w:val="single" w:sz="12" w:space="0" w:color="000000"/>
              <w:right w:val="nil"/>
            </w:tcBorders>
          </w:tcPr>
          <w:p w14:paraId="2AB652C9" w14:textId="775E097D" w:rsidR="00227E42" w:rsidRPr="0054775B" w:rsidRDefault="00227E42" w:rsidP="004F02E1">
            <w:pPr>
              <w:pStyle w:val="2024TABLETEXT"/>
              <w:framePr w:hSpace="0" w:wrap="auto" w:vAnchor="margin" w:yAlign="inline"/>
              <w:suppressOverlap w:val="0"/>
              <w:rPr>
                <w:rStyle w:val="Strong"/>
              </w:rPr>
            </w:pPr>
            <w:r w:rsidRPr="0054775B">
              <w:rPr>
                <w:rStyle w:val="Strong"/>
                <w:b w:val="0"/>
                <w:bCs w:val="0"/>
              </w:rPr>
              <w:t>Patient or population:</w:t>
            </w:r>
            <w:r w:rsidRPr="0054775B">
              <w:rPr>
                <w:rStyle w:val="Strong"/>
              </w:rPr>
              <w:t xml:space="preserve"> Insomnia/sleep disorders</w:t>
            </w:r>
          </w:p>
          <w:p w14:paraId="2F92BD3E" w14:textId="0ED582A6" w:rsidR="00227E42" w:rsidRPr="0054775B" w:rsidRDefault="00227E42" w:rsidP="004F02E1">
            <w:pPr>
              <w:pStyle w:val="2024TABLETEXT"/>
              <w:framePr w:hSpace="0" w:wrap="auto" w:vAnchor="margin" w:yAlign="inline"/>
              <w:suppressOverlap w:val="0"/>
              <w:rPr>
                <w:rStyle w:val="Strong"/>
              </w:rPr>
            </w:pPr>
            <w:r w:rsidRPr="0054775B">
              <w:rPr>
                <w:rStyle w:val="Strong"/>
                <w:b w:val="0"/>
                <w:bCs w:val="0"/>
              </w:rPr>
              <w:t>Intervention:</w:t>
            </w:r>
            <w:r w:rsidRPr="0054775B">
              <w:rPr>
                <w:rStyle w:val="Strong"/>
              </w:rPr>
              <w:t xml:space="preserve"> Magnesium </w:t>
            </w:r>
            <w:r w:rsidRPr="0054775B">
              <w:rPr>
                <w:b/>
                <w:bCs/>
              </w:rPr>
              <w:t>+ naturopathy co-intervention</w:t>
            </w:r>
          </w:p>
          <w:p w14:paraId="276144B9" w14:textId="2B72AD4B" w:rsidR="00227E42" w:rsidRPr="0054775B" w:rsidRDefault="00227E42" w:rsidP="004F02E1">
            <w:pPr>
              <w:pStyle w:val="2024TABLETEXT"/>
              <w:framePr w:hSpace="0" w:wrap="auto" w:vAnchor="margin" w:yAlign="inline"/>
              <w:suppressOverlap w:val="0"/>
            </w:pPr>
            <w:r w:rsidRPr="0054775B">
              <w:rPr>
                <w:rStyle w:val="Strong"/>
                <w:b w:val="0"/>
                <w:bCs w:val="0"/>
              </w:rPr>
              <w:t>Comparison:</w:t>
            </w:r>
            <w:r w:rsidRPr="0054775B">
              <w:rPr>
                <w:rStyle w:val="Strong"/>
              </w:rPr>
              <w:t xml:space="preserve">  Placebo</w:t>
            </w:r>
            <w:r w:rsidRPr="0054775B">
              <w:rPr>
                <w:b/>
                <w:bCs/>
              </w:rPr>
              <w:t>/inactive control</w:t>
            </w:r>
          </w:p>
        </w:tc>
      </w:tr>
      <w:tr w:rsidR="001336FC" w:rsidRPr="0054775B" w14:paraId="2E027138" w14:textId="77777777" w:rsidTr="00A77DBB">
        <w:trPr>
          <w:trHeight w:val="916"/>
        </w:trPr>
        <w:tc>
          <w:tcPr>
            <w:tcW w:w="286" w:type="pct"/>
            <w:tcBorders>
              <w:right w:val="single" w:sz="6" w:space="0" w:color="EFEFEF"/>
            </w:tcBorders>
            <w:shd w:val="clear" w:color="auto" w:fill="FFE599" w:themeFill="accent4" w:themeFillTint="66"/>
            <w:vAlign w:val="bottom"/>
          </w:tcPr>
          <w:p w14:paraId="7472B190" w14:textId="77777777" w:rsidR="00891B47" w:rsidRPr="0054775B" w:rsidRDefault="00891B47" w:rsidP="000B76FE">
            <w:pPr>
              <w:pStyle w:val="2024TABLEHEADER"/>
            </w:pPr>
            <w:r w:rsidRPr="0054775B">
              <w:t>NTWC Rating*</w:t>
            </w:r>
          </w:p>
        </w:tc>
        <w:tc>
          <w:tcPr>
            <w:tcW w:w="1336" w:type="pct"/>
            <w:tcBorders>
              <w:right w:val="single" w:sz="6" w:space="0" w:color="EFEFEF"/>
            </w:tcBorders>
            <w:shd w:val="clear" w:color="auto" w:fill="FFE599" w:themeFill="accent4" w:themeFillTint="66"/>
            <w:vAlign w:val="bottom"/>
            <w:hideMark/>
          </w:tcPr>
          <w:p w14:paraId="6F12E482" w14:textId="77777777" w:rsidR="00891B47" w:rsidRPr="0054775B" w:rsidRDefault="00891B47" w:rsidP="000B76FE">
            <w:pPr>
              <w:pStyle w:val="2024TABLEHEADER"/>
            </w:pPr>
            <w:r w:rsidRPr="0054775B">
              <w:t>Outcomes</w:t>
            </w:r>
          </w:p>
        </w:tc>
        <w:tc>
          <w:tcPr>
            <w:tcW w:w="428" w:type="pct"/>
            <w:shd w:val="clear" w:color="auto" w:fill="FFF2CC" w:themeFill="accent4" w:themeFillTint="33"/>
            <w:vAlign w:val="bottom"/>
          </w:tcPr>
          <w:p w14:paraId="42D55187" w14:textId="5AC77D08" w:rsidR="00891B47" w:rsidRPr="0054775B" w:rsidRDefault="00891B47" w:rsidP="000B76FE">
            <w:pPr>
              <w:pStyle w:val="2024TABLEHEADER"/>
            </w:pPr>
            <w:r w:rsidRPr="0054775B">
              <w:t>Contributing review</w:t>
            </w:r>
          </w:p>
        </w:tc>
        <w:tc>
          <w:tcPr>
            <w:tcW w:w="383" w:type="pct"/>
            <w:shd w:val="clear" w:color="auto" w:fill="E0E0E0"/>
            <w:vAlign w:val="bottom"/>
          </w:tcPr>
          <w:p w14:paraId="11D26673" w14:textId="3EA27EA3" w:rsidR="00891B47" w:rsidRPr="0054775B" w:rsidRDefault="00891B47" w:rsidP="00227E42">
            <w:pPr>
              <w:pStyle w:val="2024TABLEHEADER"/>
            </w:pPr>
            <w:r>
              <w:t>Absolute effect</w:t>
            </w:r>
          </w:p>
        </w:tc>
        <w:tc>
          <w:tcPr>
            <w:tcW w:w="492" w:type="pct"/>
            <w:tcBorders>
              <w:right w:val="single" w:sz="6" w:space="0" w:color="EFEFEF"/>
            </w:tcBorders>
            <w:shd w:val="clear" w:color="auto" w:fill="E0E0E0"/>
            <w:vAlign w:val="bottom"/>
          </w:tcPr>
          <w:p w14:paraId="43BC950D" w14:textId="769A2034" w:rsidR="00891B47" w:rsidRPr="0054775B" w:rsidRDefault="00891B47" w:rsidP="00227E42">
            <w:pPr>
              <w:pStyle w:val="2024TABLEHEADER"/>
            </w:pPr>
            <w:r w:rsidRPr="0054775B">
              <w:t>Relative effect</w:t>
            </w:r>
            <w:r w:rsidRPr="0054775B">
              <w:br/>
              <w:t>(95% CI)^</w:t>
            </w:r>
          </w:p>
        </w:tc>
        <w:tc>
          <w:tcPr>
            <w:tcW w:w="428" w:type="pct"/>
            <w:tcBorders>
              <w:right w:val="single" w:sz="6" w:space="0" w:color="EFEFEF"/>
            </w:tcBorders>
            <w:shd w:val="clear" w:color="auto" w:fill="FFE599" w:themeFill="accent4" w:themeFillTint="66"/>
            <w:vAlign w:val="bottom"/>
            <w:hideMark/>
          </w:tcPr>
          <w:p w14:paraId="34AEE851" w14:textId="77777777" w:rsidR="00891B47" w:rsidRPr="0054775B" w:rsidRDefault="00891B47" w:rsidP="000B76FE">
            <w:pPr>
              <w:pStyle w:val="2024TABLEHEADER"/>
            </w:pPr>
            <w:r w:rsidRPr="0054775B">
              <w:t>№ of participants</w:t>
            </w:r>
            <w:r w:rsidRPr="0054775B">
              <w:br/>
              <w:t>(studies)</w:t>
            </w:r>
          </w:p>
        </w:tc>
        <w:tc>
          <w:tcPr>
            <w:tcW w:w="383" w:type="pct"/>
            <w:tcBorders>
              <w:right w:val="single" w:sz="6" w:space="0" w:color="EFEFEF"/>
            </w:tcBorders>
            <w:shd w:val="clear" w:color="auto" w:fill="FFE599" w:themeFill="accent4" w:themeFillTint="66"/>
            <w:vAlign w:val="bottom"/>
            <w:hideMark/>
          </w:tcPr>
          <w:p w14:paraId="3513480A" w14:textId="77777777" w:rsidR="00891B47" w:rsidRPr="0054775B" w:rsidRDefault="00891B47" w:rsidP="000B76FE">
            <w:pPr>
              <w:pStyle w:val="2024TABLEHEADER"/>
            </w:pPr>
            <w:r w:rsidRPr="0054775B">
              <w:t>Certainty of the evidence</w:t>
            </w:r>
            <w:r w:rsidRPr="0054775B">
              <w:br/>
              <w:t>(GRADE)</w:t>
            </w:r>
          </w:p>
        </w:tc>
        <w:tc>
          <w:tcPr>
            <w:tcW w:w="1265" w:type="pct"/>
            <w:tcBorders>
              <w:right w:val="single" w:sz="6" w:space="0" w:color="EFEFEF"/>
            </w:tcBorders>
            <w:shd w:val="clear" w:color="auto" w:fill="FFE599" w:themeFill="accent4" w:themeFillTint="66"/>
            <w:vAlign w:val="bottom"/>
            <w:hideMark/>
          </w:tcPr>
          <w:p w14:paraId="3FBF6E97" w14:textId="77777777" w:rsidR="00891B47" w:rsidRPr="0054775B" w:rsidRDefault="00891B47" w:rsidP="000B76FE">
            <w:pPr>
              <w:pStyle w:val="2024TABLEHEADER"/>
            </w:pPr>
            <w:r w:rsidRPr="0054775B">
              <w:t>Evidence statement</w:t>
            </w:r>
          </w:p>
        </w:tc>
      </w:tr>
      <w:tr w:rsidR="00891B47" w:rsidRPr="0054775B" w14:paraId="2BF08A1A" w14:textId="77777777" w:rsidTr="00A77DBB">
        <w:trPr>
          <w:trHeight w:val="671"/>
        </w:trPr>
        <w:tc>
          <w:tcPr>
            <w:tcW w:w="286" w:type="pct"/>
            <w:tcBorders>
              <w:top w:val="single" w:sz="6" w:space="0" w:color="000000"/>
              <w:left w:val="nil"/>
              <w:bottom w:val="single" w:sz="6" w:space="0" w:color="000000"/>
              <w:right w:val="nil"/>
            </w:tcBorders>
            <w:vAlign w:val="center"/>
          </w:tcPr>
          <w:p w14:paraId="47606F34" w14:textId="77777777" w:rsidR="00891B47" w:rsidRPr="0054775B" w:rsidRDefault="00891B47" w:rsidP="000B76FE">
            <w:pPr>
              <w:pStyle w:val="2024TABLETEXT"/>
              <w:framePr w:hSpace="0" w:wrap="auto" w:vAnchor="margin" w:yAlign="inline"/>
              <w:suppressOverlap w:val="0"/>
            </w:pPr>
            <w:r w:rsidRPr="0054775B">
              <w:t>9</w:t>
            </w:r>
          </w:p>
        </w:tc>
        <w:tc>
          <w:tcPr>
            <w:tcW w:w="1336" w:type="pct"/>
            <w:tcBorders>
              <w:top w:val="single" w:sz="6" w:space="0" w:color="000000"/>
              <w:left w:val="nil"/>
              <w:bottom w:val="single" w:sz="6" w:space="0" w:color="000000"/>
              <w:right w:val="nil"/>
            </w:tcBorders>
            <w:vAlign w:val="center"/>
            <w:hideMark/>
          </w:tcPr>
          <w:p w14:paraId="66D6105F" w14:textId="1C2661CF" w:rsidR="00891B47" w:rsidRPr="0054775B" w:rsidRDefault="00891B47" w:rsidP="000B76FE">
            <w:pPr>
              <w:pStyle w:val="2024TABLETEXT"/>
              <w:framePr w:hSpace="0" w:wrap="auto" w:vAnchor="margin" w:yAlign="inline"/>
              <w:suppressOverlap w:val="0"/>
            </w:pPr>
            <w:r w:rsidRPr="0054775B">
              <w:rPr>
                <w:b/>
                <w:bCs/>
              </w:rPr>
              <w:t>Improvement in clinical levels of insomnia</w:t>
            </w:r>
          </w:p>
        </w:tc>
        <w:tc>
          <w:tcPr>
            <w:tcW w:w="428" w:type="pct"/>
            <w:tcBorders>
              <w:top w:val="single" w:sz="6" w:space="0" w:color="000000"/>
              <w:left w:val="nil"/>
              <w:bottom w:val="single" w:sz="6" w:space="0" w:color="000000"/>
              <w:right w:val="nil"/>
            </w:tcBorders>
            <w:vAlign w:val="center"/>
          </w:tcPr>
          <w:p w14:paraId="3D3EF4BD" w14:textId="71E1FF64" w:rsidR="00891B47" w:rsidRPr="0054775B" w:rsidRDefault="00891B47" w:rsidP="000B76FE">
            <w:pPr>
              <w:pStyle w:val="2024TABLETEXT"/>
              <w:framePr w:hSpace="0" w:wrap="auto" w:vAnchor="margin" w:yAlign="inline"/>
              <w:suppressOverlap w:val="0"/>
            </w:pPr>
            <w:r w:rsidRPr="0054775B">
              <w:t>-</w:t>
            </w:r>
          </w:p>
        </w:tc>
        <w:tc>
          <w:tcPr>
            <w:tcW w:w="383" w:type="pct"/>
            <w:tcBorders>
              <w:top w:val="single" w:sz="6" w:space="0" w:color="000000"/>
              <w:left w:val="nil"/>
              <w:bottom w:val="single" w:sz="6" w:space="0" w:color="000000"/>
              <w:right w:val="nil"/>
            </w:tcBorders>
            <w:vAlign w:val="center"/>
          </w:tcPr>
          <w:p w14:paraId="6D8C8C9D" w14:textId="77777777" w:rsidR="00891B47" w:rsidRPr="0054775B" w:rsidRDefault="00891B47" w:rsidP="00227E42">
            <w:pPr>
              <w:pStyle w:val="2024TABLETEXT"/>
              <w:framePr w:hSpace="0" w:wrap="auto" w:vAnchor="margin" w:yAlign="inline"/>
              <w:suppressOverlap w:val="0"/>
            </w:pPr>
          </w:p>
        </w:tc>
        <w:tc>
          <w:tcPr>
            <w:tcW w:w="492" w:type="pct"/>
            <w:tcBorders>
              <w:top w:val="single" w:sz="6" w:space="0" w:color="000000"/>
              <w:left w:val="nil"/>
              <w:bottom w:val="single" w:sz="6" w:space="0" w:color="000000"/>
              <w:right w:val="nil"/>
            </w:tcBorders>
            <w:vAlign w:val="center"/>
          </w:tcPr>
          <w:p w14:paraId="39C8324A" w14:textId="19871064" w:rsidR="00891B47" w:rsidRPr="0054775B" w:rsidRDefault="00891B47" w:rsidP="000B76FE">
            <w:pPr>
              <w:pStyle w:val="2024TABLETEXT"/>
              <w:framePr w:hSpace="0" w:wrap="auto" w:vAnchor="margin" w:yAlign="inline"/>
              <w:suppressOverlap w:val="0"/>
              <w:rPr>
                <w:sz w:val="16"/>
                <w:szCs w:val="16"/>
              </w:rPr>
            </w:pPr>
            <w:r w:rsidRPr="0054775B">
              <w:t>-</w:t>
            </w:r>
          </w:p>
        </w:tc>
        <w:tc>
          <w:tcPr>
            <w:tcW w:w="428" w:type="pct"/>
            <w:tcBorders>
              <w:top w:val="single" w:sz="6" w:space="0" w:color="000000"/>
              <w:left w:val="nil"/>
              <w:bottom w:val="single" w:sz="6" w:space="0" w:color="000000"/>
              <w:right w:val="nil"/>
            </w:tcBorders>
            <w:vAlign w:val="center"/>
            <w:hideMark/>
          </w:tcPr>
          <w:p w14:paraId="503E1B05" w14:textId="5765C3A9" w:rsidR="00891B47" w:rsidRPr="0054775B" w:rsidRDefault="00891B47" w:rsidP="000B76FE">
            <w:pPr>
              <w:pStyle w:val="2024TABLETEXT"/>
              <w:framePr w:hSpace="0" w:wrap="auto" w:vAnchor="margin" w:yAlign="inline"/>
              <w:suppressOverlap w:val="0"/>
            </w:pPr>
            <w:r w:rsidRPr="0054775B">
              <w:t>-</w:t>
            </w:r>
          </w:p>
        </w:tc>
        <w:tc>
          <w:tcPr>
            <w:tcW w:w="383" w:type="pct"/>
            <w:tcBorders>
              <w:top w:val="single" w:sz="6" w:space="0" w:color="000000"/>
              <w:left w:val="nil"/>
              <w:bottom w:val="single" w:sz="6" w:space="0" w:color="000000"/>
              <w:right w:val="nil"/>
            </w:tcBorders>
            <w:vAlign w:val="center"/>
            <w:hideMark/>
          </w:tcPr>
          <w:p w14:paraId="799F7C5C" w14:textId="63C95210" w:rsidR="00891B47" w:rsidRPr="0054775B" w:rsidRDefault="00891B47" w:rsidP="000B76FE">
            <w:pPr>
              <w:pStyle w:val="2024TABLETEXT"/>
              <w:framePr w:hSpace="0" w:wrap="auto" w:vAnchor="margin" w:yAlign="inline"/>
              <w:suppressOverlap w:val="0"/>
              <w:rPr>
                <w:rStyle w:val="FootnoteReference"/>
                <w:caps/>
                <w:highlight w:val="yellow"/>
              </w:rPr>
            </w:pPr>
            <w:r w:rsidRPr="0054775B">
              <w:t>-</w:t>
            </w:r>
          </w:p>
        </w:tc>
        <w:tc>
          <w:tcPr>
            <w:tcW w:w="1265" w:type="pct"/>
            <w:tcBorders>
              <w:top w:val="single" w:sz="6" w:space="0" w:color="000000"/>
              <w:left w:val="nil"/>
              <w:bottom w:val="single" w:sz="6" w:space="0" w:color="000000"/>
              <w:right w:val="nil"/>
            </w:tcBorders>
            <w:vAlign w:val="center"/>
            <w:hideMark/>
          </w:tcPr>
          <w:p w14:paraId="7672C4B0" w14:textId="4E7C0D78" w:rsidR="00891B47" w:rsidRPr="0054775B" w:rsidRDefault="00891B47" w:rsidP="000B76FE">
            <w:pPr>
              <w:pStyle w:val="2024TABLETEXT"/>
              <w:framePr w:hSpace="0" w:wrap="auto" w:vAnchor="margin" w:yAlign="inline"/>
              <w:suppressOverlap w:val="0"/>
              <w:rPr>
                <w:highlight w:val="yellow"/>
              </w:rPr>
            </w:pPr>
            <w:r w:rsidRPr="0054775B">
              <w:t xml:space="preserve">No </w:t>
            </w:r>
            <w:r>
              <w:t>reviews</w:t>
            </w:r>
            <w:r w:rsidRPr="0054775B">
              <w:t xml:space="preserve"> found. The effect of magnesium + naturopathy co-intervention on improvement in clinical levels of insomnia for insomnia or sleep disorders is unknown.</w:t>
            </w:r>
          </w:p>
        </w:tc>
      </w:tr>
      <w:tr w:rsidR="00AD69EC" w:rsidRPr="0054775B" w14:paraId="63CE17E1" w14:textId="77777777" w:rsidTr="00A77DBB">
        <w:trPr>
          <w:cantSplit/>
        </w:trPr>
        <w:tc>
          <w:tcPr>
            <w:tcW w:w="286" w:type="pct"/>
            <w:tcBorders>
              <w:top w:val="single" w:sz="6" w:space="0" w:color="000000"/>
              <w:left w:val="nil"/>
              <w:bottom w:val="single" w:sz="6" w:space="0" w:color="000000"/>
              <w:right w:val="nil"/>
            </w:tcBorders>
            <w:vAlign w:val="center"/>
          </w:tcPr>
          <w:p w14:paraId="399E4406" w14:textId="6C9E4C83" w:rsidR="00C26E21" w:rsidRPr="0054775B" w:rsidRDefault="00C26E21" w:rsidP="00C26E21">
            <w:pPr>
              <w:pStyle w:val="2024TABLETEXT"/>
              <w:framePr w:hSpace="0" w:wrap="auto" w:vAnchor="margin" w:yAlign="inline"/>
              <w:suppressOverlap w:val="0"/>
            </w:pPr>
            <w:r w:rsidRPr="0054775B">
              <w:t>8</w:t>
            </w:r>
          </w:p>
        </w:tc>
        <w:tc>
          <w:tcPr>
            <w:tcW w:w="1336" w:type="pct"/>
            <w:tcBorders>
              <w:top w:val="single" w:sz="6" w:space="0" w:color="000000"/>
              <w:left w:val="nil"/>
              <w:bottom w:val="single" w:sz="6" w:space="0" w:color="000000"/>
              <w:right w:val="nil"/>
            </w:tcBorders>
            <w:vAlign w:val="center"/>
          </w:tcPr>
          <w:p w14:paraId="2657DE12" w14:textId="77777777" w:rsidR="00C26E21" w:rsidRPr="0054775B" w:rsidRDefault="00C26E21" w:rsidP="00C26E21">
            <w:pPr>
              <w:pStyle w:val="2024TABLETEXT"/>
              <w:framePr w:hSpace="0" w:wrap="auto" w:vAnchor="margin" w:yAlign="inline"/>
              <w:spacing w:after="120"/>
              <w:suppressOverlap w:val="0"/>
              <w:rPr>
                <w:b/>
                <w:bCs/>
              </w:rPr>
            </w:pPr>
            <w:r w:rsidRPr="0054775B">
              <w:rPr>
                <w:b/>
                <w:bCs/>
              </w:rPr>
              <w:t>Global improvement in sleep quality or quantity (subjective)</w:t>
            </w:r>
          </w:p>
          <w:p w14:paraId="0CC264D7" w14:textId="0ED1EC03" w:rsidR="00C26E21" w:rsidRPr="0054775B" w:rsidRDefault="00C26E21" w:rsidP="00C26E21">
            <w:pPr>
              <w:pStyle w:val="2024TABLETEXT"/>
              <w:framePr w:hSpace="0" w:wrap="auto" w:vAnchor="margin" w:yAlign="inline"/>
              <w:ind w:left="370"/>
              <w:suppressOverlap w:val="0"/>
              <w:rPr>
                <w:b/>
                <w:bCs/>
              </w:rPr>
            </w:pPr>
            <w:r w:rsidRPr="0054775B">
              <w:rPr>
                <w:b/>
                <w:bCs/>
              </w:rPr>
              <w:t xml:space="preserve">Population: </w:t>
            </w:r>
            <w:r w:rsidRPr="0054775B">
              <w:t>Older adults with insomnia (aged 65 or over)</w:t>
            </w:r>
          </w:p>
          <w:p w14:paraId="2595EAE2" w14:textId="3A9DC339" w:rsidR="00C26E21" w:rsidRPr="0054775B" w:rsidRDefault="00C26E21" w:rsidP="00C26E21">
            <w:pPr>
              <w:pStyle w:val="2024TABLETEXT"/>
              <w:framePr w:hSpace="0" w:wrap="auto" w:vAnchor="margin" w:yAlign="inline"/>
              <w:ind w:left="370"/>
              <w:suppressOverlap w:val="0"/>
            </w:pPr>
            <w:r w:rsidRPr="0054775B">
              <w:rPr>
                <w:b/>
                <w:bCs/>
              </w:rPr>
              <w:t>Dosage:</w:t>
            </w:r>
            <w:r w:rsidRPr="0054775B">
              <w:t xml:space="preserve"> 225mg Magnesium, plus 5mg of melatonin, 11.25mg zinc</w:t>
            </w:r>
          </w:p>
          <w:p w14:paraId="5099534D" w14:textId="77777777" w:rsidR="00C26E21" w:rsidRPr="0054775B" w:rsidRDefault="00C26E21" w:rsidP="00C26E21">
            <w:pPr>
              <w:pStyle w:val="2024TABLETEXT"/>
              <w:framePr w:hSpace="0" w:wrap="auto" w:vAnchor="margin" w:yAlign="inline"/>
              <w:ind w:left="370"/>
              <w:suppressOverlap w:val="0"/>
            </w:pPr>
            <w:r w:rsidRPr="0054775B">
              <w:rPr>
                <w:b/>
                <w:bCs/>
              </w:rPr>
              <w:t>Assessed with:</w:t>
            </w:r>
            <w:r w:rsidRPr="0054775B">
              <w:t xml:space="preserve"> PSQI (scored from 0 to 21; ≥5 = poor sleeper)</w:t>
            </w:r>
          </w:p>
          <w:p w14:paraId="07A469E8" w14:textId="251D9DB2" w:rsidR="00C26E21" w:rsidRPr="0054775B" w:rsidRDefault="00C26E21" w:rsidP="00C26E21">
            <w:pPr>
              <w:pStyle w:val="2024TABLETEXT"/>
              <w:framePr w:hSpace="0" w:wrap="auto" w:vAnchor="margin" w:yAlign="inline"/>
              <w:ind w:left="370"/>
              <w:suppressOverlap w:val="0"/>
            </w:pPr>
            <w:r w:rsidRPr="0054775B">
              <w:rPr>
                <w:b/>
                <w:bCs/>
              </w:rPr>
              <w:t xml:space="preserve">Follow-up: </w:t>
            </w:r>
            <w:r w:rsidRPr="0054775B">
              <w:t>8 weeks</w:t>
            </w:r>
          </w:p>
        </w:tc>
        <w:tc>
          <w:tcPr>
            <w:tcW w:w="428" w:type="pct"/>
            <w:tcBorders>
              <w:top w:val="single" w:sz="6" w:space="0" w:color="000000"/>
              <w:left w:val="nil"/>
              <w:bottom w:val="single" w:sz="6" w:space="0" w:color="000000"/>
              <w:right w:val="nil"/>
            </w:tcBorders>
            <w:vAlign w:val="center"/>
          </w:tcPr>
          <w:p w14:paraId="497FA6F2" w14:textId="0B242E1B" w:rsidR="00C26E21" w:rsidRPr="0054775B" w:rsidRDefault="00C26E21" w:rsidP="00C26E21">
            <w:pPr>
              <w:pStyle w:val="2024TABLETEXT"/>
              <w:framePr w:hSpace="0" w:wrap="auto" w:vAnchor="margin" w:yAlign="inline"/>
              <w:suppressOverlap w:val="0"/>
              <w:rPr>
                <w:rFonts w:eastAsiaTheme="minorHAnsi"/>
              </w:rPr>
            </w:pPr>
            <w:r w:rsidRPr="0054775B">
              <w:rPr>
                <w:rFonts w:eastAsiaTheme="minorHAnsi"/>
              </w:rPr>
              <w:t>Samara 2020</w:t>
            </w:r>
          </w:p>
        </w:tc>
        <w:tc>
          <w:tcPr>
            <w:tcW w:w="383" w:type="pct"/>
            <w:tcBorders>
              <w:top w:val="single" w:sz="6" w:space="0" w:color="000000"/>
              <w:left w:val="nil"/>
              <w:bottom w:val="single" w:sz="6" w:space="0" w:color="000000"/>
              <w:right w:val="nil"/>
            </w:tcBorders>
            <w:vAlign w:val="center"/>
          </w:tcPr>
          <w:p w14:paraId="23EACDDE" w14:textId="489F55B9" w:rsidR="00C26E21" w:rsidRPr="0054775B" w:rsidRDefault="00C26E21" w:rsidP="00C26E21">
            <w:pPr>
              <w:pStyle w:val="2024TABLETEXT"/>
              <w:framePr w:hSpace="0" w:wrap="auto" w:vAnchor="margin" w:yAlign="inline"/>
              <w:suppressOverlap w:val="0"/>
            </w:pPr>
            <w:r>
              <w:t>NR</w:t>
            </w:r>
          </w:p>
        </w:tc>
        <w:tc>
          <w:tcPr>
            <w:tcW w:w="492" w:type="pct"/>
            <w:tcBorders>
              <w:top w:val="single" w:sz="6" w:space="0" w:color="000000"/>
              <w:left w:val="nil"/>
              <w:bottom w:val="single" w:sz="6" w:space="0" w:color="000000"/>
              <w:right w:val="nil"/>
            </w:tcBorders>
            <w:vAlign w:val="center"/>
          </w:tcPr>
          <w:p w14:paraId="41347E8F" w14:textId="3EC9B292" w:rsidR="00C26E21" w:rsidRPr="0054775B" w:rsidRDefault="00C26E21" w:rsidP="00C26E21">
            <w:pPr>
              <w:pStyle w:val="2024TABLETEXT"/>
              <w:framePr w:hSpace="0" w:wrap="auto" w:vAnchor="margin" w:yAlign="inline"/>
              <w:suppressOverlap w:val="0"/>
            </w:pPr>
            <w:r w:rsidRPr="0054775B">
              <w:t>SMD = −1.9</w:t>
            </w:r>
            <w:r>
              <w:t xml:space="preserve"> </w:t>
            </w:r>
            <w:r w:rsidRPr="0054775B">
              <w:t>(−2.63, −1.17)</w:t>
            </w:r>
            <w:r>
              <w:t>^</w:t>
            </w:r>
          </w:p>
        </w:tc>
        <w:tc>
          <w:tcPr>
            <w:tcW w:w="428" w:type="pct"/>
            <w:tcBorders>
              <w:top w:val="single" w:sz="6" w:space="0" w:color="000000"/>
              <w:left w:val="nil"/>
              <w:bottom w:val="single" w:sz="6" w:space="0" w:color="000000"/>
              <w:right w:val="nil"/>
            </w:tcBorders>
            <w:vAlign w:val="center"/>
          </w:tcPr>
          <w:p w14:paraId="15E81C54" w14:textId="5724637F" w:rsidR="00C26E21" w:rsidRPr="0054775B" w:rsidRDefault="00C26E21" w:rsidP="00C26E21">
            <w:pPr>
              <w:pStyle w:val="2024TABLETEXT"/>
              <w:framePr w:hSpace="0" w:wrap="auto" w:vAnchor="margin" w:yAlign="inline"/>
              <w:suppressOverlap w:val="0"/>
            </w:pPr>
            <w:r w:rsidRPr="0054775B">
              <w:t>NMA from 43</w:t>
            </w:r>
            <w:r w:rsidRPr="0054775B">
              <w:br/>
              <w:t>(1)</w:t>
            </w:r>
          </w:p>
        </w:tc>
        <w:tc>
          <w:tcPr>
            <w:tcW w:w="383" w:type="pct"/>
            <w:tcBorders>
              <w:top w:val="single" w:sz="6" w:space="0" w:color="000000"/>
              <w:left w:val="nil"/>
              <w:bottom w:val="single" w:sz="6" w:space="0" w:color="000000"/>
              <w:right w:val="nil"/>
            </w:tcBorders>
            <w:vAlign w:val="center"/>
          </w:tcPr>
          <w:p w14:paraId="049376F8" w14:textId="49071F54" w:rsidR="00C26E21" w:rsidRPr="0054775B" w:rsidRDefault="00C26E21" w:rsidP="00C26E21">
            <w:pPr>
              <w:pStyle w:val="2024TABLETEXT"/>
              <w:framePr w:hSpace="0" w:wrap="auto" w:vAnchor="margin" w:yAlign="inline"/>
              <w:suppressOverlap w:val="0"/>
              <w:rPr>
                <w:rFonts w:cs="Cambria Math"/>
                <w:sz w:val="20"/>
                <w:szCs w:val="20"/>
              </w:rPr>
            </w:pPr>
            <w:r w:rsidRPr="0054775B">
              <w:rPr>
                <w:rFonts w:ascii="Cambria Math" w:hAnsi="Cambria Math" w:cs="Cambria Math"/>
                <w:sz w:val="22"/>
                <w:szCs w:val="22"/>
              </w:rPr>
              <w:t>⨁</w:t>
            </w:r>
            <w:r w:rsidRPr="0054775B">
              <w:rPr>
                <w:rFonts w:ascii="Segoe UI Symbol" w:hAnsi="Segoe UI Symbol" w:cs="Segoe UI Symbol"/>
              </w:rPr>
              <w:t>◯◯◯</w:t>
            </w:r>
            <w:r w:rsidRPr="0054775B">
              <w:br/>
              <w:t>VERY LOW</w:t>
            </w:r>
            <w:r w:rsidRPr="0054775B">
              <w:rPr>
                <w:rStyle w:val="FootnoteReference"/>
              </w:rPr>
              <w:t xml:space="preserve"> </w:t>
            </w:r>
            <w:r w:rsidRPr="0054775B">
              <w:rPr>
                <w:vertAlign w:val="superscript"/>
              </w:rPr>
              <w:t>a</w:t>
            </w:r>
          </w:p>
        </w:tc>
        <w:tc>
          <w:tcPr>
            <w:tcW w:w="1265" w:type="pct"/>
            <w:tcBorders>
              <w:top w:val="single" w:sz="6" w:space="0" w:color="000000"/>
              <w:left w:val="nil"/>
              <w:bottom w:val="single" w:sz="6" w:space="0" w:color="000000"/>
              <w:right w:val="nil"/>
            </w:tcBorders>
            <w:vAlign w:val="center"/>
          </w:tcPr>
          <w:p w14:paraId="2847C144" w14:textId="7B3BBB10" w:rsidR="00C26E21" w:rsidRPr="0054775B" w:rsidRDefault="00C26E21" w:rsidP="00C26E21">
            <w:pPr>
              <w:pStyle w:val="2024TABLETEXT"/>
              <w:framePr w:hSpace="0" w:wrap="auto" w:vAnchor="margin" w:yAlign="inline"/>
              <w:spacing w:after="120"/>
              <w:suppressOverlap w:val="0"/>
            </w:pPr>
            <w:r w:rsidRPr="0054775B">
              <w:t xml:space="preserve">The evidence is very uncertain about the effect of magnesium + naturopathy co-intervention on </w:t>
            </w:r>
            <w:r>
              <w:t>g</w:t>
            </w:r>
            <w:r w:rsidRPr="00C26E21">
              <w:t>lobal improvement in sleep quality or quantity (subjective)</w:t>
            </w:r>
            <w:r>
              <w:t xml:space="preserve"> </w:t>
            </w:r>
            <w:r w:rsidRPr="0054775B">
              <w:t>for insomnia or sleep disorders.</w:t>
            </w:r>
          </w:p>
        </w:tc>
      </w:tr>
      <w:tr w:rsidR="00AD69EC" w:rsidRPr="0054775B" w14:paraId="7E492F9D" w14:textId="77777777" w:rsidTr="00975CA0">
        <w:trPr>
          <w:cantSplit/>
          <w:trHeight w:val="559"/>
        </w:trPr>
        <w:tc>
          <w:tcPr>
            <w:tcW w:w="286" w:type="pct"/>
            <w:tcBorders>
              <w:top w:val="single" w:sz="6" w:space="0" w:color="000000"/>
              <w:left w:val="nil"/>
              <w:bottom w:val="single" w:sz="6" w:space="0" w:color="000000"/>
              <w:right w:val="nil"/>
            </w:tcBorders>
            <w:vAlign w:val="center"/>
          </w:tcPr>
          <w:p w14:paraId="07DCFD32" w14:textId="77777777" w:rsidR="00891B47" w:rsidRPr="0054775B" w:rsidRDefault="00891B47" w:rsidP="00785BCE">
            <w:pPr>
              <w:pStyle w:val="2024TABLETEXT"/>
              <w:framePr w:hSpace="0" w:wrap="auto" w:vAnchor="margin" w:yAlign="inline"/>
              <w:suppressOverlap w:val="0"/>
            </w:pPr>
            <w:r w:rsidRPr="0054775B">
              <w:t>8</w:t>
            </w:r>
          </w:p>
        </w:tc>
        <w:tc>
          <w:tcPr>
            <w:tcW w:w="1336" w:type="pct"/>
            <w:tcBorders>
              <w:top w:val="single" w:sz="6" w:space="0" w:color="000000"/>
              <w:left w:val="nil"/>
              <w:bottom w:val="single" w:sz="6" w:space="0" w:color="000000"/>
              <w:right w:val="nil"/>
            </w:tcBorders>
            <w:vAlign w:val="center"/>
          </w:tcPr>
          <w:p w14:paraId="43EA0B0E" w14:textId="77777777" w:rsidR="00891B47" w:rsidRPr="0054775B" w:rsidRDefault="00891B47" w:rsidP="00785BCE">
            <w:pPr>
              <w:pStyle w:val="2024TABLETEXT"/>
              <w:framePr w:hSpace="0" w:wrap="auto" w:vAnchor="margin" w:yAlign="inline"/>
              <w:suppressOverlap w:val="0"/>
            </w:pPr>
            <w:r w:rsidRPr="0054775B">
              <w:rPr>
                <w:b/>
                <w:bCs/>
              </w:rPr>
              <w:t>Global improvement in sleep quality or quantity (objective)</w:t>
            </w:r>
          </w:p>
        </w:tc>
        <w:tc>
          <w:tcPr>
            <w:tcW w:w="428" w:type="pct"/>
            <w:tcBorders>
              <w:top w:val="single" w:sz="6" w:space="0" w:color="000000"/>
              <w:left w:val="nil"/>
              <w:bottom w:val="single" w:sz="6" w:space="0" w:color="000000"/>
              <w:right w:val="nil"/>
            </w:tcBorders>
            <w:vAlign w:val="center"/>
          </w:tcPr>
          <w:p w14:paraId="04B6F227" w14:textId="77777777" w:rsidR="00891B47" w:rsidRPr="0054775B" w:rsidRDefault="00891B47" w:rsidP="00785BCE">
            <w:pPr>
              <w:pStyle w:val="2024TABLETEXT"/>
              <w:framePr w:hSpace="0" w:wrap="auto" w:vAnchor="margin" w:yAlign="inline"/>
              <w:suppressOverlap w:val="0"/>
            </w:pPr>
            <w:r w:rsidRPr="0054775B">
              <w:t>-</w:t>
            </w:r>
          </w:p>
        </w:tc>
        <w:tc>
          <w:tcPr>
            <w:tcW w:w="383" w:type="pct"/>
            <w:tcBorders>
              <w:top w:val="single" w:sz="6" w:space="0" w:color="000000"/>
              <w:left w:val="nil"/>
              <w:bottom w:val="single" w:sz="6" w:space="0" w:color="000000"/>
              <w:right w:val="nil"/>
            </w:tcBorders>
            <w:vAlign w:val="center"/>
          </w:tcPr>
          <w:p w14:paraId="04499BC6" w14:textId="1256EA72" w:rsidR="00891B47" w:rsidRPr="0054775B" w:rsidRDefault="00891B47" w:rsidP="00785BCE">
            <w:pPr>
              <w:pStyle w:val="2024TABLETEXT"/>
              <w:framePr w:hSpace="0" w:wrap="auto" w:vAnchor="margin" w:yAlign="inline"/>
              <w:suppressOverlap w:val="0"/>
            </w:pPr>
            <w:r>
              <w:t>-</w:t>
            </w:r>
          </w:p>
        </w:tc>
        <w:tc>
          <w:tcPr>
            <w:tcW w:w="492" w:type="pct"/>
            <w:tcBorders>
              <w:top w:val="single" w:sz="6" w:space="0" w:color="000000"/>
              <w:left w:val="nil"/>
              <w:bottom w:val="single" w:sz="6" w:space="0" w:color="000000"/>
              <w:right w:val="nil"/>
            </w:tcBorders>
            <w:vAlign w:val="center"/>
          </w:tcPr>
          <w:p w14:paraId="66FD0DD6" w14:textId="710C69F4" w:rsidR="00891B47" w:rsidRPr="0054775B" w:rsidRDefault="00891B47" w:rsidP="00785BCE">
            <w:pPr>
              <w:pStyle w:val="2024TABLETEXT"/>
              <w:framePr w:hSpace="0" w:wrap="auto" w:vAnchor="margin" w:yAlign="inline"/>
              <w:suppressOverlap w:val="0"/>
            </w:pPr>
            <w:r w:rsidRPr="0054775B">
              <w:t>-</w:t>
            </w:r>
          </w:p>
        </w:tc>
        <w:tc>
          <w:tcPr>
            <w:tcW w:w="428" w:type="pct"/>
            <w:tcBorders>
              <w:top w:val="single" w:sz="6" w:space="0" w:color="000000"/>
              <w:left w:val="nil"/>
              <w:bottom w:val="single" w:sz="6" w:space="0" w:color="000000"/>
              <w:right w:val="nil"/>
            </w:tcBorders>
            <w:vAlign w:val="center"/>
          </w:tcPr>
          <w:p w14:paraId="1508B24C" w14:textId="77777777" w:rsidR="00891B47" w:rsidRPr="0054775B" w:rsidRDefault="00891B47" w:rsidP="00785BCE">
            <w:pPr>
              <w:pStyle w:val="2024TABLETEXT"/>
              <w:framePr w:hSpace="0" w:wrap="auto" w:vAnchor="margin" w:yAlign="inline"/>
              <w:suppressOverlap w:val="0"/>
            </w:pPr>
            <w:r w:rsidRPr="0054775B">
              <w:t>-</w:t>
            </w:r>
          </w:p>
        </w:tc>
        <w:tc>
          <w:tcPr>
            <w:tcW w:w="383" w:type="pct"/>
            <w:tcBorders>
              <w:top w:val="single" w:sz="6" w:space="0" w:color="000000"/>
              <w:left w:val="nil"/>
              <w:bottom w:val="single" w:sz="6" w:space="0" w:color="000000"/>
              <w:right w:val="nil"/>
            </w:tcBorders>
            <w:vAlign w:val="center"/>
          </w:tcPr>
          <w:p w14:paraId="09ACC223" w14:textId="77777777" w:rsidR="00891B47" w:rsidRPr="0054775B" w:rsidRDefault="00891B47" w:rsidP="00785BCE">
            <w:pPr>
              <w:pStyle w:val="2024TABLETEXT"/>
              <w:framePr w:hSpace="0" w:wrap="auto" w:vAnchor="margin" w:yAlign="inline"/>
              <w:suppressOverlap w:val="0"/>
            </w:pPr>
            <w:r w:rsidRPr="0054775B">
              <w:t>-</w:t>
            </w:r>
          </w:p>
        </w:tc>
        <w:tc>
          <w:tcPr>
            <w:tcW w:w="1265" w:type="pct"/>
            <w:tcBorders>
              <w:top w:val="single" w:sz="6" w:space="0" w:color="000000"/>
              <w:left w:val="nil"/>
              <w:bottom w:val="single" w:sz="6" w:space="0" w:color="000000"/>
              <w:right w:val="nil"/>
            </w:tcBorders>
            <w:vAlign w:val="center"/>
          </w:tcPr>
          <w:p w14:paraId="43A078DB" w14:textId="379B4F20" w:rsidR="00891B47" w:rsidRPr="0054775B" w:rsidRDefault="00891B47" w:rsidP="00785BCE">
            <w:pPr>
              <w:pStyle w:val="2024TABLETEXT"/>
              <w:framePr w:hSpace="0" w:wrap="auto" w:vAnchor="margin" w:yAlign="inline"/>
              <w:suppressOverlap w:val="0"/>
              <w:rPr>
                <w:highlight w:val="yellow"/>
              </w:rPr>
            </w:pPr>
            <w:r w:rsidRPr="0054775B">
              <w:t xml:space="preserve">No </w:t>
            </w:r>
            <w:r w:rsidR="004166BE">
              <w:t>reviews</w:t>
            </w:r>
            <w:r w:rsidR="004166BE" w:rsidRPr="0054775B">
              <w:t xml:space="preserve"> found</w:t>
            </w:r>
            <w:r w:rsidRPr="0054775B">
              <w:t>. The effect of magnesium + naturopathy co-intervention on objective global improvement in sleep quality or quantity for insomnia or sleep disorders is unknown.</w:t>
            </w:r>
          </w:p>
        </w:tc>
      </w:tr>
      <w:tr w:rsidR="00192BA7" w:rsidRPr="0054775B" w14:paraId="714C4232" w14:textId="77777777" w:rsidTr="00A77DBB">
        <w:trPr>
          <w:cantSplit/>
          <w:trHeight w:val="30"/>
        </w:trPr>
        <w:tc>
          <w:tcPr>
            <w:tcW w:w="286" w:type="pct"/>
            <w:vMerge w:val="restart"/>
            <w:tcBorders>
              <w:top w:val="single" w:sz="6" w:space="0" w:color="000000"/>
              <w:left w:val="nil"/>
              <w:right w:val="nil"/>
            </w:tcBorders>
            <w:vAlign w:val="center"/>
          </w:tcPr>
          <w:p w14:paraId="58B493DE" w14:textId="77777777" w:rsidR="00891B47" w:rsidRPr="0054775B" w:rsidRDefault="00891B47" w:rsidP="00785BCE">
            <w:pPr>
              <w:pStyle w:val="2024TABLETEXT"/>
              <w:framePr w:hSpace="0" w:wrap="auto" w:vAnchor="margin" w:yAlign="inline"/>
              <w:suppressOverlap w:val="0"/>
            </w:pPr>
            <w:r w:rsidRPr="0054775B">
              <w:t>8</w:t>
            </w:r>
          </w:p>
        </w:tc>
        <w:tc>
          <w:tcPr>
            <w:tcW w:w="1336" w:type="pct"/>
            <w:tcBorders>
              <w:top w:val="single" w:sz="6" w:space="0" w:color="000000"/>
              <w:left w:val="nil"/>
              <w:bottom w:val="single" w:sz="6" w:space="0" w:color="000000"/>
              <w:right w:val="nil"/>
            </w:tcBorders>
            <w:vAlign w:val="center"/>
          </w:tcPr>
          <w:p w14:paraId="0E24458F" w14:textId="6A912BD9" w:rsidR="00891B47" w:rsidRPr="0054775B" w:rsidRDefault="00891B47" w:rsidP="00DC153E">
            <w:pPr>
              <w:pStyle w:val="2024TABLETEXT"/>
              <w:framePr w:hSpace="0" w:wrap="auto" w:vAnchor="margin" w:yAlign="inline"/>
              <w:suppressOverlap w:val="0"/>
              <w:rPr>
                <w:b/>
                <w:bCs/>
              </w:rPr>
            </w:pPr>
            <w:r w:rsidRPr="0054775B">
              <w:rPr>
                <w:b/>
                <w:bCs/>
              </w:rPr>
              <w:t>Improvement in individual sleep parameters</w:t>
            </w:r>
          </w:p>
        </w:tc>
        <w:tc>
          <w:tcPr>
            <w:tcW w:w="428" w:type="pct"/>
            <w:tcBorders>
              <w:top w:val="single" w:sz="6" w:space="0" w:color="000000"/>
              <w:left w:val="nil"/>
              <w:bottom w:val="single" w:sz="6" w:space="0" w:color="000000"/>
              <w:right w:val="nil"/>
            </w:tcBorders>
            <w:vAlign w:val="center"/>
          </w:tcPr>
          <w:p w14:paraId="208D4336" w14:textId="7233886B" w:rsidR="00891B47" w:rsidRPr="0054775B" w:rsidRDefault="00891B47" w:rsidP="00785BCE">
            <w:pPr>
              <w:pStyle w:val="2024TABLETEXT"/>
              <w:framePr w:hSpace="0" w:wrap="auto" w:vAnchor="margin" w:yAlign="inline"/>
              <w:suppressOverlap w:val="0"/>
              <w:rPr>
                <w:rFonts w:eastAsiaTheme="minorHAnsi"/>
              </w:rPr>
            </w:pPr>
          </w:p>
        </w:tc>
        <w:tc>
          <w:tcPr>
            <w:tcW w:w="383" w:type="pct"/>
            <w:tcBorders>
              <w:top w:val="single" w:sz="6" w:space="0" w:color="000000"/>
              <w:left w:val="nil"/>
              <w:bottom w:val="single" w:sz="6" w:space="0" w:color="000000"/>
              <w:right w:val="nil"/>
            </w:tcBorders>
          </w:tcPr>
          <w:p w14:paraId="305337D6" w14:textId="77777777" w:rsidR="00891B47" w:rsidRPr="0054775B" w:rsidRDefault="00891B47" w:rsidP="00785BCE">
            <w:pPr>
              <w:pStyle w:val="2024TABLETEXT"/>
              <w:framePr w:hSpace="0" w:wrap="auto" w:vAnchor="margin" w:yAlign="inline"/>
              <w:suppressOverlap w:val="0"/>
              <w:rPr>
                <w:rFonts w:eastAsiaTheme="minorHAnsi"/>
                <w:color w:val="000000" w:themeColor="text1"/>
                <w:lang w:eastAsia="en-US"/>
              </w:rPr>
            </w:pPr>
          </w:p>
        </w:tc>
        <w:tc>
          <w:tcPr>
            <w:tcW w:w="492" w:type="pct"/>
            <w:tcBorders>
              <w:top w:val="single" w:sz="6" w:space="0" w:color="000000"/>
              <w:left w:val="nil"/>
              <w:bottom w:val="single" w:sz="6" w:space="0" w:color="000000"/>
              <w:right w:val="nil"/>
            </w:tcBorders>
            <w:vAlign w:val="center"/>
          </w:tcPr>
          <w:p w14:paraId="56F18D26" w14:textId="753FEC25" w:rsidR="00891B47" w:rsidRPr="0054775B" w:rsidRDefault="00891B47" w:rsidP="00785BCE">
            <w:pPr>
              <w:pStyle w:val="2024TABLETEXT"/>
              <w:framePr w:hSpace="0" w:wrap="auto" w:vAnchor="margin" w:yAlign="inline"/>
              <w:suppressOverlap w:val="0"/>
              <w:rPr>
                <w:rFonts w:eastAsiaTheme="minorHAnsi"/>
                <w:color w:val="000000" w:themeColor="text1"/>
                <w:lang w:eastAsia="en-US"/>
              </w:rPr>
            </w:pPr>
          </w:p>
        </w:tc>
        <w:tc>
          <w:tcPr>
            <w:tcW w:w="428" w:type="pct"/>
            <w:tcBorders>
              <w:top w:val="single" w:sz="6" w:space="0" w:color="000000"/>
              <w:left w:val="nil"/>
              <w:bottom w:val="single" w:sz="6" w:space="0" w:color="000000"/>
              <w:right w:val="nil"/>
            </w:tcBorders>
            <w:vAlign w:val="center"/>
          </w:tcPr>
          <w:p w14:paraId="0BC0C758" w14:textId="28900FA6" w:rsidR="00891B47" w:rsidRPr="0054775B" w:rsidRDefault="00891B47" w:rsidP="00785BCE">
            <w:pPr>
              <w:pStyle w:val="2024TABLETEXT"/>
              <w:framePr w:hSpace="0" w:wrap="auto" w:vAnchor="margin" w:yAlign="inline"/>
              <w:suppressOverlap w:val="0"/>
              <w:rPr>
                <w:rFonts w:eastAsiaTheme="minorHAnsi"/>
              </w:rPr>
            </w:pPr>
          </w:p>
        </w:tc>
        <w:tc>
          <w:tcPr>
            <w:tcW w:w="383" w:type="pct"/>
            <w:tcBorders>
              <w:top w:val="single" w:sz="6" w:space="0" w:color="000000"/>
              <w:left w:val="nil"/>
              <w:bottom w:val="single" w:sz="6" w:space="0" w:color="000000"/>
              <w:right w:val="nil"/>
            </w:tcBorders>
            <w:vAlign w:val="center"/>
          </w:tcPr>
          <w:p w14:paraId="7DAC3AF4" w14:textId="2615ACBA" w:rsidR="00891B47" w:rsidRPr="0054775B" w:rsidRDefault="00891B47" w:rsidP="00785BCE">
            <w:pPr>
              <w:pStyle w:val="2024TABLETEXT"/>
              <w:framePr w:hSpace="0" w:wrap="auto" w:vAnchor="margin" w:yAlign="inline"/>
              <w:suppressOverlap w:val="0"/>
            </w:pPr>
          </w:p>
        </w:tc>
        <w:tc>
          <w:tcPr>
            <w:tcW w:w="1265" w:type="pct"/>
            <w:tcBorders>
              <w:top w:val="single" w:sz="6" w:space="0" w:color="000000"/>
              <w:left w:val="nil"/>
              <w:bottom w:val="single" w:sz="6" w:space="0" w:color="000000"/>
              <w:right w:val="nil"/>
            </w:tcBorders>
            <w:vAlign w:val="center"/>
          </w:tcPr>
          <w:p w14:paraId="535EA77D" w14:textId="5E4C0982" w:rsidR="00891B47" w:rsidRPr="0054775B" w:rsidRDefault="00891B47" w:rsidP="00785BCE">
            <w:pPr>
              <w:pStyle w:val="2024TABLETEXT"/>
              <w:framePr w:hSpace="0" w:wrap="auto" w:vAnchor="margin" w:yAlign="inline"/>
              <w:suppressOverlap w:val="0"/>
              <w:rPr>
                <w:highlight w:val="yellow"/>
              </w:rPr>
            </w:pPr>
          </w:p>
        </w:tc>
      </w:tr>
      <w:tr w:rsidR="00AD69EC" w:rsidRPr="0054775B" w14:paraId="5F419ED9" w14:textId="77777777" w:rsidTr="00A77DBB">
        <w:trPr>
          <w:cantSplit/>
        </w:trPr>
        <w:tc>
          <w:tcPr>
            <w:tcW w:w="286" w:type="pct"/>
            <w:vMerge/>
            <w:tcBorders>
              <w:left w:val="nil"/>
              <w:right w:val="nil"/>
            </w:tcBorders>
            <w:vAlign w:val="center"/>
          </w:tcPr>
          <w:p w14:paraId="15946590" w14:textId="77777777" w:rsidR="00891B47" w:rsidRPr="0054775B" w:rsidRDefault="00891B47" w:rsidP="00275A99">
            <w:pPr>
              <w:pStyle w:val="2024TABLETEXT"/>
              <w:framePr w:hSpace="0" w:wrap="auto" w:vAnchor="margin" w:yAlign="inline"/>
              <w:suppressOverlap w:val="0"/>
            </w:pPr>
          </w:p>
        </w:tc>
        <w:tc>
          <w:tcPr>
            <w:tcW w:w="1336" w:type="pct"/>
            <w:tcBorders>
              <w:top w:val="single" w:sz="6" w:space="0" w:color="000000"/>
              <w:left w:val="nil"/>
              <w:bottom w:val="single" w:sz="6" w:space="0" w:color="000000"/>
              <w:right w:val="nil"/>
            </w:tcBorders>
            <w:vAlign w:val="center"/>
          </w:tcPr>
          <w:p w14:paraId="79090047" w14:textId="77777777" w:rsidR="00891B47" w:rsidRPr="0054775B" w:rsidRDefault="00891B47" w:rsidP="00275A99">
            <w:pPr>
              <w:pStyle w:val="2024TABLETEXT"/>
              <w:framePr w:hSpace="0" w:wrap="auto" w:vAnchor="margin" w:yAlign="inline"/>
              <w:spacing w:after="120"/>
              <w:ind w:left="368"/>
              <w:suppressOverlap w:val="0"/>
              <w:rPr>
                <w:b/>
                <w:bCs/>
              </w:rPr>
            </w:pPr>
            <w:r w:rsidRPr="0054775B">
              <w:rPr>
                <w:b/>
                <w:bCs/>
              </w:rPr>
              <w:t>Total sleep time</w:t>
            </w:r>
          </w:p>
          <w:p w14:paraId="600C2DCA" w14:textId="77777777" w:rsidR="00891B47" w:rsidRPr="0054775B" w:rsidRDefault="00891B47" w:rsidP="00275A99">
            <w:pPr>
              <w:pStyle w:val="2024TABLETEXT"/>
              <w:framePr w:hSpace="0" w:wrap="auto" w:vAnchor="margin" w:yAlign="inline"/>
              <w:ind w:left="793"/>
              <w:suppressOverlap w:val="0"/>
              <w:rPr>
                <w:b/>
                <w:bCs/>
              </w:rPr>
            </w:pPr>
            <w:r w:rsidRPr="0054775B">
              <w:rPr>
                <w:b/>
                <w:bCs/>
              </w:rPr>
              <w:t xml:space="preserve">Population: </w:t>
            </w:r>
            <w:r w:rsidRPr="0054775B">
              <w:t>Older adults with insomnia (aged 65 or over)</w:t>
            </w:r>
          </w:p>
          <w:p w14:paraId="4E4587A8" w14:textId="4D77C5BB" w:rsidR="00891B47" w:rsidRPr="0054775B" w:rsidRDefault="00891B47" w:rsidP="00275A99">
            <w:pPr>
              <w:pStyle w:val="2024TABLETEXT"/>
              <w:framePr w:hSpace="0" w:wrap="auto" w:vAnchor="margin" w:yAlign="inline"/>
              <w:ind w:left="793"/>
              <w:suppressOverlap w:val="0"/>
            </w:pPr>
            <w:r w:rsidRPr="0054775B">
              <w:rPr>
                <w:b/>
                <w:bCs/>
              </w:rPr>
              <w:t>Dosage:</w:t>
            </w:r>
            <w:r w:rsidRPr="0054775B">
              <w:t xml:space="preserve"> 225mg Magnesium, plus 5mg of melatonin, 11.25mg zinc</w:t>
            </w:r>
          </w:p>
          <w:p w14:paraId="2C927E6A" w14:textId="175676C0" w:rsidR="00891B47" w:rsidRPr="0054775B" w:rsidRDefault="00891B47" w:rsidP="00275A99">
            <w:pPr>
              <w:pStyle w:val="2024TABLETEXT"/>
              <w:framePr w:hSpace="0" w:wrap="auto" w:vAnchor="margin" w:yAlign="inline"/>
              <w:ind w:left="793"/>
              <w:suppressOverlap w:val="0"/>
            </w:pPr>
            <w:r w:rsidRPr="0054775B">
              <w:rPr>
                <w:b/>
                <w:bCs/>
              </w:rPr>
              <w:t>Assessed with:</w:t>
            </w:r>
            <w:r w:rsidRPr="0054775B">
              <w:t xml:space="preserve"> Total sleep time (minutes)</w:t>
            </w:r>
          </w:p>
          <w:p w14:paraId="695CA21F" w14:textId="7A7D1B70" w:rsidR="00891B47" w:rsidRPr="0054775B" w:rsidRDefault="00891B47" w:rsidP="00275A99">
            <w:pPr>
              <w:pStyle w:val="2024TABLETEXT"/>
              <w:framePr w:hSpace="0" w:wrap="auto" w:vAnchor="margin" w:yAlign="inline"/>
              <w:ind w:left="793"/>
              <w:suppressOverlap w:val="0"/>
            </w:pPr>
            <w:r w:rsidRPr="0054775B">
              <w:rPr>
                <w:b/>
                <w:bCs/>
              </w:rPr>
              <w:t xml:space="preserve">Follow-up: </w:t>
            </w:r>
            <w:r w:rsidRPr="0054775B">
              <w:t>8 weeks</w:t>
            </w:r>
          </w:p>
        </w:tc>
        <w:tc>
          <w:tcPr>
            <w:tcW w:w="428" w:type="pct"/>
            <w:tcBorders>
              <w:top w:val="single" w:sz="6" w:space="0" w:color="000000"/>
              <w:left w:val="nil"/>
              <w:bottom w:val="single" w:sz="6" w:space="0" w:color="000000"/>
              <w:right w:val="nil"/>
            </w:tcBorders>
            <w:vAlign w:val="center"/>
          </w:tcPr>
          <w:p w14:paraId="21C4628B" w14:textId="329B1A66" w:rsidR="00891B47" w:rsidRPr="0054775B" w:rsidRDefault="00891B47" w:rsidP="00275A99">
            <w:pPr>
              <w:pStyle w:val="2024TABLETEXT"/>
              <w:framePr w:hSpace="0" w:wrap="auto" w:vAnchor="margin" w:yAlign="inline"/>
              <w:suppressOverlap w:val="0"/>
            </w:pPr>
            <w:r w:rsidRPr="0054775B">
              <w:rPr>
                <w:rFonts w:eastAsiaTheme="minorHAnsi"/>
              </w:rPr>
              <w:t>Samara 2020</w:t>
            </w:r>
          </w:p>
        </w:tc>
        <w:tc>
          <w:tcPr>
            <w:tcW w:w="383" w:type="pct"/>
            <w:tcBorders>
              <w:top w:val="single" w:sz="6" w:space="0" w:color="000000"/>
              <w:left w:val="nil"/>
              <w:bottom w:val="single" w:sz="6" w:space="0" w:color="000000"/>
              <w:right w:val="nil"/>
            </w:tcBorders>
          </w:tcPr>
          <w:p w14:paraId="5EB3AC8C" w14:textId="77777777" w:rsidR="00891B47" w:rsidRPr="0054775B" w:rsidRDefault="00891B47" w:rsidP="00275A99">
            <w:pPr>
              <w:pStyle w:val="2024TABLETEXT"/>
              <w:framePr w:hSpace="0" w:wrap="auto" w:vAnchor="margin" w:yAlign="inline"/>
              <w:suppressOverlap w:val="0"/>
              <w:rPr>
                <w:rFonts w:eastAsia="Calibri"/>
              </w:rPr>
            </w:pPr>
          </w:p>
        </w:tc>
        <w:tc>
          <w:tcPr>
            <w:tcW w:w="492" w:type="pct"/>
            <w:tcBorders>
              <w:top w:val="single" w:sz="6" w:space="0" w:color="000000"/>
              <w:left w:val="nil"/>
              <w:bottom w:val="single" w:sz="6" w:space="0" w:color="000000"/>
              <w:right w:val="nil"/>
            </w:tcBorders>
            <w:vAlign w:val="center"/>
          </w:tcPr>
          <w:p w14:paraId="2C9CC2A8" w14:textId="46F01C9C" w:rsidR="00891B47" w:rsidRPr="0054775B" w:rsidRDefault="003C0FB8" w:rsidP="00275A99">
            <w:pPr>
              <w:pStyle w:val="2024TABLETEXT"/>
              <w:framePr w:hSpace="0" w:wrap="auto" w:vAnchor="margin" w:yAlign="inline"/>
              <w:suppressOverlap w:val="0"/>
              <w:rPr>
                <w:rFonts w:eastAsia="Calibri"/>
              </w:rPr>
            </w:pPr>
            <w:r>
              <w:rPr>
                <w:rFonts w:eastAsia="Calibri"/>
              </w:rPr>
              <w:t>W</w:t>
            </w:r>
            <w:r w:rsidR="00891B47" w:rsidRPr="0054775B">
              <w:rPr>
                <w:rFonts w:eastAsia="Calibri"/>
              </w:rPr>
              <w:t>MD = 62.27 (28.80, 95.74</w:t>
            </w:r>
            <w:r>
              <w:rPr>
                <w:rFonts w:eastAsia="Calibri"/>
              </w:rPr>
              <w:t>)</w:t>
            </w:r>
            <w:r w:rsidRPr="00C463E1">
              <w:rPr>
                <w:rFonts w:eastAsiaTheme="minorHAnsi"/>
              </w:rPr>
              <w:t>§</w:t>
            </w:r>
          </w:p>
        </w:tc>
        <w:tc>
          <w:tcPr>
            <w:tcW w:w="428" w:type="pct"/>
            <w:tcBorders>
              <w:top w:val="single" w:sz="6" w:space="0" w:color="000000"/>
              <w:left w:val="nil"/>
              <w:bottom w:val="single" w:sz="6" w:space="0" w:color="000000"/>
              <w:right w:val="nil"/>
            </w:tcBorders>
            <w:vAlign w:val="center"/>
          </w:tcPr>
          <w:p w14:paraId="14E4836C" w14:textId="2A09E112" w:rsidR="00891B47" w:rsidRPr="0054775B" w:rsidRDefault="00891B47" w:rsidP="00275A99">
            <w:pPr>
              <w:pStyle w:val="2024TABLETEXT"/>
              <w:framePr w:hSpace="0" w:wrap="auto" w:vAnchor="margin" w:yAlign="inline"/>
              <w:suppressOverlap w:val="0"/>
            </w:pPr>
            <w:r w:rsidRPr="0054775B">
              <w:t>NMA from 43</w:t>
            </w:r>
            <w:r w:rsidRPr="0054775B">
              <w:br/>
              <w:t>(1)</w:t>
            </w:r>
          </w:p>
        </w:tc>
        <w:tc>
          <w:tcPr>
            <w:tcW w:w="383" w:type="pct"/>
            <w:tcBorders>
              <w:top w:val="single" w:sz="6" w:space="0" w:color="000000"/>
              <w:left w:val="nil"/>
              <w:bottom w:val="single" w:sz="6" w:space="0" w:color="000000"/>
              <w:right w:val="nil"/>
            </w:tcBorders>
            <w:vAlign w:val="center"/>
          </w:tcPr>
          <w:p w14:paraId="1D92784A" w14:textId="50FC95E8" w:rsidR="00891B47" w:rsidRPr="0054775B" w:rsidRDefault="00891B47" w:rsidP="00275A99">
            <w:pPr>
              <w:pStyle w:val="2024TABLETEXT"/>
              <w:framePr w:hSpace="0" w:wrap="auto" w:vAnchor="margin" w:yAlign="inline"/>
              <w:suppressOverlap w:val="0"/>
              <w:rPr>
                <w:highlight w:val="yellow"/>
              </w:rPr>
            </w:pPr>
            <w:r w:rsidRPr="0054775B">
              <w:rPr>
                <w:rFonts w:ascii="Cambria Math" w:hAnsi="Cambria Math" w:cs="Cambria Math"/>
                <w:sz w:val="22"/>
                <w:szCs w:val="22"/>
              </w:rPr>
              <w:t>⨁</w:t>
            </w:r>
            <w:r w:rsidRPr="0054775B">
              <w:rPr>
                <w:rFonts w:ascii="Segoe UI Symbol" w:hAnsi="Segoe UI Symbol" w:cs="Segoe UI Symbol"/>
              </w:rPr>
              <w:t>◯◯◯</w:t>
            </w:r>
            <w:r w:rsidRPr="0054775B">
              <w:br/>
              <w:t>VERY LOW</w:t>
            </w:r>
            <w:r w:rsidRPr="0054775B">
              <w:rPr>
                <w:rStyle w:val="FootnoteReference"/>
              </w:rPr>
              <w:t xml:space="preserve"> </w:t>
            </w:r>
            <w:r w:rsidR="00EB312F" w:rsidRPr="00552FB6">
              <w:rPr>
                <w:vertAlign w:val="superscript"/>
              </w:rPr>
              <w:t>a</w:t>
            </w:r>
          </w:p>
        </w:tc>
        <w:tc>
          <w:tcPr>
            <w:tcW w:w="1265" w:type="pct"/>
            <w:tcBorders>
              <w:top w:val="single" w:sz="6" w:space="0" w:color="000000"/>
              <w:left w:val="nil"/>
              <w:bottom w:val="single" w:sz="6" w:space="0" w:color="000000"/>
              <w:right w:val="nil"/>
            </w:tcBorders>
            <w:vAlign w:val="center"/>
          </w:tcPr>
          <w:p w14:paraId="171D6F40" w14:textId="58772DFD" w:rsidR="00891B47" w:rsidRPr="0054775B" w:rsidRDefault="00891B47" w:rsidP="00275A99">
            <w:pPr>
              <w:pStyle w:val="2024TABLETEXT"/>
              <w:framePr w:hSpace="0" w:wrap="auto" w:vAnchor="margin" w:yAlign="inline"/>
              <w:suppressOverlap w:val="0"/>
            </w:pPr>
            <w:r w:rsidRPr="0054775B">
              <w:t>The evidence is very uncertain about the effect of magnesium + naturopathy co-intervention on total sleep time for insomnia or sleep disorders.</w:t>
            </w:r>
          </w:p>
        </w:tc>
      </w:tr>
      <w:tr w:rsidR="00AD69EC" w:rsidRPr="0054775B" w14:paraId="194043C4" w14:textId="77777777" w:rsidTr="00A77DBB">
        <w:trPr>
          <w:cantSplit/>
        </w:trPr>
        <w:tc>
          <w:tcPr>
            <w:tcW w:w="286" w:type="pct"/>
            <w:tcBorders>
              <w:top w:val="single" w:sz="6" w:space="0" w:color="000000"/>
              <w:left w:val="nil"/>
              <w:bottom w:val="single" w:sz="6" w:space="0" w:color="000000"/>
              <w:right w:val="nil"/>
            </w:tcBorders>
            <w:vAlign w:val="center"/>
          </w:tcPr>
          <w:p w14:paraId="0FFD19E4" w14:textId="77777777" w:rsidR="00891B47" w:rsidRPr="0054775B" w:rsidRDefault="00891B47" w:rsidP="004638E3">
            <w:pPr>
              <w:pStyle w:val="2024TABLETEXT"/>
              <w:framePr w:hSpace="0" w:wrap="auto" w:vAnchor="margin" w:yAlign="inline"/>
              <w:suppressOverlap w:val="0"/>
            </w:pPr>
            <w:r w:rsidRPr="0054775B">
              <w:t>8</w:t>
            </w:r>
          </w:p>
        </w:tc>
        <w:tc>
          <w:tcPr>
            <w:tcW w:w="1336" w:type="pct"/>
            <w:tcBorders>
              <w:top w:val="single" w:sz="6" w:space="0" w:color="000000"/>
              <w:left w:val="nil"/>
              <w:bottom w:val="single" w:sz="6" w:space="0" w:color="000000"/>
              <w:right w:val="nil"/>
            </w:tcBorders>
            <w:vAlign w:val="center"/>
          </w:tcPr>
          <w:p w14:paraId="6F8414CF" w14:textId="77777777" w:rsidR="00891B47" w:rsidRPr="0054775B" w:rsidRDefault="00891B47" w:rsidP="004638E3">
            <w:pPr>
              <w:pStyle w:val="2024TABLETEXT"/>
              <w:framePr w:hSpace="0" w:wrap="auto" w:vAnchor="margin" w:yAlign="inline"/>
              <w:spacing w:after="120"/>
              <w:suppressOverlap w:val="0"/>
              <w:rPr>
                <w:b/>
                <w:bCs/>
              </w:rPr>
            </w:pPr>
            <w:r w:rsidRPr="0054775B">
              <w:rPr>
                <w:b/>
                <w:bCs/>
              </w:rPr>
              <w:t>Quality of life</w:t>
            </w:r>
          </w:p>
          <w:p w14:paraId="38B2688B" w14:textId="77777777" w:rsidR="00891B47" w:rsidRPr="0054775B" w:rsidRDefault="00891B47" w:rsidP="004638E3">
            <w:pPr>
              <w:pStyle w:val="2024TABLETEXT"/>
              <w:framePr w:hSpace="0" w:wrap="auto" w:vAnchor="margin" w:yAlign="inline"/>
              <w:ind w:left="370"/>
              <w:suppressOverlap w:val="0"/>
              <w:rPr>
                <w:b/>
                <w:bCs/>
              </w:rPr>
            </w:pPr>
            <w:r w:rsidRPr="0054775B">
              <w:rPr>
                <w:b/>
                <w:bCs/>
              </w:rPr>
              <w:t xml:space="preserve">Population: </w:t>
            </w:r>
            <w:r w:rsidRPr="0054775B">
              <w:t>Older adults with insomnia (aged 65 or over)</w:t>
            </w:r>
          </w:p>
          <w:p w14:paraId="6C9AF620" w14:textId="7D78D4C5" w:rsidR="00891B47" w:rsidRPr="0054775B" w:rsidRDefault="00891B47" w:rsidP="004638E3">
            <w:pPr>
              <w:pStyle w:val="2024TABLETEXT"/>
              <w:framePr w:hSpace="0" w:wrap="auto" w:vAnchor="margin" w:yAlign="inline"/>
              <w:ind w:left="370"/>
              <w:suppressOverlap w:val="0"/>
            </w:pPr>
            <w:r w:rsidRPr="0054775B">
              <w:rPr>
                <w:b/>
                <w:bCs/>
              </w:rPr>
              <w:lastRenderedPageBreak/>
              <w:t>Dosage:</w:t>
            </w:r>
            <w:r w:rsidRPr="0054775B">
              <w:t xml:space="preserve"> 225mg Magnesium, plus 5mg of melatonin, 11.25mg zinc</w:t>
            </w:r>
          </w:p>
          <w:p w14:paraId="6EE99137" w14:textId="0844ED50" w:rsidR="00891B47" w:rsidRPr="0054775B" w:rsidRDefault="00891B47" w:rsidP="004638E3">
            <w:pPr>
              <w:pStyle w:val="2024TABLETEXT"/>
              <w:framePr w:hSpace="0" w:wrap="auto" w:vAnchor="margin" w:yAlign="inline"/>
              <w:ind w:left="370"/>
              <w:suppressOverlap w:val="0"/>
            </w:pPr>
            <w:r w:rsidRPr="0054775B">
              <w:rPr>
                <w:b/>
                <w:bCs/>
              </w:rPr>
              <w:t>Assessed with:</w:t>
            </w:r>
            <w:r w:rsidRPr="0054775B">
              <w:t xml:space="preserve"> NR</w:t>
            </w:r>
          </w:p>
          <w:p w14:paraId="7BD6EEBB" w14:textId="5307C846" w:rsidR="00891B47" w:rsidRPr="0054775B" w:rsidRDefault="00891B47" w:rsidP="004638E3">
            <w:pPr>
              <w:pStyle w:val="2024TABLETEXT"/>
              <w:framePr w:hSpace="0" w:wrap="auto" w:vAnchor="margin" w:yAlign="inline"/>
              <w:ind w:left="370"/>
              <w:suppressOverlap w:val="0"/>
            </w:pPr>
            <w:r w:rsidRPr="0054775B">
              <w:rPr>
                <w:b/>
                <w:bCs/>
              </w:rPr>
              <w:t xml:space="preserve">Follow-up: </w:t>
            </w:r>
            <w:r w:rsidRPr="0054775B">
              <w:t>8 weeks</w:t>
            </w:r>
          </w:p>
        </w:tc>
        <w:tc>
          <w:tcPr>
            <w:tcW w:w="428" w:type="pct"/>
            <w:tcBorders>
              <w:top w:val="single" w:sz="6" w:space="0" w:color="000000"/>
              <w:left w:val="nil"/>
              <w:bottom w:val="single" w:sz="6" w:space="0" w:color="000000"/>
              <w:right w:val="nil"/>
            </w:tcBorders>
            <w:vAlign w:val="center"/>
          </w:tcPr>
          <w:p w14:paraId="7F9170E5" w14:textId="1AA23BDB" w:rsidR="00891B47" w:rsidRPr="0054775B" w:rsidRDefault="00891B47" w:rsidP="004638E3">
            <w:pPr>
              <w:pStyle w:val="2024TABLETEXT"/>
              <w:framePr w:hSpace="0" w:wrap="auto" w:vAnchor="margin" w:yAlign="inline"/>
              <w:suppressOverlap w:val="0"/>
            </w:pPr>
            <w:r w:rsidRPr="0054775B">
              <w:rPr>
                <w:rFonts w:eastAsiaTheme="minorHAnsi"/>
              </w:rPr>
              <w:lastRenderedPageBreak/>
              <w:t>Samara 2020</w:t>
            </w:r>
          </w:p>
        </w:tc>
        <w:tc>
          <w:tcPr>
            <w:tcW w:w="383" w:type="pct"/>
            <w:tcBorders>
              <w:top w:val="single" w:sz="6" w:space="0" w:color="000000"/>
              <w:left w:val="nil"/>
              <w:bottom w:val="single" w:sz="6" w:space="0" w:color="000000"/>
              <w:right w:val="nil"/>
            </w:tcBorders>
          </w:tcPr>
          <w:p w14:paraId="65A9A3DA" w14:textId="77777777" w:rsidR="00891B47" w:rsidRPr="0054775B" w:rsidRDefault="00891B47" w:rsidP="004638E3">
            <w:pPr>
              <w:pStyle w:val="2024TABLETEXT"/>
              <w:framePr w:hSpace="0" w:wrap="auto" w:vAnchor="margin" w:yAlign="inline"/>
              <w:suppressOverlap w:val="0"/>
            </w:pPr>
          </w:p>
        </w:tc>
        <w:tc>
          <w:tcPr>
            <w:tcW w:w="492" w:type="pct"/>
            <w:tcBorders>
              <w:top w:val="single" w:sz="6" w:space="0" w:color="000000"/>
              <w:left w:val="nil"/>
              <w:bottom w:val="single" w:sz="6" w:space="0" w:color="000000"/>
              <w:right w:val="nil"/>
            </w:tcBorders>
            <w:vAlign w:val="center"/>
          </w:tcPr>
          <w:p w14:paraId="52455E52" w14:textId="6575722A" w:rsidR="00891B47" w:rsidRPr="0054775B" w:rsidRDefault="00891B47" w:rsidP="004638E3">
            <w:pPr>
              <w:pStyle w:val="2024TABLETEXT"/>
              <w:framePr w:hSpace="0" w:wrap="auto" w:vAnchor="margin" w:yAlign="inline"/>
              <w:suppressOverlap w:val="0"/>
            </w:pPr>
            <w:r w:rsidRPr="0054775B">
              <w:t xml:space="preserve">SMD = 0.61 </w:t>
            </w:r>
          </w:p>
          <w:p w14:paraId="716B4BA1" w14:textId="0F25E91E" w:rsidR="00891B47" w:rsidRPr="0054775B" w:rsidRDefault="00891B47" w:rsidP="004638E3">
            <w:pPr>
              <w:pStyle w:val="2024TABLETEXT"/>
              <w:framePr w:hSpace="0" w:wrap="auto" w:vAnchor="margin" w:yAlign="inline"/>
              <w:suppressOverlap w:val="0"/>
            </w:pPr>
            <w:r w:rsidRPr="0054775B">
              <w:t>(0.00, 1.22)</w:t>
            </w:r>
            <w:r w:rsidR="006E59F9">
              <w:t>^</w:t>
            </w:r>
          </w:p>
        </w:tc>
        <w:tc>
          <w:tcPr>
            <w:tcW w:w="428" w:type="pct"/>
            <w:tcBorders>
              <w:top w:val="single" w:sz="6" w:space="0" w:color="000000"/>
              <w:left w:val="nil"/>
              <w:bottom w:val="single" w:sz="6" w:space="0" w:color="000000"/>
              <w:right w:val="nil"/>
            </w:tcBorders>
            <w:vAlign w:val="center"/>
          </w:tcPr>
          <w:p w14:paraId="3C414504" w14:textId="5027E075" w:rsidR="00891B47" w:rsidRPr="0054775B" w:rsidRDefault="00891B47" w:rsidP="004638E3">
            <w:pPr>
              <w:pStyle w:val="2024TABLETEXT"/>
              <w:framePr w:hSpace="0" w:wrap="auto" w:vAnchor="margin" w:yAlign="inline"/>
              <w:suppressOverlap w:val="0"/>
            </w:pPr>
            <w:r w:rsidRPr="0054775B">
              <w:t>NMA from 43</w:t>
            </w:r>
            <w:r w:rsidRPr="0054775B">
              <w:br/>
              <w:t>(1)</w:t>
            </w:r>
          </w:p>
        </w:tc>
        <w:tc>
          <w:tcPr>
            <w:tcW w:w="383" w:type="pct"/>
            <w:tcBorders>
              <w:top w:val="single" w:sz="6" w:space="0" w:color="000000"/>
              <w:left w:val="nil"/>
              <w:bottom w:val="single" w:sz="6" w:space="0" w:color="000000"/>
              <w:right w:val="nil"/>
            </w:tcBorders>
            <w:vAlign w:val="center"/>
          </w:tcPr>
          <w:p w14:paraId="2F018917" w14:textId="70BFB89E" w:rsidR="00891B47" w:rsidRPr="0054775B" w:rsidRDefault="00891B47" w:rsidP="004638E3">
            <w:pPr>
              <w:pStyle w:val="2024TABLETEXT"/>
              <w:framePr w:hSpace="0" w:wrap="auto" w:vAnchor="margin" w:yAlign="inline"/>
              <w:suppressOverlap w:val="0"/>
            </w:pPr>
            <w:r w:rsidRPr="0054775B">
              <w:rPr>
                <w:rFonts w:ascii="Cambria Math" w:hAnsi="Cambria Math" w:cs="Cambria Math"/>
                <w:sz w:val="22"/>
                <w:szCs w:val="22"/>
              </w:rPr>
              <w:t>⨁</w:t>
            </w:r>
            <w:r w:rsidRPr="0054775B">
              <w:rPr>
                <w:rFonts w:ascii="Segoe UI Symbol" w:hAnsi="Segoe UI Symbol" w:cs="Segoe UI Symbol"/>
              </w:rPr>
              <w:t>◯◯◯</w:t>
            </w:r>
            <w:r w:rsidRPr="0054775B">
              <w:br/>
              <w:t>VERY LOW</w:t>
            </w:r>
            <w:r w:rsidRPr="0054775B">
              <w:rPr>
                <w:rStyle w:val="FootnoteReference"/>
              </w:rPr>
              <w:t xml:space="preserve"> </w:t>
            </w:r>
            <w:r w:rsidR="00EB312F" w:rsidRPr="00051689">
              <w:rPr>
                <w:vertAlign w:val="superscript"/>
              </w:rPr>
              <w:t>b</w:t>
            </w:r>
          </w:p>
        </w:tc>
        <w:tc>
          <w:tcPr>
            <w:tcW w:w="1265" w:type="pct"/>
            <w:tcBorders>
              <w:top w:val="single" w:sz="6" w:space="0" w:color="000000"/>
              <w:left w:val="nil"/>
              <w:bottom w:val="single" w:sz="6" w:space="0" w:color="000000"/>
              <w:right w:val="nil"/>
            </w:tcBorders>
            <w:vAlign w:val="center"/>
          </w:tcPr>
          <w:p w14:paraId="68F4FAA4" w14:textId="12229B7E" w:rsidR="00891B47" w:rsidRPr="0054775B" w:rsidRDefault="00891B47" w:rsidP="004638E3">
            <w:pPr>
              <w:pStyle w:val="2024TABLETEXT"/>
              <w:framePr w:hSpace="0" w:wrap="auto" w:vAnchor="margin" w:yAlign="inline"/>
              <w:suppressOverlap w:val="0"/>
            </w:pPr>
            <w:r w:rsidRPr="0054775B">
              <w:t>The evidence is very uncertain about the effect of magnesium + naturopathy co-intervention on quality of life for insomnia or sleep disorders.</w:t>
            </w:r>
          </w:p>
        </w:tc>
      </w:tr>
      <w:tr w:rsidR="00AD69EC" w:rsidRPr="0054775B" w14:paraId="3A5A0915" w14:textId="77777777" w:rsidTr="00A77DBB">
        <w:trPr>
          <w:cantSplit/>
        </w:trPr>
        <w:tc>
          <w:tcPr>
            <w:tcW w:w="286" w:type="pct"/>
            <w:tcBorders>
              <w:top w:val="single" w:sz="6" w:space="0" w:color="000000"/>
              <w:left w:val="nil"/>
              <w:bottom w:val="single" w:sz="6" w:space="0" w:color="000000"/>
              <w:right w:val="nil"/>
            </w:tcBorders>
            <w:vAlign w:val="center"/>
          </w:tcPr>
          <w:p w14:paraId="5174760B" w14:textId="77777777" w:rsidR="00891B47" w:rsidRPr="0054775B" w:rsidRDefault="00891B47" w:rsidP="00D836B2">
            <w:pPr>
              <w:pStyle w:val="2024TABLETEXT"/>
              <w:framePr w:hSpace="0" w:wrap="auto" w:vAnchor="margin" w:yAlign="inline"/>
              <w:suppressOverlap w:val="0"/>
            </w:pPr>
            <w:r w:rsidRPr="0054775B">
              <w:t>7</w:t>
            </w:r>
          </w:p>
        </w:tc>
        <w:tc>
          <w:tcPr>
            <w:tcW w:w="1336" w:type="pct"/>
            <w:tcBorders>
              <w:top w:val="single" w:sz="6" w:space="0" w:color="000000"/>
              <w:left w:val="nil"/>
              <w:bottom w:val="single" w:sz="6" w:space="0" w:color="000000"/>
              <w:right w:val="nil"/>
            </w:tcBorders>
            <w:vAlign w:val="center"/>
          </w:tcPr>
          <w:p w14:paraId="3E83539F" w14:textId="77777777" w:rsidR="00891B47" w:rsidRPr="0054775B" w:rsidRDefault="00891B47" w:rsidP="00D836B2">
            <w:pPr>
              <w:pStyle w:val="2024TABLETEXT"/>
              <w:framePr w:hSpace="0" w:wrap="auto" w:vAnchor="margin" w:yAlign="inline"/>
              <w:spacing w:after="120"/>
              <w:suppressOverlap w:val="0"/>
              <w:rPr>
                <w:b/>
                <w:bCs/>
              </w:rPr>
            </w:pPr>
            <w:r w:rsidRPr="0054775B">
              <w:rPr>
                <w:b/>
                <w:bCs/>
              </w:rPr>
              <w:t>Daytime functioning</w:t>
            </w:r>
          </w:p>
          <w:p w14:paraId="6C057A5C" w14:textId="17A2FF09" w:rsidR="00891B47" w:rsidRPr="0054775B" w:rsidRDefault="00891B47" w:rsidP="00D836B2">
            <w:pPr>
              <w:pStyle w:val="2024TABLETEXT"/>
              <w:framePr w:hSpace="0" w:wrap="auto" w:vAnchor="margin" w:yAlign="inline"/>
              <w:ind w:left="370"/>
              <w:suppressOverlap w:val="0"/>
              <w:rPr>
                <w:b/>
                <w:bCs/>
              </w:rPr>
            </w:pPr>
            <w:r w:rsidRPr="0054775B">
              <w:rPr>
                <w:b/>
                <w:bCs/>
              </w:rPr>
              <w:t xml:space="preserve">Population: </w:t>
            </w:r>
            <w:r w:rsidRPr="0054775B">
              <w:t>Adults with narcolepsy</w:t>
            </w:r>
          </w:p>
          <w:p w14:paraId="5C602DF5" w14:textId="206BEF86" w:rsidR="00891B47" w:rsidRPr="0054775B" w:rsidRDefault="00891B47" w:rsidP="00D836B2">
            <w:pPr>
              <w:pStyle w:val="2024TABLETEXT"/>
              <w:framePr w:hSpace="0" w:wrap="auto" w:vAnchor="margin" w:yAlign="inline"/>
              <w:ind w:left="370"/>
              <w:suppressOverlap w:val="0"/>
            </w:pPr>
            <w:r w:rsidRPr="0054775B">
              <w:rPr>
                <w:b/>
                <w:bCs/>
              </w:rPr>
              <w:t>Dosage:</w:t>
            </w:r>
            <w:r w:rsidRPr="0054775B">
              <w:t xml:space="preserve"> LXB (Magnesium, Calcium, Potassium, and Sodium; mgs NR)</w:t>
            </w:r>
          </w:p>
          <w:p w14:paraId="084C70C4" w14:textId="77777777" w:rsidR="00891B47" w:rsidRPr="0054775B" w:rsidRDefault="00891B47" w:rsidP="00D836B2">
            <w:pPr>
              <w:pStyle w:val="2024TABLETEXT"/>
              <w:framePr w:hSpace="0" w:wrap="auto" w:vAnchor="margin" w:yAlign="inline"/>
              <w:ind w:left="370"/>
              <w:suppressOverlap w:val="0"/>
            </w:pPr>
            <w:r w:rsidRPr="0054775B">
              <w:rPr>
                <w:b/>
                <w:bCs/>
              </w:rPr>
              <w:t>Assessed with:</w:t>
            </w:r>
            <w:r w:rsidRPr="0054775B">
              <w:t xml:space="preserve"> ESS</w:t>
            </w:r>
          </w:p>
          <w:p w14:paraId="7BE1548A" w14:textId="3F83D989" w:rsidR="00891B47" w:rsidRPr="0054775B" w:rsidRDefault="00891B47" w:rsidP="00D836B2">
            <w:pPr>
              <w:pStyle w:val="2024TABLETEXT"/>
              <w:framePr w:hSpace="0" w:wrap="auto" w:vAnchor="margin" w:yAlign="inline"/>
              <w:ind w:left="370"/>
              <w:suppressOverlap w:val="0"/>
            </w:pPr>
            <w:r w:rsidRPr="0054775B">
              <w:rPr>
                <w:b/>
                <w:bCs/>
              </w:rPr>
              <w:t xml:space="preserve">Follow-up: </w:t>
            </w:r>
            <w:r w:rsidRPr="0054775B">
              <w:t>NR</w:t>
            </w:r>
          </w:p>
        </w:tc>
        <w:tc>
          <w:tcPr>
            <w:tcW w:w="428" w:type="pct"/>
            <w:tcBorders>
              <w:top w:val="single" w:sz="6" w:space="0" w:color="000000"/>
              <w:left w:val="nil"/>
              <w:bottom w:val="single" w:sz="6" w:space="0" w:color="000000"/>
              <w:right w:val="nil"/>
            </w:tcBorders>
            <w:vAlign w:val="center"/>
          </w:tcPr>
          <w:p w14:paraId="0E753C74" w14:textId="2F9C383F" w:rsidR="00891B47" w:rsidRPr="0054775B" w:rsidRDefault="00891B47" w:rsidP="00D836B2">
            <w:pPr>
              <w:pStyle w:val="2024TABLETEXT"/>
              <w:framePr w:hSpace="0" w:wrap="auto" w:vAnchor="margin" w:yAlign="inline"/>
              <w:suppressOverlap w:val="0"/>
            </w:pPr>
            <w:r w:rsidRPr="0054775B">
              <w:t>Zhan 2023</w:t>
            </w:r>
          </w:p>
        </w:tc>
        <w:tc>
          <w:tcPr>
            <w:tcW w:w="383" w:type="pct"/>
            <w:tcBorders>
              <w:top w:val="single" w:sz="6" w:space="0" w:color="000000"/>
              <w:left w:val="nil"/>
              <w:bottom w:val="single" w:sz="6" w:space="0" w:color="000000"/>
              <w:right w:val="nil"/>
            </w:tcBorders>
          </w:tcPr>
          <w:p w14:paraId="4BFE3A52" w14:textId="77777777" w:rsidR="00891B47" w:rsidRPr="0054775B" w:rsidRDefault="00891B47" w:rsidP="00D836B2">
            <w:pPr>
              <w:pStyle w:val="2024TABLETEXT"/>
              <w:framePr w:hSpace="0" w:wrap="auto" w:vAnchor="margin" w:yAlign="inline"/>
              <w:suppressOverlap w:val="0"/>
            </w:pPr>
          </w:p>
        </w:tc>
        <w:tc>
          <w:tcPr>
            <w:tcW w:w="492" w:type="pct"/>
            <w:tcBorders>
              <w:top w:val="single" w:sz="6" w:space="0" w:color="000000"/>
              <w:left w:val="nil"/>
              <w:bottom w:val="single" w:sz="6" w:space="0" w:color="000000"/>
              <w:right w:val="nil"/>
            </w:tcBorders>
            <w:vAlign w:val="center"/>
          </w:tcPr>
          <w:p w14:paraId="6FEAB2A7" w14:textId="1B11F02A" w:rsidR="00891B47" w:rsidRPr="0054775B" w:rsidRDefault="00891B47" w:rsidP="00D836B2">
            <w:pPr>
              <w:pStyle w:val="2024TABLETEXT"/>
              <w:framePr w:hSpace="0" w:wrap="auto" w:vAnchor="margin" w:yAlign="inline"/>
              <w:suppressOverlap w:val="0"/>
            </w:pPr>
            <w:r w:rsidRPr="0054775B">
              <w:t>MD = −3.00 (−5.8, −0.12)</w:t>
            </w:r>
            <w:r w:rsidR="003B4F0C" w:rsidRPr="00C400E6">
              <w:rPr>
                <w:rFonts w:cs="Times New Roman"/>
                <w:sz w:val="16"/>
                <w:szCs w:val="21"/>
              </w:rPr>
              <w:t>‡</w:t>
            </w:r>
          </w:p>
        </w:tc>
        <w:tc>
          <w:tcPr>
            <w:tcW w:w="428" w:type="pct"/>
            <w:tcBorders>
              <w:top w:val="single" w:sz="6" w:space="0" w:color="000000"/>
              <w:left w:val="nil"/>
              <w:bottom w:val="single" w:sz="6" w:space="0" w:color="000000"/>
              <w:right w:val="nil"/>
            </w:tcBorders>
            <w:vAlign w:val="center"/>
          </w:tcPr>
          <w:p w14:paraId="19D493BA" w14:textId="68A52F2F" w:rsidR="00891B47" w:rsidRPr="0054775B" w:rsidRDefault="00891B47" w:rsidP="00D836B2">
            <w:pPr>
              <w:pStyle w:val="2024TABLETEXT"/>
              <w:framePr w:hSpace="0" w:wrap="auto" w:vAnchor="margin" w:yAlign="inline"/>
              <w:suppressOverlap w:val="0"/>
            </w:pPr>
            <w:r w:rsidRPr="0054775B">
              <w:t>NMA from 136 (1)</w:t>
            </w:r>
          </w:p>
        </w:tc>
        <w:tc>
          <w:tcPr>
            <w:tcW w:w="383" w:type="pct"/>
            <w:tcBorders>
              <w:top w:val="single" w:sz="6" w:space="0" w:color="000000"/>
              <w:left w:val="nil"/>
              <w:bottom w:val="single" w:sz="6" w:space="0" w:color="000000"/>
              <w:right w:val="nil"/>
            </w:tcBorders>
            <w:vAlign w:val="center"/>
          </w:tcPr>
          <w:p w14:paraId="0B33FEFF" w14:textId="6CA9BEBD" w:rsidR="00891B47" w:rsidRPr="0054775B" w:rsidRDefault="00891B47" w:rsidP="00D836B2">
            <w:pPr>
              <w:pStyle w:val="2024TABLETEXT"/>
              <w:framePr w:hSpace="0" w:wrap="auto" w:vAnchor="margin" w:yAlign="inline"/>
              <w:suppressOverlap w:val="0"/>
            </w:pPr>
            <w:r w:rsidRPr="0054775B">
              <w:rPr>
                <w:rFonts w:ascii="Cambria Math" w:hAnsi="Cambria Math" w:cs="Cambria Math"/>
                <w:sz w:val="22"/>
                <w:szCs w:val="22"/>
              </w:rPr>
              <w:t>⨁</w:t>
            </w:r>
            <w:r w:rsidRPr="0054775B">
              <w:rPr>
                <w:rFonts w:ascii="Segoe UI Symbol" w:hAnsi="Segoe UI Symbol" w:cs="Segoe UI Symbol"/>
              </w:rPr>
              <w:t>◯◯◯</w:t>
            </w:r>
            <w:r w:rsidRPr="0054775B">
              <w:br/>
              <w:t>VERY LOW</w:t>
            </w:r>
            <w:r w:rsidRPr="0054775B">
              <w:rPr>
                <w:rStyle w:val="FootnoteReference"/>
              </w:rPr>
              <w:t xml:space="preserve"> </w:t>
            </w:r>
            <w:r w:rsidR="00EB312F" w:rsidRPr="00F16851">
              <w:rPr>
                <w:vertAlign w:val="superscript"/>
              </w:rPr>
              <w:t>c</w:t>
            </w:r>
          </w:p>
        </w:tc>
        <w:tc>
          <w:tcPr>
            <w:tcW w:w="1265" w:type="pct"/>
            <w:tcBorders>
              <w:top w:val="single" w:sz="6" w:space="0" w:color="000000"/>
              <w:left w:val="nil"/>
              <w:bottom w:val="single" w:sz="6" w:space="0" w:color="000000"/>
              <w:right w:val="nil"/>
            </w:tcBorders>
            <w:vAlign w:val="center"/>
          </w:tcPr>
          <w:p w14:paraId="64CA277E" w14:textId="1F9E16A0" w:rsidR="00891B47" w:rsidRPr="0054775B" w:rsidRDefault="00891B47" w:rsidP="00D836B2">
            <w:pPr>
              <w:pStyle w:val="2024TABLETEXT"/>
              <w:framePr w:hSpace="0" w:wrap="auto" w:vAnchor="margin" w:yAlign="inline"/>
              <w:suppressOverlap w:val="0"/>
            </w:pPr>
            <w:r w:rsidRPr="0054775B">
              <w:t>The evidence is very uncertain about the effect of magnesium + naturopathy co-intervention on daytime functioning for insomnia or sleep disorders.</w:t>
            </w:r>
          </w:p>
        </w:tc>
      </w:tr>
      <w:tr w:rsidR="00AD69EC" w:rsidRPr="0054775B" w14:paraId="39E5D70F" w14:textId="77777777" w:rsidTr="00A77DBB">
        <w:trPr>
          <w:cantSplit/>
        </w:trPr>
        <w:tc>
          <w:tcPr>
            <w:tcW w:w="286" w:type="pct"/>
            <w:tcBorders>
              <w:top w:val="single" w:sz="6" w:space="0" w:color="000000"/>
              <w:left w:val="nil"/>
              <w:bottom w:val="single" w:sz="6" w:space="0" w:color="000000"/>
              <w:right w:val="nil"/>
            </w:tcBorders>
            <w:vAlign w:val="center"/>
          </w:tcPr>
          <w:p w14:paraId="2B1B2B38" w14:textId="7B407B1D" w:rsidR="00891B47" w:rsidRPr="0054775B" w:rsidRDefault="00891B47" w:rsidP="00785BCE">
            <w:pPr>
              <w:pStyle w:val="2024TABLETEXT"/>
              <w:framePr w:hSpace="0" w:wrap="auto" w:vAnchor="margin" w:yAlign="inline"/>
              <w:suppressOverlap w:val="0"/>
            </w:pPr>
            <w:r w:rsidRPr="0054775B">
              <w:t>7</w:t>
            </w:r>
          </w:p>
        </w:tc>
        <w:tc>
          <w:tcPr>
            <w:tcW w:w="1336" w:type="pct"/>
            <w:tcBorders>
              <w:top w:val="single" w:sz="6" w:space="0" w:color="000000"/>
              <w:left w:val="nil"/>
              <w:bottom w:val="single" w:sz="6" w:space="0" w:color="000000"/>
              <w:right w:val="nil"/>
            </w:tcBorders>
            <w:vAlign w:val="center"/>
          </w:tcPr>
          <w:p w14:paraId="4C55CCD9" w14:textId="77777777" w:rsidR="00891B47" w:rsidRPr="0054775B" w:rsidRDefault="00891B47" w:rsidP="00785BCE">
            <w:pPr>
              <w:pStyle w:val="2024TABLETEXT"/>
              <w:framePr w:hSpace="0" w:wrap="auto" w:vAnchor="margin" w:yAlign="inline"/>
              <w:suppressOverlap w:val="0"/>
            </w:pPr>
            <w:r w:rsidRPr="0054775B">
              <w:rPr>
                <w:b/>
                <w:bCs/>
              </w:rPr>
              <w:t>Fatigue</w:t>
            </w:r>
          </w:p>
        </w:tc>
        <w:tc>
          <w:tcPr>
            <w:tcW w:w="428" w:type="pct"/>
            <w:tcBorders>
              <w:top w:val="single" w:sz="6" w:space="0" w:color="000000"/>
              <w:left w:val="nil"/>
              <w:bottom w:val="single" w:sz="6" w:space="0" w:color="000000"/>
              <w:right w:val="nil"/>
            </w:tcBorders>
            <w:vAlign w:val="center"/>
          </w:tcPr>
          <w:p w14:paraId="12A081F1" w14:textId="77777777" w:rsidR="00891B47" w:rsidRPr="0054775B" w:rsidRDefault="00891B47" w:rsidP="00300F69">
            <w:pPr>
              <w:pStyle w:val="2024TABLETEXT"/>
              <w:framePr w:hSpace="0" w:wrap="auto" w:vAnchor="margin" w:yAlign="inline"/>
              <w:suppressOverlap w:val="0"/>
            </w:pPr>
            <w:r w:rsidRPr="0054775B">
              <w:t>-</w:t>
            </w:r>
          </w:p>
        </w:tc>
        <w:tc>
          <w:tcPr>
            <w:tcW w:w="383" w:type="pct"/>
            <w:tcBorders>
              <w:top w:val="single" w:sz="6" w:space="0" w:color="000000"/>
              <w:left w:val="nil"/>
              <w:bottom w:val="single" w:sz="6" w:space="0" w:color="000000"/>
              <w:right w:val="nil"/>
            </w:tcBorders>
          </w:tcPr>
          <w:p w14:paraId="11A08126" w14:textId="77777777" w:rsidR="00891B47" w:rsidRPr="0054775B" w:rsidRDefault="00891B47" w:rsidP="00300F69">
            <w:pPr>
              <w:pStyle w:val="2024TABLETEXT"/>
              <w:framePr w:hSpace="0" w:wrap="auto" w:vAnchor="margin" w:yAlign="inline"/>
              <w:suppressOverlap w:val="0"/>
            </w:pPr>
          </w:p>
        </w:tc>
        <w:tc>
          <w:tcPr>
            <w:tcW w:w="492" w:type="pct"/>
            <w:tcBorders>
              <w:top w:val="single" w:sz="6" w:space="0" w:color="000000"/>
              <w:left w:val="nil"/>
              <w:bottom w:val="single" w:sz="6" w:space="0" w:color="000000"/>
              <w:right w:val="nil"/>
            </w:tcBorders>
            <w:vAlign w:val="center"/>
          </w:tcPr>
          <w:p w14:paraId="7ED464A0" w14:textId="4977BD28" w:rsidR="00891B47" w:rsidRPr="0054775B" w:rsidRDefault="00891B47" w:rsidP="00300F69">
            <w:pPr>
              <w:pStyle w:val="2024TABLETEXT"/>
              <w:framePr w:hSpace="0" w:wrap="auto" w:vAnchor="margin" w:yAlign="inline"/>
              <w:suppressOverlap w:val="0"/>
            </w:pPr>
            <w:r w:rsidRPr="0054775B">
              <w:t>-</w:t>
            </w:r>
          </w:p>
        </w:tc>
        <w:tc>
          <w:tcPr>
            <w:tcW w:w="428" w:type="pct"/>
            <w:tcBorders>
              <w:top w:val="single" w:sz="6" w:space="0" w:color="000000"/>
              <w:left w:val="nil"/>
              <w:bottom w:val="single" w:sz="6" w:space="0" w:color="000000"/>
              <w:right w:val="nil"/>
            </w:tcBorders>
            <w:vAlign w:val="center"/>
          </w:tcPr>
          <w:p w14:paraId="352543EA" w14:textId="77777777" w:rsidR="00891B47" w:rsidRPr="0054775B" w:rsidRDefault="00891B47" w:rsidP="00300F69">
            <w:pPr>
              <w:pStyle w:val="2024TABLETEXT"/>
              <w:framePr w:hSpace="0" w:wrap="auto" w:vAnchor="margin" w:yAlign="inline"/>
              <w:suppressOverlap w:val="0"/>
            </w:pPr>
            <w:r w:rsidRPr="0054775B">
              <w:t>-</w:t>
            </w:r>
          </w:p>
        </w:tc>
        <w:tc>
          <w:tcPr>
            <w:tcW w:w="383" w:type="pct"/>
            <w:tcBorders>
              <w:top w:val="single" w:sz="6" w:space="0" w:color="000000"/>
              <w:left w:val="nil"/>
              <w:bottom w:val="single" w:sz="6" w:space="0" w:color="000000"/>
              <w:right w:val="nil"/>
            </w:tcBorders>
            <w:vAlign w:val="center"/>
          </w:tcPr>
          <w:p w14:paraId="71AB3029" w14:textId="77777777" w:rsidR="00891B47" w:rsidRPr="0054775B" w:rsidRDefault="00891B47" w:rsidP="00785BCE">
            <w:pPr>
              <w:pStyle w:val="2024TABLETEXT"/>
              <w:framePr w:hSpace="0" w:wrap="auto" w:vAnchor="margin" w:yAlign="inline"/>
              <w:suppressOverlap w:val="0"/>
            </w:pPr>
            <w:r w:rsidRPr="0054775B">
              <w:t>-</w:t>
            </w:r>
          </w:p>
        </w:tc>
        <w:tc>
          <w:tcPr>
            <w:tcW w:w="1265" w:type="pct"/>
            <w:tcBorders>
              <w:top w:val="single" w:sz="6" w:space="0" w:color="000000"/>
              <w:left w:val="nil"/>
              <w:bottom w:val="single" w:sz="6" w:space="0" w:color="000000"/>
              <w:right w:val="nil"/>
            </w:tcBorders>
            <w:vAlign w:val="center"/>
          </w:tcPr>
          <w:p w14:paraId="4F639206" w14:textId="5626B824" w:rsidR="00891B47" w:rsidRPr="0054775B" w:rsidRDefault="004166BE" w:rsidP="00785BCE">
            <w:pPr>
              <w:pStyle w:val="2024TABLETEXT"/>
              <w:framePr w:hSpace="0" w:wrap="auto" w:vAnchor="margin" w:yAlign="inline"/>
              <w:suppressOverlap w:val="0"/>
              <w:rPr>
                <w:highlight w:val="yellow"/>
              </w:rPr>
            </w:pPr>
            <w:r w:rsidRPr="0054775B">
              <w:t xml:space="preserve">No </w:t>
            </w:r>
            <w:r>
              <w:t>reviews</w:t>
            </w:r>
            <w:r w:rsidR="00891B47" w:rsidRPr="0054775B">
              <w:t xml:space="preserve"> found. The effect of magnesium + naturopathy co-intervention on fatigue for people with insomnia or sleep disorders is unknown.</w:t>
            </w:r>
          </w:p>
        </w:tc>
      </w:tr>
      <w:tr w:rsidR="003C0FB8" w:rsidRPr="0054775B" w14:paraId="797B98FA" w14:textId="77777777" w:rsidTr="00A77DBB">
        <w:trPr>
          <w:cantSplit/>
          <w:trHeight w:val="50"/>
        </w:trPr>
        <w:tc>
          <w:tcPr>
            <w:tcW w:w="5000" w:type="pct"/>
            <w:gridSpan w:val="8"/>
            <w:tcBorders>
              <w:top w:val="single" w:sz="6" w:space="0" w:color="000000"/>
              <w:left w:val="nil"/>
              <w:bottom w:val="single" w:sz="6" w:space="0" w:color="000000"/>
              <w:right w:val="nil"/>
            </w:tcBorders>
          </w:tcPr>
          <w:p w14:paraId="478BFB74" w14:textId="77777777" w:rsidR="005F5F44" w:rsidRPr="0054775B" w:rsidRDefault="005F5F44" w:rsidP="005F5F44">
            <w:pPr>
              <w:pStyle w:val="2024TABLEFOOTER"/>
            </w:pPr>
            <w:r w:rsidRPr="0054775B">
              <w:t>*Ratings 1-3 = of limited importance to decision making; 4-6 = important, but not critical, to decision making; 7-9 = critical for decision-making</w:t>
            </w:r>
          </w:p>
          <w:p w14:paraId="7F919E15" w14:textId="2144C9D7" w:rsidR="005F5F44" w:rsidRDefault="005F5F44" w:rsidP="005F5F44">
            <w:pPr>
              <w:pStyle w:val="2024TABLEFOOTER"/>
            </w:pPr>
            <w:r w:rsidRPr="0054775B">
              <w:t>^SMDs of 0.2, 0.5, and 0.8 are considered small, medium, and large, respectively</w:t>
            </w:r>
            <w:r>
              <w:t xml:space="preserve"> </w:t>
            </w:r>
            <w:r>
              <w:rPr>
                <w:noProof/>
              </w:rPr>
              <w:t>(22)</w:t>
            </w:r>
            <w:r>
              <w:t>.</w:t>
            </w:r>
          </w:p>
          <w:p w14:paraId="05662D35" w14:textId="77777777" w:rsidR="005F5F44" w:rsidRDefault="005F5F44" w:rsidP="005F5F44">
            <w:pPr>
              <w:pStyle w:val="2024TABLEFOOTER"/>
            </w:pPr>
            <w:r w:rsidRPr="00C463E1">
              <w:rPr>
                <w:rFonts w:eastAsiaTheme="minorHAnsi"/>
              </w:rPr>
              <w:t>§</w:t>
            </w:r>
            <w:r>
              <w:t xml:space="preserve">MCID is: 40min for Total Sleep </w:t>
            </w:r>
            <w:r w:rsidRPr="00625799">
              <w:t>Time (TST) (higher is better)</w:t>
            </w:r>
          </w:p>
          <w:p w14:paraId="238DBF6B" w14:textId="1F43ED36" w:rsidR="003B4F0C" w:rsidRDefault="003B4F0C" w:rsidP="00816677">
            <w:pPr>
              <w:pStyle w:val="2024TABLEFOOTER"/>
            </w:pPr>
            <w:r w:rsidRPr="00C400E6">
              <w:t>‡</w:t>
            </w:r>
            <w:r>
              <w:t xml:space="preserve">MCID is </w:t>
            </w:r>
            <w:r w:rsidR="00036F55">
              <w:t>2-point</w:t>
            </w:r>
            <w:r>
              <w:t xml:space="preserve"> reduction for ESS.</w:t>
            </w:r>
          </w:p>
          <w:p w14:paraId="384A7144" w14:textId="77777777" w:rsidR="003C0FB8" w:rsidRDefault="003C0FB8" w:rsidP="00785BCE">
            <w:pPr>
              <w:pStyle w:val="2024TABLEFOOTER"/>
            </w:pPr>
          </w:p>
          <w:p w14:paraId="37FCD4C7" w14:textId="1DC0C0E4" w:rsidR="003C0FB8" w:rsidRPr="0054775B" w:rsidRDefault="003C0FB8" w:rsidP="00785BCE">
            <w:pPr>
              <w:pStyle w:val="2024TABLEFOOTER"/>
            </w:pPr>
            <w:r w:rsidRPr="0054775B">
              <w:t>Abbreviations: Epworth Sleepiness Scale (ESS), CI=Confidence Interval, LXB=Lower-sodium oxybate, MD=Mean difference, NMA=Network meta-analysis, NR=Not reported, REM=Rapid eye movement, PSQI=Pittsburgh Sleep Quality Index, SMD=Standardised mean difference,</w:t>
            </w:r>
            <w:r w:rsidR="008215C2">
              <w:t xml:space="preserve"> </w:t>
            </w:r>
            <w:r w:rsidR="00A52A2F">
              <w:t>WMD=Weighted mean difference</w:t>
            </w:r>
          </w:p>
        </w:tc>
      </w:tr>
      <w:tr w:rsidR="003C0FB8" w:rsidRPr="0054775B" w14:paraId="015B216F" w14:textId="77777777" w:rsidTr="00A77DBB">
        <w:trPr>
          <w:cantSplit/>
          <w:trHeight w:val="236"/>
        </w:trPr>
        <w:tc>
          <w:tcPr>
            <w:tcW w:w="5000" w:type="pct"/>
            <w:gridSpan w:val="8"/>
            <w:tcBorders>
              <w:top w:val="single" w:sz="6" w:space="0" w:color="000000"/>
              <w:left w:val="nil"/>
              <w:bottom w:val="single" w:sz="6" w:space="0" w:color="000000"/>
              <w:right w:val="nil"/>
            </w:tcBorders>
          </w:tcPr>
          <w:p w14:paraId="15A8A1FD" w14:textId="5958146E" w:rsidR="003C0FB8" w:rsidRPr="0054775B" w:rsidRDefault="003C0FB8" w:rsidP="00785BCE">
            <w:pPr>
              <w:pStyle w:val="2024TABLEFOOTER"/>
              <w:rPr>
                <w:b/>
                <w:bCs/>
              </w:rPr>
            </w:pPr>
            <w:r w:rsidRPr="0054775B">
              <w:t>GRADE Working Group grades of evidence</w:t>
            </w:r>
            <w:r w:rsidRPr="0054775B">
              <w:br/>
            </w:r>
            <w:r w:rsidRPr="0054775B">
              <w:rPr>
                <w:b/>
                <w:bCs/>
              </w:rPr>
              <w:t>High certainty:</w:t>
            </w:r>
            <w:r w:rsidRPr="0054775B">
              <w:t xml:space="preserve"> we are very confident that the true effect lies close to that of the estimate of the effect.</w:t>
            </w:r>
            <w:r w:rsidRPr="0054775B">
              <w:br/>
            </w:r>
            <w:r w:rsidRPr="0054775B">
              <w:rPr>
                <w:b/>
                <w:bCs/>
              </w:rPr>
              <w:t>Moderate certainty:</w:t>
            </w:r>
            <w:r w:rsidRPr="0054775B">
              <w:t xml:space="preserve"> we are moderately confident in the effect estimate: the true effect is likely to be close to the estimate of the effect, but there is a possibility that it is substantially different.</w:t>
            </w:r>
            <w:r w:rsidRPr="0054775B">
              <w:br/>
            </w:r>
            <w:r w:rsidRPr="0054775B">
              <w:rPr>
                <w:b/>
                <w:bCs/>
              </w:rPr>
              <w:t>Low certainty:</w:t>
            </w:r>
            <w:r w:rsidRPr="0054775B">
              <w:t xml:space="preserve"> our confidence in the effect estimate is limited: the true effect may be substantially different from the estimate of the effect.</w:t>
            </w:r>
            <w:r w:rsidRPr="0054775B">
              <w:br/>
            </w:r>
            <w:r w:rsidRPr="0054775B">
              <w:rPr>
                <w:b/>
                <w:bCs/>
              </w:rPr>
              <w:t>Very low certainty:</w:t>
            </w:r>
            <w:r w:rsidRPr="0054775B">
              <w:t xml:space="preserve"> we have very little confidence in the effect estimate: the true effect is likely to be substantially different from the estimate of effect.</w:t>
            </w:r>
          </w:p>
        </w:tc>
      </w:tr>
      <w:tr w:rsidR="003C0FB8" w:rsidRPr="0054775B" w14:paraId="6AE6AE8A" w14:textId="77777777" w:rsidTr="00A77DBB">
        <w:trPr>
          <w:cantSplit/>
          <w:trHeight w:val="236"/>
        </w:trPr>
        <w:tc>
          <w:tcPr>
            <w:tcW w:w="5000" w:type="pct"/>
            <w:gridSpan w:val="8"/>
            <w:tcBorders>
              <w:top w:val="single" w:sz="6" w:space="0" w:color="000000"/>
              <w:left w:val="nil"/>
              <w:bottom w:val="single" w:sz="6" w:space="0" w:color="000000"/>
              <w:right w:val="nil"/>
            </w:tcBorders>
          </w:tcPr>
          <w:p w14:paraId="620FA924" w14:textId="24A6EF22" w:rsidR="003C0FB8" w:rsidRPr="0054775B" w:rsidRDefault="003C0FB8" w:rsidP="00785BCE">
            <w:pPr>
              <w:pStyle w:val="2024TABLEFOOTER"/>
            </w:pPr>
            <w:r w:rsidRPr="0054775B">
              <w:t>Explanations</w:t>
            </w:r>
          </w:p>
          <w:p w14:paraId="19B937ED" w14:textId="35204377" w:rsidR="003C0FB8" w:rsidRPr="0054775B" w:rsidRDefault="00C825C9" w:rsidP="00107BEE">
            <w:pPr>
              <w:pStyle w:val="2024TABLEFOOTER"/>
              <w:numPr>
                <w:ilvl w:val="0"/>
                <w:numId w:val="30"/>
              </w:numPr>
            </w:pPr>
            <w:r>
              <w:t xml:space="preserve">Low risk of bias across all assessed domains for contributing study (no change for risk of bias). </w:t>
            </w:r>
            <w:r w:rsidR="0037163F" w:rsidRPr="0054775B">
              <w:t xml:space="preserve">Population </w:t>
            </w:r>
            <w:r w:rsidR="0037163F">
              <w:t xml:space="preserve">in </w:t>
            </w:r>
            <w:r w:rsidR="0037163F" w:rsidRPr="0054775B">
              <w:t xml:space="preserve">the included review was restricted to people ≥65 years </w:t>
            </w:r>
            <w:r w:rsidR="003C0FB8" w:rsidRPr="0054775B">
              <w:t xml:space="preserve">(downgraded one for indirectness). </w:t>
            </w:r>
            <w:r w:rsidR="006F45FC" w:rsidRPr="001428E8">
              <w:t xml:space="preserve">CI boundaries suggest different inferences based on MCID </w:t>
            </w:r>
            <w:r w:rsidR="00990662">
              <w:t>(</w:t>
            </w:r>
            <w:r w:rsidR="00036F55">
              <w:t xml:space="preserve">absolute effect sizes NR, </w:t>
            </w:r>
            <w:r w:rsidR="00990662">
              <w:t>SMD = 0.2</w:t>
            </w:r>
            <w:r w:rsidR="00EB312F">
              <w:t>, total sleep time = 40 minutes</w:t>
            </w:r>
            <w:r w:rsidR="00990662">
              <w:t xml:space="preserve">) </w:t>
            </w:r>
            <w:r w:rsidR="003C0FB8" w:rsidRPr="0054775B">
              <w:t xml:space="preserve">(downgraded two for </w:t>
            </w:r>
            <w:r w:rsidR="00C80539">
              <w:t xml:space="preserve">serious </w:t>
            </w:r>
            <w:r w:rsidR="003C0FB8" w:rsidRPr="0054775B">
              <w:t>imprecision).</w:t>
            </w:r>
            <w:r w:rsidR="00B04438">
              <w:t xml:space="preserve"> No inconsistency due to singular study (no change for inconsistency).</w:t>
            </w:r>
          </w:p>
          <w:p w14:paraId="6B4F8D95" w14:textId="0BF95554" w:rsidR="003C0FB8" w:rsidRPr="0054775B" w:rsidRDefault="00C825C9" w:rsidP="00107BEE">
            <w:pPr>
              <w:pStyle w:val="2024TABLEFOOTER"/>
              <w:numPr>
                <w:ilvl w:val="0"/>
                <w:numId w:val="30"/>
              </w:numPr>
            </w:pPr>
            <w:r>
              <w:t xml:space="preserve">Low risk of bias across all assessed domains for contributing study (no change for risk of bias). </w:t>
            </w:r>
            <w:r w:rsidR="0037163F" w:rsidRPr="0054775B">
              <w:t xml:space="preserve">Population </w:t>
            </w:r>
            <w:r w:rsidR="0037163F">
              <w:t xml:space="preserve">in </w:t>
            </w:r>
            <w:r w:rsidR="0037163F" w:rsidRPr="0054775B">
              <w:t xml:space="preserve">the included review was restricted to people ≥65 years </w:t>
            </w:r>
            <w:r w:rsidR="003C0FB8" w:rsidRPr="0054775B">
              <w:t xml:space="preserve">(downgraded one for indirectness). </w:t>
            </w:r>
            <w:r w:rsidR="008215C2" w:rsidRPr="001428E8">
              <w:t>CI boundaries suggest different inferences based on MCID</w:t>
            </w:r>
            <w:r w:rsidR="005E2048">
              <w:t xml:space="preserve"> </w:t>
            </w:r>
            <w:r w:rsidR="005E2048" w:rsidRPr="001428E8">
              <w:t>(SMD = 0.2)</w:t>
            </w:r>
            <w:r w:rsidR="008215C2" w:rsidRPr="001428E8">
              <w:t xml:space="preserve"> </w:t>
            </w:r>
            <w:r w:rsidR="003C0FB8" w:rsidRPr="0054775B">
              <w:t xml:space="preserve">(downgraded two for </w:t>
            </w:r>
            <w:r w:rsidR="001A544E">
              <w:t xml:space="preserve">serious </w:t>
            </w:r>
            <w:r w:rsidR="003C0FB8" w:rsidRPr="0054775B">
              <w:t>imprecision).</w:t>
            </w:r>
            <w:r w:rsidR="00B04438">
              <w:t xml:space="preserve"> No inconsistency due to singular study (no change for inconsistency).</w:t>
            </w:r>
          </w:p>
          <w:p w14:paraId="0F9BE681" w14:textId="078C2263" w:rsidR="003C0FB8" w:rsidRPr="0054775B" w:rsidRDefault="005B2F51" w:rsidP="00107BEE">
            <w:pPr>
              <w:pStyle w:val="2024TABLEFOOTER"/>
              <w:numPr>
                <w:ilvl w:val="0"/>
                <w:numId w:val="30"/>
              </w:numPr>
            </w:pPr>
            <w:r>
              <w:t xml:space="preserve">Low risk of bias across all assessed domains for contributing study (no change for risk of bias). </w:t>
            </w:r>
            <w:r w:rsidR="003C0FB8" w:rsidRPr="0054775B">
              <w:t xml:space="preserve">Population </w:t>
            </w:r>
            <w:r w:rsidR="0037163F">
              <w:t xml:space="preserve">in </w:t>
            </w:r>
            <w:r w:rsidR="003C0FB8" w:rsidRPr="0054775B">
              <w:t xml:space="preserve">the included review was restricted to narcolepsy; outcome measure was a proxy for daytime </w:t>
            </w:r>
            <w:r w:rsidR="009A4243">
              <w:t>functioning</w:t>
            </w:r>
            <w:r w:rsidR="009A4243" w:rsidRPr="0054775B">
              <w:t xml:space="preserve"> </w:t>
            </w:r>
            <w:r w:rsidR="003C0FB8" w:rsidRPr="0054775B">
              <w:t xml:space="preserve">(downgraded </w:t>
            </w:r>
            <w:r w:rsidR="009A4243">
              <w:t>one</w:t>
            </w:r>
            <w:r w:rsidR="009A4243" w:rsidRPr="0054775B">
              <w:t xml:space="preserve"> </w:t>
            </w:r>
            <w:r w:rsidR="003C0FB8" w:rsidRPr="0054775B">
              <w:t xml:space="preserve">for indirectness). </w:t>
            </w:r>
            <w:r w:rsidR="00AD2392" w:rsidRPr="001428E8">
              <w:t xml:space="preserve">CI boundaries suggest different inferences based on MCID (SMD = 0.2), with lower bound approaching the threshold for effect </w:t>
            </w:r>
            <w:r w:rsidR="00420BD5">
              <w:t>(</w:t>
            </w:r>
            <w:r w:rsidR="006F45FC">
              <w:t xml:space="preserve">ESS = </w:t>
            </w:r>
            <w:r w:rsidR="00420BD5">
              <w:t xml:space="preserve">2 points) </w:t>
            </w:r>
            <w:r w:rsidR="003C0FB8" w:rsidRPr="0054775B">
              <w:t xml:space="preserve">(downgraded </w:t>
            </w:r>
            <w:r w:rsidR="009A4243">
              <w:t>two</w:t>
            </w:r>
            <w:r w:rsidR="009A4243" w:rsidRPr="0054775B">
              <w:t xml:space="preserve"> </w:t>
            </w:r>
            <w:r w:rsidR="003C0FB8" w:rsidRPr="0054775B">
              <w:t>for</w:t>
            </w:r>
            <w:r w:rsidR="001A544E">
              <w:t xml:space="preserve"> serious</w:t>
            </w:r>
            <w:r w:rsidR="003C0FB8" w:rsidRPr="0054775B">
              <w:t xml:space="preserve"> imprecision). </w:t>
            </w:r>
            <w:r w:rsidR="00B04438">
              <w:t>No inconsistency due to singular study (no change for inconsistency).</w:t>
            </w:r>
          </w:p>
        </w:tc>
      </w:tr>
    </w:tbl>
    <w:p w14:paraId="2EC2CF82" w14:textId="77777777" w:rsidR="00A63E0E" w:rsidRPr="0054775B" w:rsidRDefault="00A63E0E" w:rsidP="009E6F7F">
      <w:pPr>
        <w:pStyle w:val="Caption1"/>
        <w:rPr>
          <w:rFonts w:ascii="Aptos" w:hAnsi="Aptos"/>
        </w:rPr>
      </w:pPr>
    </w:p>
    <w:p w14:paraId="3D4024A4" w14:textId="455FBCB5" w:rsidR="00A63E0E" w:rsidRPr="0054775B" w:rsidRDefault="00A63E0E" w:rsidP="009E6F7F">
      <w:pPr>
        <w:sectPr w:rsidR="00A63E0E" w:rsidRPr="0054775B" w:rsidSect="006A72DC">
          <w:pgSz w:w="16840" w:h="11910" w:orient="landscape"/>
          <w:pgMar w:top="1340" w:right="280" w:bottom="1340" w:left="1356" w:header="720" w:footer="720" w:gutter="0"/>
          <w:cols w:space="720"/>
          <w:docGrid w:linePitch="299"/>
        </w:sectPr>
      </w:pPr>
    </w:p>
    <w:p w14:paraId="12B2EE96" w14:textId="7BA80FF0" w:rsidR="00764746" w:rsidRPr="0054775B" w:rsidRDefault="00980972" w:rsidP="00F9201F">
      <w:pPr>
        <w:pStyle w:val="2024HEADER2"/>
      </w:pPr>
      <w:bookmarkStart w:id="81" w:name="_Toc179379620"/>
      <w:r w:rsidRPr="0054775B">
        <w:lastRenderedPageBreak/>
        <w:t>Depression (including post-natal)</w:t>
      </w:r>
      <w:r w:rsidR="00764746" w:rsidRPr="0054775B">
        <w:t xml:space="preserve">, </w:t>
      </w:r>
      <w:r w:rsidR="0012437F" w:rsidRPr="0054775B">
        <w:t>O</w:t>
      </w:r>
      <w:r w:rsidRPr="0054775B">
        <w:t>mega-3</w:t>
      </w:r>
      <w:bookmarkEnd w:id="81"/>
      <w:r w:rsidR="001D0020" w:rsidRPr="001D0020">
        <w:t xml:space="preserve"> </w:t>
      </w:r>
      <w:r w:rsidR="001D0020">
        <w:t>fatty acids</w:t>
      </w:r>
    </w:p>
    <w:p w14:paraId="36A61F4A" w14:textId="77777777" w:rsidR="008308E9" w:rsidRPr="0054775B" w:rsidRDefault="008308E9" w:rsidP="009E6F7F">
      <w:pPr>
        <w:pStyle w:val="2024HEADER3"/>
        <w:rPr>
          <w:rFonts w:ascii="Aptos" w:hAnsi="Aptos"/>
        </w:rPr>
      </w:pPr>
      <w:r w:rsidRPr="0054775B">
        <w:rPr>
          <w:rFonts w:ascii="Aptos" w:hAnsi="Aptos"/>
        </w:rPr>
        <w:t>Description of condition</w:t>
      </w:r>
    </w:p>
    <w:p w14:paraId="03C23C8F" w14:textId="28614C2F" w:rsidR="00005DF6" w:rsidRPr="0054775B" w:rsidRDefault="007D5FCC" w:rsidP="009E6F7F">
      <w:r w:rsidRPr="0054775B">
        <w:t>Depression</w:t>
      </w:r>
      <w:r w:rsidR="009F2A46" w:rsidRPr="0054775B">
        <w:t xml:space="preserve"> (often referred to as </w:t>
      </w:r>
      <w:r w:rsidR="00E36E1C" w:rsidRPr="0054775B">
        <w:t xml:space="preserve">major depressive disorder </w:t>
      </w:r>
      <w:r w:rsidR="009F2A46" w:rsidRPr="0054775B">
        <w:t>(MDD) or clinical depression),</w:t>
      </w:r>
      <w:r w:rsidRPr="0054775B">
        <w:t xml:space="preserve"> </w:t>
      </w:r>
      <w:r w:rsidR="00BB5C27" w:rsidRPr="0054775B">
        <w:t>is</w:t>
      </w:r>
      <w:r w:rsidRPr="0054775B">
        <w:t xml:space="preserve"> an </w:t>
      </w:r>
      <w:r w:rsidR="00BB5C27" w:rsidRPr="0054775B">
        <w:t xml:space="preserve">affective </w:t>
      </w:r>
      <w:r w:rsidR="008F6C48" w:rsidRPr="0054775B">
        <w:t xml:space="preserve">or mood </w:t>
      </w:r>
      <w:r w:rsidR="00BB5C27" w:rsidRPr="0054775B">
        <w:t>disorder</w:t>
      </w:r>
      <w:r w:rsidR="00F97887" w:rsidRPr="0054775B">
        <w:t xml:space="preserve">. These are a </w:t>
      </w:r>
      <w:r w:rsidR="00BB5C27" w:rsidRPr="0054775B">
        <w:t xml:space="preserve">class of conditions that disrupt a person’s mood to the point where it impairs function </w:t>
      </w:r>
      <w:r w:rsidR="00A61385">
        <w:rPr>
          <w:noProof/>
        </w:rPr>
        <w:t>(81)</w:t>
      </w:r>
      <w:r w:rsidR="00BB5C27" w:rsidRPr="0054775B">
        <w:t xml:space="preserve">. </w:t>
      </w:r>
      <w:r w:rsidR="00F97887" w:rsidRPr="0054775B">
        <w:t>Depression</w:t>
      </w:r>
      <w:r w:rsidR="009F2A46" w:rsidRPr="0054775B">
        <w:t xml:space="preserve"> is</w:t>
      </w:r>
      <w:r w:rsidR="00474780" w:rsidRPr="0054775B">
        <w:t xml:space="preserve"> characteri</w:t>
      </w:r>
      <w:r w:rsidR="009F2A46" w:rsidRPr="0054775B">
        <w:t>s</w:t>
      </w:r>
      <w:r w:rsidR="00474780" w:rsidRPr="0054775B">
        <w:t xml:space="preserve">ed by a pervasive and persistent low mood, diminished interest or pleasure in activities, and </w:t>
      </w:r>
      <w:r w:rsidR="002452D4" w:rsidRPr="0054775B">
        <w:t xml:space="preserve">multiple </w:t>
      </w:r>
      <w:r w:rsidR="00474780" w:rsidRPr="0054775B">
        <w:t>other symptoms that</w:t>
      </w:r>
      <w:r w:rsidR="002452D4" w:rsidRPr="0054775B">
        <w:t xml:space="preserve"> </w:t>
      </w:r>
      <w:r w:rsidR="00474780" w:rsidRPr="0054775B">
        <w:t xml:space="preserve">disrupt functioning </w:t>
      </w:r>
      <w:r w:rsidR="00A61385">
        <w:rPr>
          <w:noProof/>
        </w:rPr>
        <w:t>(14)</w:t>
      </w:r>
      <w:r w:rsidR="0080746F" w:rsidRPr="0054775B">
        <w:t>.</w:t>
      </w:r>
      <w:r w:rsidR="00F97887" w:rsidRPr="0054775B">
        <w:t xml:space="preserve"> </w:t>
      </w:r>
      <w:r w:rsidR="00005DF6" w:rsidRPr="0054775B">
        <w:t xml:space="preserve">Worldwide, an estimated 5% (280 million people) of the adult population have depression, with </w:t>
      </w:r>
      <w:r w:rsidR="004C7FA9" w:rsidRPr="0054775B">
        <w:t>prevalence increasing</w:t>
      </w:r>
      <w:r w:rsidR="006E1484" w:rsidRPr="0054775B">
        <w:t xml:space="preserve"> in recent years</w:t>
      </w:r>
      <w:r w:rsidR="004C7FA9" w:rsidRPr="0054775B">
        <w:t xml:space="preserve"> </w:t>
      </w:r>
      <w:r w:rsidR="00A61385">
        <w:rPr>
          <w:noProof/>
        </w:rPr>
        <w:t>(82, 83)</w:t>
      </w:r>
      <w:r w:rsidR="00005DF6" w:rsidRPr="0054775B">
        <w:t xml:space="preserve">. In addition, approximately 10% people who are pregnant or have just given birth experience depression, termed post-natal depression </w:t>
      </w:r>
      <w:r w:rsidR="00A61385">
        <w:rPr>
          <w:noProof/>
        </w:rPr>
        <w:t>(82)</w:t>
      </w:r>
      <w:r w:rsidR="00005DF6" w:rsidRPr="0054775B">
        <w:t xml:space="preserve">. </w:t>
      </w:r>
      <w:r w:rsidR="003642DD" w:rsidRPr="0054775B">
        <w:t xml:space="preserve">Depression is commonly comorbid with other mental conditions, such as anxiety, as well as physical conditions such as cancer, cardiovascular disease, or neurological disorders </w:t>
      </w:r>
      <w:r w:rsidR="00A61385">
        <w:rPr>
          <w:noProof/>
        </w:rPr>
        <w:t>(81, 84)</w:t>
      </w:r>
      <w:r w:rsidR="003642DD" w:rsidRPr="0054775B">
        <w:t xml:space="preserve">. </w:t>
      </w:r>
    </w:p>
    <w:p w14:paraId="0064CD35" w14:textId="37E09AD1" w:rsidR="00474780" w:rsidRPr="0054775B" w:rsidRDefault="00474780" w:rsidP="009E6F7F">
      <w:r w:rsidRPr="0054775B">
        <w:t xml:space="preserve">The symptoms of depression </w:t>
      </w:r>
      <w:r w:rsidR="002452D4" w:rsidRPr="0054775B">
        <w:t>span</w:t>
      </w:r>
      <w:r w:rsidRPr="0054775B">
        <w:t xml:space="preserve"> across cognitive, emotional, </w:t>
      </w:r>
      <w:r w:rsidR="002452D4" w:rsidRPr="0054775B">
        <w:t>behavioural</w:t>
      </w:r>
      <w:r w:rsidRPr="0054775B">
        <w:t xml:space="preserve">, and physiological domains. Depressed individuals </w:t>
      </w:r>
      <w:r w:rsidR="00DE42B2" w:rsidRPr="0054775B">
        <w:t>generally</w:t>
      </w:r>
      <w:r w:rsidRPr="0054775B">
        <w:t xml:space="preserve"> experience feelings of </w:t>
      </w:r>
      <w:r w:rsidR="00DE42B2" w:rsidRPr="0054775B">
        <w:t>sadness and hopelessness</w:t>
      </w:r>
      <w:r w:rsidR="00BD306E" w:rsidRPr="0054775B">
        <w:t>, which can be accompanied by negative c</w:t>
      </w:r>
      <w:r w:rsidRPr="0054775B">
        <w:t>hanges in appetite</w:t>
      </w:r>
      <w:r w:rsidR="00BD306E" w:rsidRPr="0054775B">
        <w:t xml:space="preserve">, </w:t>
      </w:r>
      <w:r w:rsidRPr="0054775B">
        <w:t xml:space="preserve">weight, sleep (insomnia or hypersomnia), fatigue, and </w:t>
      </w:r>
      <w:r w:rsidR="00BD306E" w:rsidRPr="0054775B">
        <w:t xml:space="preserve">concentration </w:t>
      </w:r>
      <w:r w:rsidR="00A61385">
        <w:rPr>
          <w:noProof/>
        </w:rPr>
        <w:t>(85)</w:t>
      </w:r>
      <w:r w:rsidRPr="0054775B">
        <w:t>. Depression can</w:t>
      </w:r>
      <w:r w:rsidR="00BD306E" w:rsidRPr="0054775B">
        <w:t xml:space="preserve"> also</w:t>
      </w:r>
      <w:r w:rsidRPr="0054775B">
        <w:t xml:space="preserve"> lead to social withdrawal, diminished motivation, and impaired occupational or academic performance</w:t>
      </w:r>
      <w:r w:rsidR="00BD306E" w:rsidRPr="0054775B">
        <w:t xml:space="preserve">, and in severe cases, </w:t>
      </w:r>
      <w:r w:rsidR="0080746F" w:rsidRPr="0054775B">
        <w:t xml:space="preserve">self-harm and </w:t>
      </w:r>
      <w:r w:rsidR="00BD306E" w:rsidRPr="0054775B">
        <w:t xml:space="preserve">suicide </w:t>
      </w:r>
      <w:r w:rsidR="00A61385">
        <w:rPr>
          <w:noProof/>
        </w:rPr>
        <w:t>(85)</w:t>
      </w:r>
      <w:r w:rsidR="00BD306E" w:rsidRPr="0054775B">
        <w:t xml:space="preserve">. </w:t>
      </w:r>
      <w:r w:rsidR="003642DD" w:rsidRPr="0054775B">
        <w:t xml:space="preserve">In Australia, depressive disorders are one of the leading causes of burden of disease at all stages of life </w:t>
      </w:r>
      <w:r w:rsidR="00A61385">
        <w:rPr>
          <w:noProof/>
        </w:rPr>
        <w:t>(86)</w:t>
      </w:r>
      <w:r w:rsidR="003642DD" w:rsidRPr="0054775B">
        <w:t>.</w:t>
      </w:r>
    </w:p>
    <w:p w14:paraId="3CFD61FC" w14:textId="6C4C313D" w:rsidR="007E0AFC" w:rsidRPr="0054775B" w:rsidRDefault="002B5C8C" w:rsidP="009E6F7F">
      <w:r w:rsidRPr="0054775B">
        <w:t>Depression</w:t>
      </w:r>
      <w:r w:rsidR="000F4B46" w:rsidRPr="0054775B">
        <w:t xml:space="preserve"> </w:t>
      </w:r>
      <w:r w:rsidRPr="0054775B">
        <w:t>is distinct from other affective disorders, such as bipolar disorder</w:t>
      </w:r>
      <w:r w:rsidR="00F97887" w:rsidRPr="0054775B">
        <w:t>, and is</w:t>
      </w:r>
      <w:r w:rsidRPr="0054775B">
        <w:t xml:space="preserve"> diagnosed</w:t>
      </w:r>
      <w:r w:rsidR="00474780" w:rsidRPr="0054775B">
        <w:t xml:space="preserve"> using the criteria defined in the Diagnostic and Statistical Manual of Mental Disorders</w:t>
      </w:r>
      <w:r w:rsidR="0080746F" w:rsidRPr="0054775B">
        <w:t xml:space="preserve"> </w:t>
      </w:r>
      <w:r w:rsidR="00A61385">
        <w:rPr>
          <w:noProof/>
        </w:rPr>
        <w:t>(14)</w:t>
      </w:r>
      <w:r w:rsidR="0080746F" w:rsidRPr="0054775B">
        <w:t>.</w:t>
      </w:r>
      <w:r w:rsidR="00474780" w:rsidRPr="0054775B">
        <w:t xml:space="preserve"> Diagnosis requires the presence of at least five specific symptoms</w:t>
      </w:r>
      <w:r w:rsidR="008C7AA0" w:rsidRPr="0054775B">
        <w:t xml:space="preserve"> over a </w:t>
      </w:r>
      <w:r w:rsidR="007E0AFC" w:rsidRPr="0054775B">
        <w:t>two-week</w:t>
      </w:r>
      <w:r w:rsidR="008C7AA0" w:rsidRPr="0054775B">
        <w:t xml:space="preserve"> period that are a change from previous functioning</w:t>
      </w:r>
      <w:r w:rsidR="007E0AFC" w:rsidRPr="0054775B">
        <w:t xml:space="preserve"> </w:t>
      </w:r>
      <w:r w:rsidR="00A61385">
        <w:rPr>
          <w:noProof/>
        </w:rPr>
        <w:t>(14)</w:t>
      </w:r>
      <w:r w:rsidR="007E0AFC" w:rsidRPr="0054775B">
        <w:t xml:space="preserve">. </w:t>
      </w:r>
      <w:r w:rsidR="00474780" w:rsidRPr="0054775B">
        <w:t>A</w:t>
      </w:r>
      <w:r w:rsidR="007E0AFC" w:rsidRPr="0054775B">
        <w:t>ssessment generally</w:t>
      </w:r>
      <w:r w:rsidR="00474780" w:rsidRPr="0054775B">
        <w:t xml:space="preserve"> involves a clinical interview, medical history review, and may include standardi</w:t>
      </w:r>
      <w:r w:rsidR="007E0AFC" w:rsidRPr="0054775B">
        <w:t>s</w:t>
      </w:r>
      <w:r w:rsidR="00474780" w:rsidRPr="0054775B">
        <w:t xml:space="preserve">ed self-report measures. </w:t>
      </w:r>
    </w:p>
    <w:p w14:paraId="1BEAF9DE" w14:textId="338A601C" w:rsidR="00182088" w:rsidRPr="0054775B" w:rsidRDefault="008308E9" w:rsidP="009E6F7F">
      <w:pPr>
        <w:pStyle w:val="2024HEADER3"/>
        <w:rPr>
          <w:rFonts w:ascii="Aptos" w:hAnsi="Aptos"/>
        </w:rPr>
      </w:pPr>
      <w:r w:rsidRPr="0054775B">
        <w:rPr>
          <w:rFonts w:ascii="Aptos" w:hAnsi="Aptos"/>
        </w:rPr>
        <w:t>Description of the intervention</w:t>
      </w:r>
    </w:p>
    <w:p w14:paraId="7148C8B3" w14:textId="1661B821" w:rsidR="00B252F5" w:rsidRPr="0054775B" w:rsidRDefault="00182088" w:rsidP="009E6F7F">
      <w:r w:rsidRPr="0054775B">
        <w:t>Omega-3 fatty acids are a group of polyunsaturated fats essential for human health</w:t>
      </w:r>
      <w:r w:rsidR="003A416F" w:rsidRPr="0054775B">
        <w:t>. There is</w:t>
      </w:r>
      <w:r w:rsidR="001732F3" w:rsidRPr="0054775B">
        <w:t xml:space="preserve"> evidence </w:t>
      </w:r>
      <w:r w:rsidR="003A416F" w:rsidRPr="0054775B">
        <w:t xml:space="preserve">that Omega-3 </w:t>
      </w:r>
      <w:r w:rsidR="00391339">
        <w:t xml:space="preserve">fatty acids </w:t>
      </w:r>
      <w:r w:rsidR="003A416F" w:rsidRPr="0054775B">
        <w:t>play</w:t>
      </w:r>
      <w:r w:rsidRPr="0054775B">
        <w:t xml:space="preserve"> crucial roles in various physiological processes, including brain function, inflammation, and cardiovascular health </w:t>
      </w:r>
      <w:r w:rsidR="00A61385">
        <w:rPr>
          <w:noProof/>
        </w:rPr>
        <w:t>(87, 88)</w:t>
      </w:r>
      <w:r w:rsidR="00EA3E7E" w:rsidRPr="0054775B">
        <w:t xml:space="preserve">. </w:t>
      </w:r>
      <w:r w:rsidR="00BC762B">
        <w:t>The m</w:t>
      </w:r>
      <w:r w:rsidR="00BC762B" w:rsidRPr="0054775B">
        <w:t xml:space="preserve">ain </w:t>
      </w:r>
      <w:r w:rsidRPr="0054775B">
        <w:t>types of omega-3 fatty acids important for dietary considerations</w:t>
      </w:r>
      <w:r w:rsidR="00DD66EB" w:rsidRPr="0054775B">
        <w:t xml:space="preserve"> include </w:t>
      </w:r>
      <w:r w:rsidR="00EA3E7E" w:rsidRPr="0054775B">
        <w:t>e</w:t>
      </w:r>
      <w:r w:rsidRPr="0054775B">
        <w:t>icosapentaenoic acid (EPA)</w:t>
      </w:r>
      <w:r w:rsidR="00DD66EB" w:rsidRPr="0054775B">
        <w:t>,</w:t>
      </w:r>
      <w:r w:rsidRPr="0054775B">
        <w:t xml:space="preserve"> docosahexaenoic acid (DHA)</w:t>
      </w:r>
      <w:r w:rsidR="00DD66EB" w:rsidRPr="0054775B">
        <w:t xml:space="preserve"> and a</w:t>
      </w:r>
      <w:r w:rsidRPr="0054775B">
        <w:t>lpha-linolenic acid (</w:t>
      </w:r>
      <w:r w:rsidR="00A61385">
        <w:rPr>
          <w:noProof/>
        </w:rPr>
        <w:t>89)</w:t>
      </w:r>
      <w:r w:rsidR="00E6539E" w:rsidRPr="0054775B">
        <w:t>.</w:t>
      </w:r>
      <w:r w:rsidRPr="0054775B">
        <w:t xml:space="preserve"> </w:t>
      </w:r>
      <w:r w:rsidR="00E6539E" w:rsidRPr="0054775B">
        <w:t>Common dietary sources of omega-3 fatty acids include</w:t>
      </w:r>
      <w:r w:rsidR="00E068F5" w:rsidRPr="0054775B">
        <w:t xml:space="preserve"> f</w:t>
      </w:r>
      <w:r w:rsidR="00E6539E" w:rsidRPr="0054775B">
        <w:t>atty fish</w:t>
      </w:r>
      <w:r w:rsidR="00E068F5" w:rsidRPr="0054775B">
        <w:t xml:space="preserve"> (s</w:t>
      </w:r>
      <w:r w:rsidR="00E6539E" w:rsidRPr="0054775B">
        <w:t>almon, mackerel, herring, sardines, anchovies, tuna</w:t>
      </w:r>
      <w:r w:rsidR="00E068F5" w:rsidRPr="0054775B">
        <w:t>), n</w:t>
      </w:r>
      <w:r w:rsidR="00E6539E" w:rsidRPr="0054775B">
        <w:t>uts and seeds</w:t>
      </w:r>
      <w:r w:rsidR="00E068F5" w:rsidRPr="0054775B">
        <w:t xml:space="preserve"> (w</w:t>
      </w:r>
      <w:r w:rsidR="00E6539E" w:rsidRPr="0054775B">
        <w:t>alnuts, chia seeds, flaxseeds</w:t>
      </w:r>
      <w:r w:rsidR="00E068F5" w:rsidRPr="0054775B">
        <w:t>) and p</w:t>
      </w:r>
      <w:r w:rsidR="00E6539E" w:rsidRPr="0054775B">
        <w:t>lant-based oils</w:t>
      </w:r>
      <w:r w:rsidR="00E068F5" w:rsidRPr="0054775B">
        <w:t xml:space="preserve"> (f</w:t>
      </w:r>
      <w:r w:rsidR="00E6539E" w:rsidRPr="0054775B">
        <w:t>laxseed oil, soybean oil</w:t>
      </w:r>
      <w:r w:rsidR="00E068F5" w:rsidRPr="0054775B">
        <w:t xml:space="preserve">). </w:t>
      </w:r>
      <w:r w:rsidR="00E6539E" w:rsidRPr="0054775B">
        <w:t xml:space="preserve">The recommended </w:t>
      </w:r>
      <w:r w:rsidR="00214497">
        <w:t>dietary</w:t>
      </w:r>
      <w:r w:rsidR="00E6539E" w:rsidRPr="0054775B">
        <w:t xml:space="preserve"> intake of omega-3 fatty acids varies depending on age, sex, and health status</w:t>
      </w:r>
      <w:r w:rsidR="00111EE4" w:rsidRPr="0054775B">
        <w:t xml:space="preserve"> </w:t>
      </w:r>
      <w:r w:rsidR="00A61385">
        <w:rPr>
          <w:noProof/>
        </w:rPr>
        <w:t>(</w:t>
      </w:r>
      <w:r w:rsidR="00214497">
        <w:rPr>
          <w:noProof/>
        </w:rPr>
        <w:t>19,</w:t>
      </w:r>
      <w:r w:rsidR="00A61385">
        <w:rPr>
          <w:noProof/>
        </w:rPr>
        <w:t>89)</w:t>
      </w:r>
      <w:r w:rsidR="00E6539E" w:rsidRPr="0054775B">
        <w:t xml:space="preserve">. </w:t>
      </w:r>
      <w:r w:rsidR="00573D80" w:rsidRPr="0054775B">
        <w:t>Omega-3 supplements are available without prescription</w:t>
      </w:r>
      <w:r w:rsidR="00B252F5" w:rsidRPr="0054775B">
        <w:t>, often taken as fish oil</w:t>
      </w:r>
      <w:r w:rsidR="00E826F0" w:rsidRPr="0054775B">
        <w:t>,</w:t>
      </w:r>
      <w:r w:rsidR="00B252F5" w:rsidRPr="0054775B">
        <w:t xml:space="preserve"> </w:t>
      </w:r>
      <w:r w:rsidR="00E068F5" w:rsidRPr="0054775B">
        <w:t>krill oil, cod liver oil, or vegetarian products that contain algae oil.</w:t>
      </w:r>
    </w:p>
    <w:p w14:paraId="59EB4292" w14:textId="70E2E5D7" w:rsidR="00095D4D" w:rsidRPr="0054775B" w:rsidRDefault="00B15C89" w:rsidP="009E6F7F">
      <w:r w:rsidRPr="0054775B">
        <w:t xml:space="preserve">It is </w:t>
      </w:r>
      <w:r w:rsidR="00C575C5" w:rsidRPr="0054775B">
        <w:t xml:space="preserve">hypothesised </w:t>
      </w:r>
      <w:r w:rsidRPr="0054775B">
        <w:t xml:space="preserve">that </w:t>
      </w:r>
      <w:r w:rsidR="00095D4D" w:rsidRPr="0054775B">
        <w:t xml:space="preserve">Omega-3 fatty acids play a crucial role in various bodily functions, </w:t>
      </w:r>
      <w:r w:rsidR="00C575C5" w:rsidRPr="0054775B">
        <w:t xml:space="preserve">that </w:t>
      </w:r>
      <w:r w:rsidR="00095D4D" w:rsidRPr="0054775B">
        <w:t>may help alleviate depression</w:t>
      </w:r>
      <w:r w:rsidR="002841A7" w:rsidRPr="0054775B">
        <w:t xml:space="preserve"> </w:t>
      </w:r>
      <w:r w:rsidR="00A61385">
        <w:rPr>
          <w:noProof/>
        </w:rPr>
        <w:t>(90)</w:t>
      </w:r>
      <w:r w:rsidR="00C575C5" w:rsidRPr="0054775B">
        <w:t>.</w:t>
      </w:r>
      <w:r w:rsidR="000B1FBB" w:rsidRPr="0054775B">
        <w:t xml:space="preserve"> </w:t>
      </w:r>
      <w:r w:rsidR="00D26EC4">
        <w:t xml:space="preserve">Two </w:t>
      </w:r>
      <w:r w:rsidR="00642942">
        <w:t xml:space="preserve">types, </w:t>
      </w:r>
      <w:r w:rsidR="00095D4D" w:rsidRPr="0054775B">
        <w:t>DHA (docosahexaenoic acid) and EPA (eicosapentaenoic acid), can easily cross the brain cell membrane and interact with mood-related molecules inside the brain.</w:t>
      </w:r>
      <w:r w:rsidR="00972800" w:rsidRPr="0054775B">
        <w:t xml:space="preserve"> </w:t>
      </w:r>
      <w:r w:rsidR="00F24A33" w:rsidRPr="0054775B">
        <w:t xml:space="preserve">It is thought that </w:t>
      </w:r>
      <w:r w:rsidR="00095D4D" w:rsidRPr="0054775B">
        <w:t>that individuals experiencing depression may have insufficient levels of EPA and DHA.</w:t>
      </w:r>
      <w:r w:rsidR="00E84B9E" w:rsidRPr="0054775B">
        <w:t xml:space="preserve"> In </w:t>
      </w:r>
      <w:r w:rsidR="001850E1" w:rsidRPr="0054775B">
        <w:t>addition,</w:t>
      </w:r>
      <w:r w:rsidR="00E84B9E" w:rsidRPr="0054775B">
        <w:t xml:space="preserve"> </w:t>
      </w:r>
      <w:r w:rsidR="00095D4D" w:rsidRPr="0054775B">
        <w:t>Omega-3</w:t>
      </w:r>
      <w:r w:rsidR="00F67340">
        <w:t xml:space="preserve"> fatty acids</w:t>
      </w:r>
      <w:r w:rsidR="00095D4D" w:rsidRPr="0054775B">
        <w:t xml:space="preserve"> also have anti-inflammatory actions, which may contribute to their antidepressant effects. By reducing inflammation, they may help stabilize mood and alleviate depressive symptoms.</w:t>
      </w:r>
    </w:p>
    <w:p w14:paraId="2EC65224" w14:textId="77777777" w:rsidR="008308E9" w:rsidRPr="0054775B" w:rsidRDefault="008308E9" w:rsidP="009E6F7F">
      <w:pPr>
        <w:pStyle w:val="2024HEADER3"/>
        <w:rPr>
          <w:rFonts w:ascii="Aptos" w:hAnsi="Aptos"/>
        </w:rPr>
      </w:pPr>
      <w:r w:rsidRPr="0054775B">
        <w:rPr>
          <w:rFonts w:ascii="Aptos" w:hAnsi="Aptos"/>
        </w:rPr>
        <w:t>Prioritised outcomes</w:t>
      </w:r>
    </w:p>
    <w:p w14:paraId="56A9BC9D" w14:textId="050940F4" w:rsidR="00C40ADB" w:rsidRPr="0054775B" w:rsidRDefault="00C40ADB" w:rsidP="009E6F7F">
      <w:r w:rsidRPr="0054775B">
        <w:lastRenderedPageBreak/>
        <w:t xml:space="preserve">Seven priority outcomes were </w:t>
      </w:r>
      <w:r w:rsidR="007F404D" w:rsidRPr="0054775B">
        <w:t xml:space="preserve">identified by NTWC as part of the Outcome Prioritisation Exercise. These are listed below by order of priority. </w:t>
      </w:r>
      <w:r w:rsidRPr="0054775B">
        <w:t>Outcomes were rated by their importance to decision-making, with those rated 7-9 being critical for decision-making.</w:t>
      </w:r>
    </w:p>
    <w:p w14:paraId="5778C5AC" w14:textId="0BA18AA0" w:rsidR="00764746" w:rsidRPr="0054775B" w:rsidRDefault="00C36D2A" w:rsidP="009760CB">
      <w:pPr>
        <w:pStyle w:val="2024TABLECAPTION"/>
        <w:rPr>
          <w:rFonts w:ascii="Aptos" w:hAnsi="Aptos"/>
        </w:rPr>
      </w:pPr>
      <w:bookmarkStart w:id="82" w:name="_Toc185261596"/>
      <w:r w:rsidRPr="0054775B">
        <w:rPr>
          <w:rFonts w:ascii="Aptos" w:hAnsi="Aptos"/>
        </w:rPr>
        <w:t xml:space="preserve">Table </w:t>
      </w:r>
      <w:r w:rsidR="002F1F6C" w:rsidRPr="0054775B">
        <w:rPr>
          <w:rFonts w:ascii="Aptos" w:hAnsi="Aptos"/>
        </w:rPr>
        <w:fldChar w:fldCharType="begin"/>
      </w:r>
      <w:r w:rsidR="002F1F6C" w:rsidRPr="0054775B">
        <w:rPr>
          <w:rFonts w:ascii="Aptos" w:hAnsi="Aptos"/>
        </w:rPr>
        <w:instrText xml:space="preserve"> SEQ Table \* ARABIC </w:instrText>
      </w:r>
      <w:r w:rsidR="002F1F6C" w:rsidRPr="0054775B">
        <w:rPr>
          <w:rFonts w:ascii="Aptos" w:hAnsi="Aptos"/>
        </w:rPr>
        <w:fldChar w:fldCharType="separate"/>
      </w:r>
      <w:r w:rsidR="00651E04">
        <w:rPr>
          <w:rFonts w:ascii="Aptos" w:hAnsi="Aptos"/>
          <w:noProof/>
        </w:rPr>
        <w:t>18</w:t>
      </w:r>
      <w:r w:rsidR="002F1F6C" w:rsidRPr="0054775B">
        <w:rPr>
          <w:rFonts w:ascii="Aptos" w:hAnsi="Aptos"/>
          <w:noProof/>
        </w:rPr>
        <w:fldChar w:fldCharType="end"/>
      </w:r>
      <w:r w:rsidRPr="0054775B">
        <w:rPr>
          <w:rFonts w:ascii="Aptos" w:hAnsi="Aptos"/>
        </w:rPr>
        <w:t xml:space="preserve">. </w:t>
      </w:r>
      <w:r w:rsidR="00764746" w:rsidRPr="0054775B">
        <w:rPr>
          <w:rFonts w:ascii="Aptos" w:hAnsi="Aptos"/>
        </w:rPr>
        <w:t xml:space="preserve">List of prioritised outcomes – </w:t>
      </w:r>
      <w:r w:rsidR="0012437F" w:rsidRPr="0054775B">
        <w:rPr>
          <w:rFonts w:ascii="Aptos" w:hAnsi="Aptos"/>
        </w:rPr>
        <w:t>Depression (including post-natal), Omega-3</w:t>
      </w:r>
      <w:r w:rsidR="005E3DE4">
        <w:rPr>
          <w:rFonts w:ascii="Aptos" w:hAnsi="Aptos"/>
        </w:rPr>
        <w:t xml:space="preserve"> </w:t>
      </w:r>
      <w:r w:rsidR="005E3DE4">
        <w:t>fatty acids</w:t>
      </w:r>
      <w:r w:rsidR="0012437F" w:rsidRPr="0054775B">
        <w:rPr>
          <w:rFonts w:ascii="Aptos" w:hAnsi="Aptos"/>
        </w:rPr>
        <w:t xml:space="preserve"> </w:t>
      </w:r>
      <w:r w:rsidR="00764746" w:rsidRPr="0054775B">
        <w:rPr>
          <w:rFonts w:ascii="Aptos" w:hAnsi="Aptos"/>
        </w:rPr>
        <w:t>(as assessed as part of the Outcome Prioritisation Exercise by NTWC).</w:t>
      </w:r>
      <w:bookmarkEnd w:id="82"/>
      <w:r w:rsidR="00764746" w:rsidRPr="0054775B">
        <w:rPr>
          <w:rFonts w:ascii="Aptos" w:hAnsi="Aptos"/>
        </w:rPr>
        <w:t> </w:t>
      </w:r>
    </w:p>
    <w:tbl>
      <w:tblPr>
        <w:tblW w:w="9209" w:type="dxa"/>
        <w:tblCellMar>
          <w:top w:w="28" w:type="dxa"/>
          <w:left w:w="57" w:type="dxa"/>
          <w:bottom w:w="28" w:type="dxa"/>
          <w:right w:w="28" w:type="dxa"/>
        </w:tblCellMar>
        <w:tblLook w:val="04A0" w:firstRow="1" w:lastRow="0" w:firstColumn="1" w:lastColumn="0" w:noHBand="0" w:noVBand="1"/>
      </w:tblPr>
      <w:tblGrid>
        <w:gridCol w:w="349"/>
        <w:gridCol w:w="1245"/>
        <w:gridCol w:w="1229"/>
        <w:gridCol w:w="758"/>
        <w:gridCol w:w="5628"/>
      </w:tblGrid>
      <w:tr w:rsidR="00A70B1C" w:rsidRPr="0054775B" w14:paraId="4ADA5F65" w14:textId="77777777" w:rsidTr="0024142B">
        <w:trPr>
          <w:trHeight w:val="95"/>
        </w:trPr>
        <w:tc>
          <w:tcPr>
            <w:tcW w:w="0" w:type="auto"/>
            <w:vMerge w:val="restart"/>
            <w:tcBorders>
              <w:top w:val="single" w:sz="4" w:space="0" w:color="auto"/>
              <w:left w:val="single" w:sz="4" w:space="0" w:color="auto"/>
              <w:right w:val="single" w:sz="4" w:space="0" w:color="auto"/>
            </w:tcBorders>
            <w:shd w:val="clear" w:color="auto" w:fill="D9D9D9" w:themeFill="background1" w:themeFillShade="D9"/>
            <w:vAlign w:val="center"/>
            <w:hideMark/>
          </w:tcPr>
          <w:p w14:paraId="4F444B19" w14:textId="77777777" w:rsidR="0032744E" w:rsidRPr="0054775B" w:rsidRDefault="0032744E" w:rsidP="00515FE7">
            <w:pPr>
              <w:pStyle w:val="2024TABLEHEADER"/>
            </w:pPr>
            <w:r w:rsidRPr="0054775B">
              <w:t> #</w:t>
            </w:r>
          </w:p>
        </w:tc>
        <w:tc>
          <w:tcPr>
            <w:tcW w:w="1245" w:type="dxa"/>
            <w:vMerge w:val="restart"/>
            <w:tcBorders>
              <w:top w:val="single" w:sz="4" w:space="0" w:color="auto"/>
              <w:left w:val="nil"/>
              <w:right w:val="single" w:sz="4" w:space="0" w:color="auto"/>
            </w:tcBorders>
            <w:shd w:val="clear" w:color="auto" w:fill="D9D9D9" w:themeFill="background1" w:themeFillShade="D9"/>
            <w:vAlign w:val="center"/>
            <w:hideMark/>
          </w:tcPr>
          <w:p w14:paraId="0A01E257" w14:textId="77777777" w:rsidR="0032744E" w:rsidRPr="0054775B" w:rsidRDefault="0032744E" w:rsidP="00515FE7">
            <w:pPr>
              <w:pStyle w:val="2024TABLEHEADER"/>
              <w:rPr>
                <w:color w:val="000000"/>
              </w:rPr>
            </w:pPr>
            <w:r w:rsidRPr="0054775B">
              <w:t>Priority population</w:t>
            </w:r>
          </w:p>
        </w:tc>
        <w:tc>
          <w:tcPr>
            <w:tcW w:w="1229" w:type="dxa"/>
            <w:vMerge w:val="restart"/>
            <w:tcBorders>
              <w:top w:val="single" w:sz="4" w:space="0" w:color="auto"/>
              <w:left w:val="nil"/>
              <w:right w:val="single" w:sz="4" w:space="0" w:color="auto"/>
            </w:tcBorders>
            <w:shd w:val="clear" w:color="auto" w:fill="D9D9D9" w:themeFill="background1" w:themeFillShade="D9"/>
            <w:vAlign w:val="center"/>
            <w:hideMark/>
          </w:tcPr>
          <w:p w14:paraId="0554D86F" w14:textId="77777777" w:rsidR="0032744E" w:rsidRPr="0054775B" w:rsidRDefault="0032744E" w:rsidP="00515FE7">
            <w:pPr>
              <w:pStyle w:val="2024TABLEHEADER"/>
              <w:rPr>
                <w:color w:val="000000"/>
              </w:rPr>
            </w:pPr>
            <w:r w:rsidRPr="0054775B">
              <w:t xml:space="preserve">Priority intervention </w:t>
            </w:r>
          </w:p>
        </w:tc>
        <w:tc>
          <w:tcPr>
            <w:tcW w:w="6386" w:type="dxa"/>
            <w:gridSpan w:val="2"/>
            <w:tcBorders>
              <w:top w:val="single" w:sz="4" w:space="0" w:color="auto"/>
              <w:left w:val="nil"/>
              <w:bottom w:val="single" w:sz="4" w:space="0" w:color="auto"/>
              <w:right w:val="single" w:sz="4" w:space="0" w:color="auto"/>
            </w:tcBorders>
            <w:shd w:val="clear" w:color="auto" w:fill="D9D9D9" w:themeFill="background1" w:themeFillShade="D9"/>
            <w:vAlign w:val="center"/>
          </w:tcPr>
          <w:p w14:paraId="1BA9461C" w14:textId="43F8E596" w:rsidR="0032744E" w:rsidRPr="0054775B" w:rsidRDefault="0032744E" w:rsidP="00515FE7">
            <w:pPr>
              <w:pStyle w:val="2024TABLEHEADER"/>
            </w:pPr>
            <w:r w:rsidRPr="0054775B">
              <w:t>Priority outcomes</w:t>
            </w:r>
          </w:p>
        </w:tc>
      </w:tr>
      <w:tr w:rsidR="00A70B1C" w:rsidRPr="0054775B" w14:paraId="685B327C" w14:textId="77777777" w:rsidTr="0024142B">
        <w:trPr>
          <w:trHeight w:val="95"/>
        </w:trPr>
        <w:tc>
          <w:tcPr>
            <w:tcW w:w="0" w:type="auto"/>
            <w:vMerge/>
            <w:tcBorders>
              <w:left w:val="single" w:sz="4" w:space="0" w:color="auto"/>
              <w:bottom w:val="single" w:sz="4" w:space="0" w:color="auto"/>
              <w:right w:val="single" w:sz="4" w:space="0" w:color="auto"/>
            </w:tcBorders>
            <w:shd w:val="clear" w:color="auto" w:fill="D9D9D9" w:themeFill="background1" w:themeFillShade="D9"/>
            <w:vAlign w:val="center"/>
          </w:tcPr>
          <w:p w14:paraId="368A7AA9" w14:textId="77777777" w:rsidR="0032744E" w:rsidRPr="0054775B" w:rsidRDefault="0032744E" w:rsidP="00515FE7">
            <w:pPr>
              <w:pStyle w:val="2024TABLEHEADER"/>
            </w:pPr>
          </w:p>
        </w:tc>
        <w:tc>
          <w:tcPr>
            <w:tcW w:w="1245" w:type="dxa"/>
            <w:vMerge/>
            <w:tcBorders>
              <w:left w:val="nil"/>
              <w:bottom w:val="single" w:sz="4" w:space="0" w:color="auto"/>
              <w:right w:val="single" w:sz="4" w:space="0" w:color="auto"/>
            </w:tcBorders>
            <w:shd w:val="clear" w:color="auto" w:fill="D9D9D9" w:themeFill="background1" w:themeFillShade="D9"/>
            <w:vAlign w:val="center"/>
          </w:tcPr>
          <w:p w14:paraId="79907E7B" w14:textId="77777777" w:rsidR="0032744E" w:rsidRPr="0054775B" w:rsidRDefault="0032744E" w:rsidP="00515FE7">
            <w:pPr>
              <w:pStyle w:val="2024TABLEHEADER"/>
            </w:pPr>
          </w:p>
        </w:tc>
        <w:tc>
          <w:tcPr>
            <w:tcW w:w="1229" w:type="dxa"/>
            <w:vMerge/>
            <w:tcBorders>
              <w:left w:val="nil"/>
              <w:bottom w:val="single" w:sz="4" w:space="0" w:color="auto"/>
              <w:right w:val="single" w:sz="4" w:space="0" w:color="auto"/>
            </w:tcBorders>
            <w:shd w:val="clear" w:color="auto" w:fill="D9D9D9" w:themeFill="background1" w:themeFillShade="D9"/>
            <w:vAlign w:val="center"/>
          </w:tcPr>
          <w:p w14:paraId="375133C3" w14:textId="77777777" w:rsidR="0032744E" w:rsidRPr="0054775B" w:rsidRDefault="0032744E" w:rsidP="00515FE7">
            <w:pPr>
              <w:pStyle w:val="2024TABLEHEADER"/>
            </w:pPr>
          </w:p>
        </w:tc>
        <w:tc>
          <w:tcPr>
            <w:tcW w:w="758" w:type="dxa"/>
            <w:tcBorders>
              <w:top w:val="nil"/>
              <w:left w:val="nil"/>
              <w:bottom w:val="single" w:sz="4" w:space="0" w:color="auto"/>
              <w:right w:val="single" w:sz="4" w:space="0" w:color="auto"/>
            </w:tcBorders>
            <w:shd w:val="clear" w:color="auto" w:fill="D9D9D9" w:themeFill="background1" w:themeFillShade="D9"/>
            <w:vAlign w:val="center"/>
          </w:tcPr>
          <w:p w14:paraId="413B9C14" w14:textId="77777777" w:rsidR="0032744E" w:rsidRPr="0054775B" w:rsidRDefault="0032744E" w:rsidP="00515FE7">
            <w:pPr>
              <w:pStyle w:val="2024TABLEHEADER"/>
            </w:pPr>
            <w:r w:rsidRPr="0054775B">
              <w:t>NTWC Rating</w:t>
            </w:r>
          </w:p>
        </w:tc>
        <w:tc>
          <w:tcPr>
            <w:tcW w:w="5628" w:type="dxa"/>
            <w:tcBorders>
              <w:top w:val="nil"/>
              <w:left w:val="nil"/>
              <w:bottom w:val="single" w:sz="4" w:space="0" w:color="auto"/>
              <w:right w:val="single" w:sz="4" w:space="0" w:color="auto"/>
            </w:tcBorders>
            <w:shd w:val="clear" w:color="auto" w:fill="D9D9D9" w:themeFill="background1" w:themeFillShade="D9"/>
            <w:vAlign w:val="center"/>
          </w:tcPr>
          <w:p w14:paraId="26DF75BF" w14:textId="013BD9AB" w:rsidR="0032744E" w:rsidRPr="0054775B" w:rsidRDefault="0032744E" w:rsidP="00515FE7">
            <w:pPr>
              <w:pStyle w:val="2024TABLEHEADER"/>
            </w:pPr>
            <w:r w:rsidRPr="0054775B">
              <w:t>Outcome</w:t>
            </w:r>
            <w:r>
              <w:t xml:space="preserve"> domain</w:t>
            </w:r>
          </w:p>
        </w:tc>
      </w:tr>
      <w:tr w:rsidR="002B69D4" w:rsidRPr="0054775B" w14:paraId="38B09D67" w14:textId="77777777" w:rsidTr="001428E8">
        <w:trPr>
          <w:trHeight w:val="95"/>
        </w:trPr>
        <w:tc>
          <w:tcPr>
            <w:tcW w:w="0" w:type="auto"/>
            <w:vMerge w:val="restart"/>
            <w:tcBorders>
              <w:top w:val="nil"/>
              <w:left w:val="single" w:sz="4" w:space="0" w:color="auto"/>
              <w:right w:val="single" w:sz="4" w:space="0" w:color="auto"/>
            </w:tcBorders>
            <w:shd w:val="clear" w:color="auto" w:fill="auto"/>
            <w:vAlign w:val="center"/>
          </w:tcPr>
          <w:p w14:paraId="0DACB390" w14:textId="2A31186A" w:rsidR="0032744E" w:rsidRPr="0054775B" w:rsidRDefault="0032744E" w:rsidP="00C10E26">
            <w:pPr>
              <w:pStyle w:val="2024TABLETEXT"/>
              <w:framePr w:hSpace="0" w:wrap="auto" w:vAnchor="margin" w:yAlign="inline"/>
              <w:suppressOverlap w:val="0"/>
            </w:pPr>
            <w:r w:rsidRPr="0054775B">
              <w:t>5</w:t>
            </w:r>
          </w:p>
        </w:tc>
        <w:tc>
          <w:tcPr>
            <w:tcW w:w="1245" w:type="dxa"/>
            <w:vMerge w:val="restart"/>
            <w:tcBorders>
              <w:top w:val="nil"/>
              <w:left w:val="nil"/>
              <w:right w:val="single" w:sz="4" w:space="0" w:color="auto"/>
            </w:tcBorders>
            <w:shd w:val="clear" w:color="auto" w:fill="auto"/>
            <w:vAlign w:val="center"/>
          </w:tcPr>
          <w:p w14:paraId="35716019" w14:textId="388255A1" w:rsidR="0032744E" w:rsidRPr="0054775B" w:rsidRDefault="0032744E" w:rsidP="00C10E26">
            <w:pPr>
              <w:pStyle w:val="2024TABLETEXT"/>
              <w:framePr w:hSpace="0" w:wrap="auto" w:vAnchor="margin" w:yAlign="inline"/>
              <w:suppressOverlap w:val="0"/>
            </w:pPr>
            <w:r w:rsidRPr="0054775B">
              <w:t>Depression (including post-natal)</w:t>
            </w:r>
          </w:p>
        </w:tc>
        <w:tc>
          <w:tcPr>
            <w:tcW w:w="1229" w:type="dxa"/>
            <w:vMerge w:val="restart"/>
            <w:tcBorders>
              <w:top w:val="nil"/>
              <w:left w:val="nil"/>
              <w:right w:val="single" w:sz="4" w:space="0" w:color="auto"/>
            </w:tcBorders>
            <w:shd w:val="clear" w:color="auto" w:fill="auto"/>
            <w:vAlign w:val="center"/>
          </w:tcPr>
          <w:p w14:paraId="59806F2E" w14:textId="34BBB244" w:rsidR="0032744E" w:rsidRPr="0054775B" w:rsidRDefault="0032744E" w:rsidP="00C10E26">
            <w:pPr>
              <w:pStyle w:val="2024TABLETEXT"/>
              <w:framePr w:hSpace="0" w:wrap="auto" w:vAnchor="margin" w:yAlign="inline"/>
              <w:suppressOverlap w:val="0"/>
            </w:pPr>
            <w:r w:rsidRPr="0054775B">
              <w:t>Omega-3</w:t>
            </w:r>
            <w:r w:rsidR="005E3DE4">
              <w:t xml:space="preserve"> fatty acids</w:t>
            </w:r>
          </w:p>
        </w:tc>
        <w:tc>
          <w:tcPr>
            <w:tcW w:w="758" w:type="dxa"/>
            <w:tcBorders>
              <w:top w:val="nil"/>
              <w:left w:val="nil"/>
              <w:bottom w:val="single" w:sz="4" w:space="0" w:color="auto"/>
              <w:right w:val="single" w:sz="4" w:space="0" w:color="auto"/>
            </w:tcBorders>
            <w:shd w:val="clear" w:color="auto" w:fill="auto"/>
            <w:vAlign w:val="center"/>
          </w:tcPr>
          <w:p w14:paraId="2F361838" w14:textId="72C90494" w:rsidR="0032744E" w:rsidRPr="0054775B" w:rsidRDefault="0032744E" w:rsidP="00C10E26">
            <w:pPr>
              <w:pStyle w:val="2024TABLETEXT"/>
              <w:framePr w:hSpace="0" w:wrap="auto" w:vAnchor="margin" w:yAlign="inline"/>
              <w:suppressOverlap w:val="0"/>
            </w:pPr>
            <w:r w:rsidRPr="0054775B">
              <w:t>9</w:t>
            </w:r>
          </w:p>
        </w:tc>
        <w:tc>
          <w:tcPr>
            <w:tcW w:w="5628" w:type="dxa"/>
            <w:tcBorders>
              <w:top w:val="nil"/>
              <w:left w:val="nil"/>
              <w:bottom w:val="single" w:sz="4" w:space="0" w:color="auto"/>
              <w:right w:val="single" w:sz="4" w:space="0" w:color="auto"/>
            </w:tcBorders>
            <w:shd w:val="clear" w:color="auto" w:fill="auto"/>
          </w:tcPr>
          <w:p w14:paraId="494BF462" w14:textId="24C19648" w:rsidR="0032744E" w:rsidRPr="0054775B" w:rsidRDefault="0032744E" w:rsidP="00C10E26">
            <w:pPr>
              <w:pStyle w:val="2024TABLETEXT"/>
              <w:framePr w:hSpace="0" w:wrap="auto" w:vAnchor="margin" w:yAlign="inline"/>
              <w:suppressOverlap w:val="0"/>
            </w:pPr>
            <w:r w:rsidRPr="0054775B">
              <w:t>Depression-related emotional functioning/mental health burden</w:t>
            </w:r>
          </w:p>
        </w:tc>
      </w:tr>
      <w:tr w:rsidR="002B69D4" w:rsidRPr="0054775B" w14:paraId="36AD827E" w14:textId="77777777" w:rsidTr="001428E8">
        <w:trPr>
          <w:trHeight w:val="95"/>
        </w:trPr>
        <w:tc>
          <w:tcPr>
            <w:tcW w:w="0" w:type="auto"/>
            <w:vMerge/>
            <w:tcBorders>
              <w:left w:val="single" w:sz="4" w:space="0" w:color="auto"/>
              <w:right w:val="single" w:sz="4" w:space="0" w:color="auto"/>
            </w:tcBorders>
            <w:shd w:val="clear" w:color="auto" w:fill="auto"/>
            <w:vAlign w:val="center"/>
          </w:tcPr>
          <w:p w14:paraId="6A933DA7" w14:textId="77777777" w:rsidR="0032744E" w:rsidRPr="0054775B" w:rsidRDefault="0032744E" w:rsidP="00C10E26">
            <w:pPr>
              <w:pStyle w:val="2024TABLETEXT"/>
              <w:framePr w:hSpace="0" w:wrap="auto" w:vAnchor="margin" w:yAlign="inline"/>
              <w:suppressOverlap w:val="0"/>
            </w:pPr>
          </w:p>
        </w:tc>
        <w:tc>
          <w:tcPr>
            <w:tcW w:w="1245" w:type="dxa"/>
            <w:vMerge/>
            <w:tcBorders>
              <w:left w:val="nil"/>
              <w:right w:val="single" w:sz="4" w:space="0" w:color="auto"/>
            </w:tcBorders>
            <w:shd w:val="clear" w:color="auto" w:fill="auto"/>
            <w:vAlign w:val="center"/>
          </w:tcPr>
          <w:p w14:paraId="2DB11A38" w14:textId="77777777" w:rsidR="0032744E" w:rsidRPr="0054775B" w:rsidRDefault="0032744E" w:rsidP="00C10E26">
            <w:pPr>
              <w:pStyle w:val="2024TABLETEXT"/>
              <w:framePr w:hSpace="0" w:wrap="auto" w:vAnchor="margin" w:yAlign="inline"/>
              <w:suppressOverlap w:val="0"/>
            </w:pPr>
          </w:p>
        </w:tc>
        <w:tc>
          <w:tcPr>
            <w:tcW w:w="1229" w:type="dxa"/>
            <w:vMerge/>
            <w:tcBorders>
              <w:left w:val="nil"/>
              <w:right w:val="single" w:sz="4" w:space="0" w:color="auto"/>
            </w:tcBorders>
            <w:shd w:val="clear" w:color="auto" w:fill="auto"/>
            <w:vAlign w:val="center"/>
          </w:tcPr>
          <w:p w14:paraId="7E47950E" w14:textId="77777777" w:rsidR="0032744E" w:rsidRPr="0054775B" w:rsidRDefault="0032744E" w:rsidP="00C10E26">
            <w:pPr>
              <w:pStyle w:val="2024TABLETEXT"/>
              <w:framePr w:hSpace="0" w:wrap="auto" w:vAnchor="margin" w:yAlign="inline"/>
              <w:suppressOverlap w:val="0"/>
            </w:pPr>
          </w:p>
        </w:tc>
        <w:tc>
          <w:tcPr>
            <w:tcW w:w="758" w:type="dxa"/>
            <w:tcBorders>
              <w:top w:val="nil"/>
              <w:left w:val="nil"/>
              <w:bottom w:val="single" w:sz="4" w:space="0" w:color="auto"/>
              <w:right w:val="single" w:sz="4" w:space="0" w:color="auto"/>
            </w:tcBorders>
            <w:shd w:val="clear" w:color="auto" w:fill="auto"/>
            <w:vAlign w:val="center"/>
          </w:tcPr>
          <w:p w14:paraId="1B2E3B91" w14:textId="31AF0D04" w:rsidR="0032744E" w:rsidRPr="0054775B" w:rsidRDefault="0032744E" w:rsidP="00C10E26">
            <w:pPr>
              <w:pStyle w:val="2024TABLETEXT"/>
              <w:framePr w:hSpace="0" w:wrap="auto" w:vAnchor="margin" w:yAlign="inline"/>
              <w:suppressOverlap w:val="0"/>
            </w:pPr>
            <w:r w:rsidRPr="0054775B">
              <w:t>9</w:t>
            </w:r>
          </w:p>
        </w:tc>
        <w:tc>
          <w:tcPr>
            <w:tcW w:w="5628" w:type="dxa"/>
            <w:tcBorders>
              <w:top w:val="nil"/>
              <w:left w:val="nil"/>
              <w:bottom w:val="single" w:sz="4" w:space="0" w:color="auto"/>
              <w:right w:val="single" w:sz="4" w:space="0" w:color="auto"/>
            </w:tcBorders>
            <w:shd w:val="clear" w:color="auto" w:fill="auto"/>
          </w:tcPr>
          <w:p w14:paraId="57AFD85B" w14:textId="23932986" w:rsidR="0032744E" w:rsidRPr="0054775B" w:rsidRDefault="0032744E" w:rsidP="00C10E26">
            <w:pPr>
              <w:pStyle w:val="2024TABLETEXT"/>
              <w:framePr w:hSpace="0" w:wrap="auto" w:vAnchor="margin" w:yAlign="inline"/>
              <w:suppressOverlap w:val="0"/>
            </w:pPr>
            <w:r w:rsidRPr="0054775B">
              <w:t>Improvement in clinical levels of depression (including post-natal depression)</w:t>
            </w:r>
          </w:p>
        </w:tc>
      </w:tr>
      <w:tr w:rsidR="002B69D4" w:rsidRPr="0054775B" w14:paraId="00465A4C" w14:textId="77777777" w:rsidTr="001428E8">
        <w:trPr>
          <w:trHeight w:val="95"/>
        </w:trPr>
        <w:tc>
          <w:tcPr>
            <w:tcW w:w="0" w:type="auto"/>
            <w:vMerge/>
            <w:tcBorders>
              <w:left w:val="single" w:sz="4" w:space="0" w:color="auto"/>
              <w:right w:val="single" w:sz="4" w:space="0" w:color="auto"/>
            </w:tcBorders>
            <w:shd w:val="clear" w:color="auto" w:fill="auto"/>
            <w:vAlign w:val="center"/>
          </w:tcPr>
          <w:p w14:paraId="3973F863" w14:textId="77777777" w:rsidR="0032744E" w:rsidRPr="0054775B" w:rsidRDefault="0032744E" w:rsidP="00C10E26">
            <w:pPr>
              <w:pStyle w:val="2024TABLETEXT"/>
              <w:framePr w:hSpace="0" w:wrap="auto" w:vAnchor="margin" w:yAlign="inline"/>
              <w:suppressOverlap w:val="0"/>
            </w:pPr>
          </w:p>
        </w:tc>
        <w:tc>
          <w:tcPr>
            <w:tcW w:w="1245" w:type="dxa"/>
            <w:vMerge/>
            <w:tcBorders>
              <w:left w:val="nil"/>
              <w:right w:val="single" w:sz="4" w:space="0" w:color="auto"/>
            </w:tcBorders>
            <w:shd w:val="clear" w:color="auto" w:fill="auto"/>
            <w:vAlign w:val="center"/>
          </w:tcPr>
          <w:p w14:paraId="310CB4EC" w14:textId="77777777" w:rsidR="0032744E" w:rsidRPr="0054775B" w:rsidRDefault="0032744E" w:rsidP="00C10E26">
            <w:pPr>
              <w:pStyle w:val="2024TABLETEXT"/>
              <w:framePr w:hSpace="0" w:wrap="auto" w:vAnchor="margin" w:yAlign="inline"/>
              <w:suppressOverlap w:val="0"/>
            </w:pPr>
          </w:p>
        </w:tc>
        <w:tc>
          <w:tcPr>
            <w:tcW w:w="1229" w:type="dxa"/>
            <w:vMerge/>
            <w:tcBorders>
              <w:left w:val="nil"/>
              <w:right w:val="single" w:sz="4" w:space="0" w:color="auto"/>
            </w:tcBorders>
            <w:shd w:val="clear" w:color="auto" w:fill="auto"/>
            <w:vAlign w:val="center"/>
          </w:tcPr>
          <w:p w14:paraId="4F859C19" w14:textId="77777777" w:rsidR="0032744E" w:rsidRPr="0054775B" w:rsidRDefault="0032744E" w:rsidP="00C10E26">
            <w:pPr>
              <w:pStyle w:val="2024TABLETEXT"/>
              <w:framePr w:hSpace="0" w:wrap="auto" w:vAnchor="margin" w:yAlign="inline"/>
              <w:suppressOverlap w:val="0"/>
            </w:pPr>
          </w:p>
        </w:tc>
        <w:tc>
          <w:tcPr>
            <w:tcW w:w="758" w:type="dxa"/>
            <w:tcBorders>
              <w:top w:val="nil"/>
              <w:left w:val="nil"/>
              <w:bottom w:val="single" w:sz="4" w:space="0" w:color="auto"/>
              <w:right w:val="single" w:sz="4" w:space="0" w:color="auto"/>
            </w:tcBorders>
            <w:shd w:val="clear" w:color="auto" w:fill="auto"/>
            <w:vAlign w:val="center"/>
          </w:tcPr>
          <w:p w14:paraId="53C2472B" w14:textId="5FACAFB4" w:rsidR="0032744E" w:rsidRPr="0054775B" w:rsidRDefault="0032744E" w:rsidP="00C10E26">
            <w:pPr>
              <w:pStyle w:val="2024TABLETEXT"/>
              <w:framePr w:hSpace="0" w:wrap="auto" w:vAnchor="margin" w:yAlign="inline"/>
              <w:suppressOverlap w:val="0"/>
            </w:pPr>
            <w:r w:rsidRPr="0054775B">
              <w:t>8</w:t>
            </w:r>
          </w:p>
        </w:tc>
        <w:tc>
          <w:tcPr>
            <w:tcW w:w="5628" w:type="dxa"/>
            <w:tcBorders>
              <w:top w:val="nil"/>
              <w:left w:val="nil"/>
              <w:bottom w:val="single" w:sz="4" w:space="0" w:color="auto"/>
              <w:right w:val="single" w:sz="4" w:space="0" w:color="auto"/>
            </w:tcBorders>
            <w:shd w:val="clear" w:color="auto" w:fill="auto"/>
          </w:tcPr>
          <w:p w14:paraId="5F311F86" w14:textId="7EDD64CD" w:rsidR="0032744E" w:rsidRPr="0054775B" w:rsidRDefault="0032744E" w:rsidP="00C10E26">
            <w:pPr>
              <w:pStyle w:val="2024TABLETEXT"/>
              <w:framePr w:hSpace="0" w:wrap="auto" w:vAnchor="margin" w:yAlign="inline"/>
              <w:suppressOverlap w:val="0"/>
            </w:pPr>
            <w:r w:rsidRPr="0054775B">
              <w:t>Specific depression dimensions (Anhedonia, Distress, Dysfunctional thoughts, Internalizing problems, Rumination, Self-esteem, Anger, Fatigue, Hopelessness, Irritability, Negative mood, Tension)</w:t>
            </w:r>
          </w:p>
        </w:tc>
      </w:tr>
      <w:tr w:rsidR="002B69D4" w:rsidRPr="0054775B" w14:paraId="4F8388AA" w14:textId="77777777" w:rsidTr="001428E8">
        <w:trPr>
          <w:trHeight w:val="95"/>
        </w:trPr>
        <w:tc>
          <w:tcPr>
            <w:tcW w:w="0" w:type="auto"/>
            <w:vMerge/>
            <w:tcBorders>
              <w:left w:val="single" w:sz="4" w:space="0" w:color="auto"/>
              <w:right w:val="single" w:sz="4" w:space="0" w:color="auto"/>
            </w:tcBorders>
            <w:shd w:val="clear" w:color="auto" w:fill="auto"/>
            <w:vAlign w:val="center"/>
          </w:tcPr>
          <w:p w14:paraId="2602C471" w14:textId="77777777" w:rsidR="0032744E" w:rsidRPr="0054775B" w:rsidRDefault="0032744E" w:rsidP="00C10E26">
            <w:pPr>
              <w:pStyle w:val="2024TABLETEXT"/>
              <w:framePr w:hSpace="0" w:wrap="auto" w:vAnchor="margin" w:yAlign="inline"/>
              <w:suppressOverlap w:val="0"/>
            </w:pPr>
          </w:p>
        </w:tc>
        <w:tc>
          <w:tcPr>
            <w:tcW w:w="1245" w:type="dxa"/>
            <w:vMerge/>
            <w:tcBorders>
              <w:left w:val="nil"/>
              <w:right w:val="single" w:sz="4" w:space="0" w:color="auto"/>
            </w:tcBorders>
            <w:shd w:val="clear" w:color="auto" w:fill="auto"/>
            <w:vAlign w:val="center"/>
          </w:tcPr>
          <w:p w14:paraId="5336EAAF" w14:textId="77777777" w:rsidR="0032744E" w:rsidRPr="0054775B" w:rsidRDefault="0032744E" w:rsidP="00C10E26">
            <w:pPr>
              <w:pStyle w:val="2024TABLETEXT"/>
              <w:framePr w:hSpace="0" w:wrap="auto" w:vAnchor="margin" w:yAlign="inline"/>
              <w:suppressOverlap w:val="0"/>
            </w:pPr>
          </w:p>
        </w:tc>
        <w:tc>
          <w:tcPr>
            <w:tcW w:w="1229" w:type="dxa"/>
            <w:vMerge/>
            <w:tcBorders>
              <w:left w:val="nil"/>
              <w:right w:val="single" w:sz="4" w:space="0" w:color="auto"/>
            </w:tcBorders>
            <w:shd w:val="clear" w:color="auto" w:fill="auto"/>
            <w:vAlign w:val="center"/>
          </w:tcPr>
          <w:p w14:paraId="7CD6164F" w14:textId="77777777" w:rsidR="0032744E" w:rsidRPr="0054775B" w:rsidRDefault="0032744E" w:rsidP="00C10E26">
            <w:pPr>
              <w:pStyle w:val="2024TABLETEXT"/>
              <w:framePr w:hSpace="0" w:wrap="auto" w:vAnchor="margin" w:yAlign="inline"/>
              <w:suppressOverlap w:val="0"/>
            </w:pPr>
          </w:p>
        </w:tc>
        <w:tc>
          <w:tcPr>
            <w:tcW w:w="758" w:type="dxa"/>
            <w:tcBorders>
              <w:top w:val="nil"/>
              <w:left w:val="nil"/>
              <w:bottom w:val="single" w:sz="4" w:space="0" w:color="auto"/>
              <w:right w:val="single" w:sz="4" w:space="0" w:color="auto"/>
            </w:tcBorders>
            <w:shd w:val="clear" w:color="auto" w:fill="auto"/>
            <w:vAlign w:val="center"/>
          </w:tcPr>
          <w:p w14:paraId="3C22D3A1" w14:textId="0E711991" w:rsidR="0032744E" w:rsidRPr="0054775B" w:rsidRDefault="0032744E" w:rsidP="00C10E26">
            <w:pPr>
              <w:pStyle w:val="2024TABLETEXT"/>
              <w:framePr w:hSpace="0" w:wrap="auto" w:vAnchor="margin" w:yAlign="inline"/>
              <w:suppressOverlap w:val="0"/>
            </w:pPr>
            <w:r w:rsidRPr="0054775B">
              <w:t>8</w:t>
            </w:r>
          </w:p>
        </w:tc>
        <w:tc>
          <w:tcPr>
            <w:tcW w:w="5628" w:type="dxa"/>
            <w:tcBorders>
              <w:top w:val="nil"/>
              <w:left w:val="nil"/>
              <w:bottom w:val="single" w:sz="4" w:space="0" w:color="auto"/>
              <w:right w:val="single" w:sz="4" w:space="0" w:color="auto"/>
            </w:tcBorders>
            <w:shd w:val="clear" w:color="auto" w:fill="auto"/>
          </w:tcPr>
          <w:p w14:paraId="1F1D95CA" w14:textId="23EE845A" w:rsidR="0032744E" w:rsidRPr="0054775B" w:rsidRDefault="0032744E" w:rsidP="00C10E26">
            <w:pPr>
              <w:pStyle w:val="2024TABLETEXT"/>
              <w:framePr w:hSpace="0" w:wrap="auto" w:vAnchor="margin" w:yAlign="inline"/>
              <w:suppressOverlap w:val="0"/>
            </w:pPr>
            <w:r w:rsidRPr="0054775B">
              <w:t>Physiological symptoms of depression (respiration rate and capacity, heart rate, blood pressure, heart rhythm, vital signs, brain beta-nucleoside triphosphate levels, brain phosphodiester levels, brain phosphomonoester levels, serum norepinephrine levels, serum serotonin levels, frontal lobe phosphocreatine levels, body fat, metabolic measures, lactate levels, urinalysis results, lab panel results, weight, height, physical examination, temperature)</w:t>
            </w:r>
          </w:p>
        </w:tc>
      </w:tr>
      <w:tr w:rsidR="002B69D4" w:rsidRPr="0054775B" w14:paraId="06C2F97C" w14:textId="77777777" w:rsidTr="001428E8">
        <w:trPr>
          <w:trHeight w:val="95"/>
        </w:trPr>
        <w:tc>
          <w:tcPr>
            <w:tcW w:w="0" w:type="auto"/>
            <w:vMerge/>
            <w:tcBorders>
              <w:left w:val="single" w:sz="4" w:space="0" w:color="auto"/>
              <w:right w:val="single" w:sz="4" w:space="0" w:color="auto"/>
            </w:tcBorders>
            <w:shd w:val="clear" w:color="auto" w:fill="auto"/>
            <w:vAlign w:val="center"/>
          </w:tcPr>
          <w:p w14:paraId="041EC305" w14:textId="77777777" w:rsidR="0032744E" w:rsidRPr="0054775B" w:rsidRDefault="0032744E" w:rsidP="00C10E26">
            <w:pPr>
              <w:pStyle w:val="2024TABLETEXT"/>
              <w:framePr w:hSpace="0" w:wrap="auto" w:vAnchor="margin" w:yAlign="inline"/>
              <w:suppressOverlap w:val="0"/>
            </w:pPr>
          </w:p>
        </w:tc>
        <w:tc>
          <w:tcPr>
            <w:tcW w:w="1245" w:type="dxa"/>
            <w:vMerge/>
            <w:tcBorders>
              <w:left w:val="nil"/>
              <w:right w:val="single" w:sz="4" w:space="0" w:color="auto"/>
            </w:tcBorders>
            <w:shd w:val="clear" w:color="auto" w:fill="auto"/>
            <w:vAlign w:val="center"/>
          </w:tcPr>
          <w:p w14:paraId="2B2C4174" w14:textId="77777777" w:rsidR="0032744E" w:rsidRPr="0054775B" w:rsidRDefault="0032744E" w:rsidP="00C10E26">
            <w:pPr>
              <w:pStyle w:val="2024TABLETEXT"/>
              <w:framePr w:hSpace="0" w:wrap="auto" w:vAnchor="margin" w:yAlign="inline"/>
              <w:suppressOverlap w:val="0"/>
            </w:pPr>
          </w:p>
        </w:tc>
        <w:tc>
          <w:tcPr>
            <w:tcW w:w="1229" w:type="dxa"/>
            <w:vMerge/>
            <w:tcBorders>
              <w:left w:val="nil"/>
              <w:right w:val="single" w:sz="4" w:space="0" w:color="auto"/>
            </w:tcBorders>
            <w:shd w:val="clear" w:color="auto" w:fill="auto"/>
            <w:vAlign w:val="center"/>
          </w:tcPr>
          <w:p w14:paraId="5BD7C02D" w14:textId="77777777" w:rsidR="0032744E" w:rsidRPr="0054775B" w:rsidRDefault="0032744E" w:rsidP="00C10E26">
            <w:pPr>
              <w:pStyle w:val="2024TABLETEXT"/>
              <w:framePr w:hSpace="0" w:wrap="auto" w:vAnchor="margin" w:yAlign="inline"/>
              <w:suppressOverlap w:val="0"/>
            </w:pPr>
          </w:p>
        </w:tc>
        <w:tc>
          <w:tcPr>
            <w:tcW w:w="758" w:type="dxa"/>
            <w:tcBorders>
              <w:top w:val="nil"/>
              <w:left w:val="nil"/>
              <w:bottom w:val="single" w:sz="4" w:space="0" w:color="auto"/>
              <w:right w:val="single" w:sz="4" w:space="0" w:color="auto"/>
            </w:tcBorders>
            <w:shd w:val="clear" w:color="auto" w:fill="auto"/>
            <w:vAlign w:val="center"/>
          </w:tcPr>
          <w:p w14:paraId="7EF471A9" w14:textId="10583EC6" w:rsidR="0032744E" w:rsidRPr="0054775B" w:rsidRDefault="0032744E" w:rsidP="00C10E26">
            <w:pPr>
              <w:pStyle w:val="2024TABLETEXT"/>
              <w:framePr w:hSpace="0" w:wrap="auto" w:vAnchor="margin" w:yAlign="inline"/>
              <w:suppressOverlap w:val="0"/>
            </w:pPr>
            <w:r w:rsidRPr="0054775B">
              <w:t>8</w:t>
            </w:r>
          </w:p>
        </w:tc>
        <w:tc>
          <w:tcPr>
            <w:tcW w:w="5628" w:type="dxa"/>
            <w:tcBorders>
              <w:top w:val="nil"/>
              <w:left w:val="nil"/>
              <w:bottom w:val="single" w:sz="4" w:space="0" w:color="auto"/>
              <w:right w:val="single" w:sz="4" w:space="0" w:color="auto"/>
            </w:tcBorders>
            <w:shd w:val="clear" w:color="auto" w:fill="auto"/>
          </w:tcPr>
          <w:p w14:paraId="02B94F25" w14:textId="246CEFBF" w:rsidR="0032744E" w:rsidRPr="0054775B" w:rsidRDefault="0032744E" w:rsidP="00C10E26">
            <w:pPr>
              <w:pStyle w:val="2024TABLETEXT"/>
              <w:framePr w:hSpace="0" w:wrap="auto" w:vAnchor="margin" w:yAlign="inline"/>
              <w:suppressOverlap w:val="0"/>
            </w:pPr>
            <w:r w:rsidRPr="0054775B">
              <w:t>Parent to infant bonding</w:t>
            </w:r>
          </w:p>
        </w:tc>
      </w:tr>
      <w:tr w:rsidR="002B69D4" w:rsidRPr="0054775B" w14:paraId="268AF81A" w14:textId="77777777" w:rsidTr="001428E8">
        <w:trPr>
          <w:trHeight w:val="95"/>
        </w:trPr>
        <w:tc>
          <w:tcPr>
            <w:tcW w:w="0" w:type="auto"/>
            <w:vMerge/>
            <w:tcBorders>
              <w:left w:val="single" w:sz="4" w:space="0" w:color="auto"/>
              <w:right w:val="single" w:sz="4" w:space="0" w:color="auto"/>
            </w:tcBorders>
            <w:shd w:val="clear" w:color="auto" w:fill="auto"/>
            <w:vAlign w:val="center"/>
          </w:tcPr>
          <w:p w14:paraId="00E9BE5A" w14:textId="77777777" w:rsidR="0032744E" w:rsidRPr="0054775B" w:rsidRDefault="0032744E" w:rsidP="00C10E26">
            <w:pPr>
              <w:pStyle w:val="2024TABLETEXT"/>
              <w:framePr w:hSpace="0" w:wrap="auto" w:vAnchor="margin" w:yAlign="inline"/>
              <w:suppressOverlap w:val="0"/>
            </w:pPr>
          </w:p>
        </w:tc>
        <w:tc>
          <w:tcPr>
            <w:tcW w:w="1245" w:type="dxa"/>
            <w:vMerge/>
            <w:tcBorders>
              <w:left w:val="nil"/>
              <w:right w:val="single" w:sz="4" w:space="0" w:color="auto"/>
            </w:tcBorders>
            <w:shd w:val="clear" w:color="auto" w:fill="auto"/>
            <w:vAlign w:val="center"/>
          </w:tcPr>
          <w:p w14:paraId="22382DEE" w14:textId="77777777" w:rsidR="0032744E" w:rsidRPr="0054775B" w:rsidRDefault="0032744E" w:rsidP="00C10E26">
            <w:pPr>
              <w:pStyle w:val="2024TABLETEXT"/>
              <w:framePr w:hSpace="0" w:wrap="auto" w:vAnchor="margin" w:yAlign="inline"/>
              <w:suppressOverlap w:val="0"/>
            </w:pPr>
          </w:p>
        </w:tc>
        <w:tc>
          <w:tcPr>
            <w:tcW w:w="1229" w:type="dxa"/>
            <w:vMerge/>
            <w:tcBorders>
              <w:left w:val="nil"/>
              <w:right w:val="single" w:sz="4" w:space="0" w:color="auto"/>
            </w:tcBorders>
            <w:shd w:val="clear" w:color="auto" w:fill="auto"/>
            <w:vAlign w:val="center"/>
          </w:tcPr>
          <w:p w14:paraId="6046D5E2" w14:textId="77777777" w:rsidR="0032744E" w:rsidRPr="0054775B" w:rsidRDefault="0032744E" w:rsidP="00C10E26">
            <w:pPr>
              <w:pStyle w:val="2024TABLETEXT"/>
              <w:framePr w:hSpace="0" w:wrap="auto" w:vAnchor="margin" w:yAlign="inline"/>
              <w:suppressOverlap w:val="0"/>
            </w:pPr>
          </w:p>
        </w:tc>
        <w:tc>
          <w:tcPr>
            <w:tcW w:w="758" w:type="dxa"/>
            <w:tcBorders>
              <w:top w:val="nil"/>
              <w:left w:val="nil"/>
              <w:bottom w:val="single" w:sz="4" w:space="0" w:color="auto"/>
              <w:right w:val="single" w:sz="4" w:space="0" w:color="auto"/>
            </w:tcBorders>
            <w:shd w:val="clear" w:color="auto" w:fill="auto"/>
            <w:vAlign w:val="center"/>
          </w:tcPr>
          <w:p w14:paraId="18881CF4" w14:textId="0236469C" w:rsidR="0032744E" w:rsidRPr="0054775B" w:rsidRDefault="0032744E" w:rsidP="00C10E26">
            <w:pPr>
              <w:pStyle w:val="2024TABLETEXT"/>
              <w:framePr w:hSpace="0" w:wrap="auto" w:vAnchor="margin" w:yAlign="inline"/>
              <w:suppressOverlap w:val="0"/>
            </w:pPr>
            <w:r w:rsidRPr="0054775B">
              <w:t>8</w:t>
            </w:r>
          </w:p>
        </w:tc>
        <w:tc>
          <w:tcPr>
            <w:tcW w:w="5628" w:type="dxa"/>
            <w:tcBorders>
              <w:top w:val="nil"/>
              <w:left w:val="nil"/>
              <w:bottom w:val="single" w:sz="4" w:space="0" w:color="auto"/>
              <w:right w:val="single" w:sz="4" w:space="0" w:color="auto"/>
            </w:tcBorders>
            <w:shd w:val="clear" w:color="auto" w:fill="auto"/>
          </w:tcPr>
          <w:p w14:paraId="38CB7058" w14:textId="773F8870" w:rsidR="0032744E" w:rsidRPr="0054775B" w:rsidRDefault="0032744E" w:rsidP="00C10E26">
            <w:pPr>
              <w:pStyle w:val="2024TABLETEXT"/>
              <w:framePr w:hSpace="0" w:wrap="auto" w:vAnchor="margin" w:yAlign="inline"/>
              <w:suppressOverlap w:val="0"/>
            </w:pPr>
            <w:r w:rsidRPr="0054775B">
              <w:t>Quality of life</w:t>
            </w:r>
          </w:p>
        </w:tc>
      </w:tr>
      <w:tr w:rsidR="00CA696B" w:rsidRPr="0054775B" w14:paraId="356348C0" w14:textId="77777777" w:rsidTr="001428E8">
        <w:trPr>
          <w:trHeight w:val="95"/>
        </w:trPr>
        <w:tc>
          <w:tcPr>
            <w:tcW w:w="0" w:type="auto"/>
            <w:vMerge/>
            <w:tcBorders>
              <w:left w:val="single" w:sz="4" w:space="0" w:color="auto"/>
              <w:bottom w:val="single" w:sz="4" w:space="0" w:color="auto"/>
              <w:right w:val="single" w:sz="4" w:space="0" w:color="auto"/>
            </w:tcBorders>
            <w:shd w:val="clear" w:color="auto" w:fill="auto"/>
            <w:vAlign w:val="center"/>
          </w:tcPr>
          <w:p w14:paraId="3C5CCCCC" w14:textId="77777777" w:rsidR="0032744E" w:rsidRPr="0054775B" w:rsidRDefault="0032744E" w:rsidP="00C10E26">
            <w:pPr>
              <w:pStyle w:val="2024TABLETEXT"/>
              <w:framePr w:hSpace="0" w:wrap="auto" w:vAnchor="margin" w:yAlign="inline"/>
              <w:suppressOverlap w:val="0"/>
            </w:pPr>
          </w:p>
        </w:tc>
        <w:tc>
          <w:tcPr>
            <w:tcW w:w="1245" w:type="dxa"/>
            <w:vMerge/>
            <w:tcBorders>
              <w:left w:val="nil"/>
              <w:bottom w:val="single" w:sz="4" w:space="0" w:color="auto"/>
              <w:right w:val="single" w:sz="4" w:space="0" w:color="auto"/>
            </w:tcBorders>
            <w:shd w:val="clear" w:color="auto" w:fill="auto"/>
            <w:vAlign w:val="center"/>
          </w:tcPr>
          <w:p w14:paraId="4F296F4C" w14:textId="77777777" w:rsidR="0032744E" w:rsidRPr="0054775B" w:rsidRDefault="0032744E" w:rsidP="00C10E26">
            <w:pPr>
              <w:pStyle w:val="2024TABLETEXT"/>
              <w:framePr w:hSpace="0" w:wrap="auto" w:vAnchor="margin" w:yAlign="inline"/>
              <w:suppressOverlap w:val="0"/>
            </w:pPr>
          </w:p>
        </w:tc>
        <w:tc>
          <w:tcPr>
            <w:tcW w:w="1229" w:type="dxa"/>
            <w:vMerge/>
            <w:tcBorders>
              <w:left w:val="nil"/>
              <w:bottom w:val="single" w:sz="4" w:space="0" w:color="auto"/>
              <w:right w:val="single" w:sz="4" w:space="0" w:color="auto"/>
            </w:tcBorders>
            <w:shd w:val="clear" w:color="auto" w:fill="auto"/>
            <w:vAlign w:val="center"/>
          </w:tcPr>
          <w:p w14:paraId="039F9180" w14:textId="77777777" w:rsidR="0032744E" w:rsidRPr="0054775B" w:rsidRDefault="0032744E" w:rsidP="00C10E26">
            <w:pPr>
              <w:pStyle w:val="2024TABLETEXT"/>
              <w:framePr w:hSpace="0" w:wrap="auto" w:vAnchor="margin" w:yAlign="inline"/>
              <w:suppressOverlap w:val="0"/>
            </w:pPr>
          </w:p>
        </w:tc>
        <w:tc>
          <w:tcPr>
            <w:tcW w:w="758" w:type="dxa"/>
            <w:tcBorders>
              <w:top w:val="nil"/>
              <w:left w:val="nil"/>
              <w:bottom w:val="single" w:sz="4" w:space="0" w:color="auto"/>
              <w:right w:val="single" w:sz="4" w:space="0" w:color="auto"/>
            </w:tcBorders>
            <w:shd w:val="clear" w:color="auto" w:fill="auto"/>
            <w:vAlign w:val="center"/>
          </w:tcPr>
          <w:p w14:paraId="1B9D9BA4" w14:textId="5B62329D" w:rsidR="0032744E" w:rsidRPr="0054775B" w:rsidRDefault="0032744E" w:rsidP="00C10E26">
            <w:pPr>
              <w:pStyle w:val="2024TABLETEXT"/>
              <w:framePr w:hSpace="0" w:wrap="auto" w:vAnchor="margin" w:yAlign="inline"/>
              <w:suppressOverlap w:val="0"/>
            </w:pPr>
            <w:r w:rsidRPr="0054775B">
              <w:t>7</w:t>
            </w:r>
          </w:p>
        </w:tc>
        <w:tc>
          <w:tcPr>
            <w:tcW w:w="5628" w:type="dxa"/>
            <w:tcBorders>
              <w:top w:val="nil"/>
              <w:left w:val="nil"/>
              <w:bottom w:val="single" w:sz="4" w:space="0" w:color="auto"/>
              <w:right w:val="single" w:sz="4" w:space="0" w:color="auto"/>
            </w:tcBorders>
            <w:shd w:val="clear" w:color="auto" w:fill="auto"/>
          </w:tcPr>
          <w:p w14:paraId="0868A8A4" w14:textId="613CA074" w:rsidR="0032744E" w:rsidRPr="0054775B" w:rsidRDefault="0032744E" w:rsidP="00C10E26">
            <w:pPr>
              <w:pStyle w:val="2024TABLETEXT"/>
              <w:framePr w:hSpace="0" w:wrap="auto" w:vAnchor="margin" w:yAlign="inline"/>
              <w:suppressOverlap w:val="0"/>
            </w:pPr>
            <w:r w:rsidRPr="0054775B">
              <w:t>Anxiety-related emotional functioning/mental health burden</w:t>
            </w:r>
          </w:p>
        </w:tc>
      </w:tr>
    </w:tbl>
    <w:p w14:paraId="3CEACC29" w14:textId="344EEF93" w:rsidR="00764746" w:rsidRPr="0054775B" w:rsidRDefault="00764746" w:rsidP="009760CB">
      <w:pPr>
        <w:pStyle w:val="2024TABLEFOOTER"/>
      </w:pPr>
      <w:r w:rsidRPr="0054775B">
        <w:t>Abbreviations: HRQoL=health-related quality of life</w:t>
      </w:r>
    </w:p>
    <w:p w14:paraId="4EB2E8EC" w14:textId="77777777" w:rsidR="000F5E0E" w:rsidRPr="0054775B" w:rsidRDefault="000F5E0E" w:rsidP="009E6F7F">
      <w:pPr>
        <w:pStyle w:val="2024HEADER3"/>
        <w:rPr>
          <w:rFonts w:ascii="Aptos" w:hAnsi="Aptos"/>
        </w:rPr>
      </w:pPr>
      <w:r w:rsidRPr="0054775B">
        <w:rPr>
          <w:rFonts w:ascii="Aptos" w:hAnsi="Aptos"/>
        </w:rPr>
        <w:t>Search findings</w:t>
      </w:r>
    </w:p>
    <w:p w14:paraId="409E7DB3" w14:textId="5A01FC64" w:rsidR="000F5E0E" w:rsidRPr="0054775B" w:rsidRDefault="000F5E0E" w:rsidP="009E6F7F">
      <w:pPr>
        <w:rPr>
          <w:highlight w:val="yellow"/>
        </w:rPr>
      </w:pPr>
      <w:r w:rsidRPr="0054775B">
        <w:t xml:space="preserve">In total, </w:t>
      </w:r>
      <w:r w:rsidR="003346B8" w:rsidRPr="0054775B">
        <w:t xml:space="preserve">1,048 </w:t>
      </w:r>
      <w:r w:rsidR="00417802">
        <w:t>reviews</w:t>
      </w:r>
      <w:r w:rsidR="00417802" w:rsidRPr="0054775B">
        <w:t xml:space="preserve"> </w:t>
      </w:r>
      <w:r w:rsidR="003346B8" w:rsidRPr="0054775B">
        <w:t xml:space="preserve">were screened following de-duplication. </w:t>
      </w:r>
      <w:r w:rsidR="00F04478" w:rsidRPr="0054775B">
        <w:t>Nine</w:t>
      </w:r>
      <w:r w:rsidRPr="0054775B">
        <w:t xml:space="preserve"> </w:t>
      </w:r>
      <w:r w:rsidR="00417802">
        <w:t>reviews</w:t>
      </w:r>
      <w:r w:rsidR="00417802" w:rsidRPr="0054775B">
        <w:t xml:space="preserve"> </w:t>
      </w:r>
      <w:r w:rsidRPr="0054775B">
        <w:t xml:space="preserve">provided </w:t>
      </w:r>
      <w:r w:rsidR="00E96835" w:rsidRPr="0054775B">
        <w:t xml:space="preserve">through </w:t>
      </w:r>
      <w:r w:rsidRPr="0054775B">
        <w:t>the Department’s call for evidence</w:t>
      </w:r>
      <w:r w:rsidR="00B65DF3" w:rsidRPr="0054775B">
        <w:t xml:space="preserve"> were relevant to this population-</w:t>
      </w:r>
      <w:r w:rsidR="0032560B">
        <w:t>supplement pair</w:t>
      </w:r>
      <w:r w:rsidR="00087823" w:rsidRPr="0054775B">
        <w:t>;</w:t>
      </w:r>
      <w:r w:rsidRPr="0054775B">
        <w:t xml:space="preserve"> </w:t>
      </w:r>
      <w:r w:rsidR="00F537B3" w:rsidRPr="0054775B">
        <w:t>five were</w:t>
      </w:r>
      <w:r w:rsidRPr="0054775B">
        <w:t xml:space="preserve"> </w:t>
      </w:r>
      <w:r w:rsidR="0084423E" w:rsidRPr="0054775B">
        <w:t xml:space="preserve">duplicates </w:t>
      </w:r>
      <w:r w:rsidRPr="0054775B">
        <w:t xml:space="preserve">already identified in database searching </w:t>
      </w:r>
      <w:r w:rsidR="001A1B3F" w:rsidRPr="0054775B">
        <w:t>and four were screened</w:t>
      </w:r>
      <w:r w:rsidR="00243663" w:rsidRPr="0054775B">
        <w:t xml:space="preserve"> (see Appendix </w:t>
      </w:r>
      <w:r w:rsidR="00531DAA">
        <w:t>C</w:t>
      </w:r>
      <w:r w:rsidR="00AB39C0">
        <w:t>2</w:t>
      </w:r>
      <w:r w:rsidR="00243663" w:rsidRPr="0054775B">
        <w:t>)</w:t>
      </w:r>
      <w:r w:rsidRPr="0054775B">
        <w:t xml:space="preserve">. After title and abstract screening, </w:t>
      </w:r>
      <w:r w:rsidR="008A6E1D" w:rsidRPr="0054775B">
        <w:t>14</w:t>
      </w:r>
      <w:r w:rsidR="00587079" w:rsidRPr="0054775B">
        <w:t>4</w:t>
      </w:r>
      <w:r w:rsidRPr="0054775B">
        <w:t xml:space="preserve"> </w:t>
      </w:r>
      <w:r w:rsidR="00417802">
        <w:t>reviews</w:t>
      </w:r>
      <w:r w:rsidR="00417802" w:rsidRPr="0054775B">
        <w:t xml:space="preserve"> </w:t>
      </w:r>
      <w:r w:rsidR="00664E6B" w:rsidRPr="0054775B">
        <w:t>sought for retrieval for</w:t>
      </w:r>
      <w:r w:rsidRPr="0054775B">
        <w:t xml:space="preserve"> full-text screening:</w:t>
      </w:r>
      <w:r w:rsidRPr="0054775B">
        <w:rPr>
          <w:highlight w:val="yellow"/>
        </w:rPr>
        <w:t xml:space="preserve"> </w:t>
      </w:r>
    </w:p>
    <w:p w14:paraId="38D7C131" w14:textId="6F413E64" w:rsidR="00146847" w:rsidRPr="0054775B" w:rsidRDefault="00146847" w:rsidP="00107BEE">
      <w:pPr>
        <w:pStyle w:val="ListParagraph"/>
        <w:numPr>
          <w:ilvl w:val="0"/>
          <w:numId w:val="6"/>
        </w:numPr>
      </w:pPr>
      <w:r w:rsidRPr="0054775B">
        <w:t>5 reviews did not have full-text copies able to be retrieved (</w:t>
      </w:r>
      <w:r w:rsidR="007D2E60" w:rsidRPr="0054775B">
        <w:t xml:space="preserve">citation details recorded in Appendix </w:t>
      </w:r>
      <w:r w:rsidR="00AB39C0">
        <w:t>C3</w:t>
      </w:r>
      <w:r w:rsidRPr="0054775B">
        <w:t>)</w:t>
      </w:r>
    </w:p>
    <w:p w14:paraId="5D58D18B" w14:textId="42AB3747" w:rsidR="005E11D0" w:rsidRPr="0054775B" w:rsidRDefault="005E11D0" w:rsidP="00107BEE">
      <w:pPr>
        <w:pStyle w:val="ListParagraph"/>
        <w:numPr>
          <w:ilvl w:val="0"/>
          <w:numId w:val="6"/>
        </w:numPr>
      </w:pPr>
      <w:r w:rsidRPr="0054775B">
        <w:t xml:space="preserve">31 </w:t>
      </w:r>
      <w:r w:rsidR="00417802">
        <w:t>reviews</w:t>
      </w:r>
      <w:r w:rsidR="00417802" w:rsidRPr="0054775B">
        <w:t xml:space="preserve"> </w:t>
      </w:r>
      <w:r w:rsidRPr="0054775B">
        <w:t>were ongoing (</w:t>
      </w:r>
      <w:r w:rsidR="007D2E60" w:rsidRPr="0054775B">
        <w:t xml:space="preserve">citation details recorded in Appendix </w:t>
      </w:r>
      <w:r w:rsidR="00AB39C0">
        <w:t>C4</w:t>
      </w:r>
      <w:r w:rsidRPr="0054775B">
        <w:t>)</w:t>
      </w:r>
    </w:p>
    <w:p w14:paraId="1E227417" w14:textId="5F095345" w:rsidR="00146847" w:rsidRPr="0054775B" w:rsidRDefault="00AB2F12" w:rsidP="00107BEE">
      <w:pPr>
        <w:pStyle w:val="ListParagraph"/>
        <w:numPr>
          <w:ilvl w:val="0"/>
          <w:numId w:val="6"/>
        </w:numPr>
      </w:pPr>
      <w:r w:rsidRPr="0054775B">
        <w:t>1</w:t>
      </w:r>
      <w:r w:rsidRPr="0054775B" w:rsidDel="003C2AC9">
        <w:t xml:space="preserve"> </w:t>
      </w:r>
      <w:r w:rsidR="003C2AC9">
        <w:t>review</w:t>
      </w:r>
      <w:r w:rsidR="003C2AC9" w:rsidRPr="0054775B">
        <w:t xml:space="preserve"> </w:t>
      </w:r>
      <w:r w:rsidRPr="0054775B">
        <w:t xml:space="preserve">was published in languages other than English (citation details recorded in “Reviews awaiting classification” table in Appendix </w:t>
      </w:r>
      <w:r w:rsidR="00AB39C0">
        <w:t>C3</w:t>
      </w:r>
      <w:r w:rsidRPr="0054775B">
        <w:t xml:space="preserve">) </w:t>
      </w:r>
    </w:p>
    <w:p w14:paraId="57907EAF" w14:textId="29CBD074" w:rsidR="005E11D0" w:rsidRPr="0054775B" w:rsidRDefault="00146847" w:rsidP="00107BEE">
      <w:pPr>
        <w:pStyle w:val="ListParagraph"/>
        <w:numPr>
          <w:ilvl w:val="0"/>
          <w:numId w:val="6"/>
        </w:numPr>
      </w:pPr>
      <w:r w:rsidRPr="0054775B">
        <w:t xml:space="preserve">80 </w:t>
      </w:r>
      <w:r w:rsidR="00417802">
        <w:t>reviews</w:t>
      </w:r>
      <w:r w:rsidR="00417802" w:rsidRPr="0054775B">
        <w:t xml:space="preserve"> </w:t>
      </w:r>
      <w:r w:rsidRPr="0054775B">
        <w:t xml:space="preserve">did not meet inclusion criteria (citation details and </w:t>
      </w:r>
      <w:r w:rsidR="001332AF" w:rsidRPr="0054775B">
        <w:t xml:space="preserve">reasons for exclusion recorded in Appendix </w:t>
      </w:r>
      <w:r w:rsidR="004D1993">
        <w:t>C1</w:t>
      </w:r>
      <w:r w:rsidRPr="0054775B">
        <w:t xml:space="preserve">) </w:t>
      </w:r>
    </w:p>
    <w:p w14:paraId="5F42E706" w14:textId="43FD6101" w:rsidR="000F5E0E" w:rsidRPr="0054775B" w:rsidRDefault="000F5E0E" w:rsidP="009E6F7F">
      <w:r w:rsidRPr="0054775B">
        <w:t xml:space="preserve">Following assessment, </w:t>
      </w:r>
      <w:r w:rsidR="005A75FB" w:rsidRPr="0054775B">
        <w:t>2</w:t>
      </w:r>
      <w:r w:rsidR="007B61FA" w:rsidRPr="0054775B">
        <w:t>6</w:t>
      </w:r>
      <w:r w:rsidRPr="0054775B">
        <w:t xml:space="preserve"> reviews met the inclusion criteria. A full PRISMA flowchart is presented below. </w:t>
      </w:r>
    </w:p>
    <w:p w14:paraId="24A5BC67" w14:textId="44E1538C" w:rsidR="000F5E0E" w:rsidRPr="0054775B" w:rsidRDefault="000F5E0E" w:rsidP="009760CB">
      <w:pPr>
        <w:pStyle w:val="2024TABLECAPTION"/>
        <w:rPr>
          <w:rFonts w:ascii="Aptos" w:hAnsi="Aptos"/>
        </w:rPr>
      </w:pPr>
      <w:bookmarkStart w:id="83" w:name="_Toc178348008"/>
      <w:r w:rsidRPr="0054775B">
        <w:rPr>
          <w:rFonts w:ascii="Aptos" w:hAnsi="Aptos"/>
          <w:noProof/>
          <w:highlight w:val="yellow"/>
        </w:rPr>
        <w:lastRenderedPageBreak/>
        <mc:AlternateContent>
          <mc:Choice Requires="wpg">
            <w:drawing>
              <wp:anchor distT="0" distB="0" distL="114300" distR="114300" simplePos="0" relativeHeight="251658255" behindDoc="0" locked="0" layoutInCell="1" allowOverlap="1" wp14:anchorId="136596EE" wp14:editId="29592F1F">
                <wp:simplePos x="0" y="0"/>
                <wp:positionH relativeFrom="column">
                  <wp:posOffset>8890</wp:posOffset>
                </wp:positionH>
                <wp:positionV relativeFrom="paragraph">
                  <wp:posOffset>248285</wp:posOffset>
                </wp:positionV>
                <wp:extent cx="5339080" cy="4725035"/>
                <wp:effectExtent l="0" t="0" r="7620" b="12065"/>
                <wp:wrapSquare wrapText="bothSides"/>
                <wp:docPr id="1524890503" name="Group 1524890503"/>
                <wp:cNvGraphicFramePr/>
                <a:graphic xmlns:a="http://schemas.openxmlformats.org/drawingml/2006/main">
                  <a:graphicData uri="http://schemas.microsoft.com/office/word/2010/wordprocessingGroup">
                    <wpg:wgp>
                      <wpg:cNvGrpSpPr/>
                      <wpg:grpSpPr>
                        <a:xfrm>
                          <a:off x="0" y="0"/>
                          <a:ext cx="5339080" cy="4725035"/>
                          <a:chOff x="0" y="0"/>
                          <a:chExt cx="5536496" cy="4444498"/>
                        </a:xfrm>
                      </wpg:grpSpPr>
                      <wps:wsp>
                        <wps:cNvPr id="303497789" name="Rectangle 303497789"/>
                        <wps:cNvSpPr/>
                        <wps:spPr>
                          <a:xfrm>
                            <a:off x="3180705" y="425302"/>
                            <a:ext cx="2355790" cy="83947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F5AF938" w14:textId="77777777" w:rsidR="000F5E0E" w:rsidRPr="000A34EA" w:rsidRDefault="000F5E0E" w:rsidP="009760CB">
                              <w:pPr>
                                <w:pStyle w:val="2024-PRISMA"/>
                              </w:pPr>
                              <w:r w:rsidRPr="000A34EA">
                                <w:t>Records removed before screening:</w:t>
                              </w:r>
                            </w:p>
                            <w:p w14:paraId="5017931D" w14:textId="586524D9" w:rsidR="000F5E0E" w:rsidRPr="000A34EA" w:rsidRDefault="000F5E0E" w:rsidP="009760CB">
                              <w:pPr>
                                <w:pStyle w:val="2024-PRISMA"/>
                              </w:pPr>
                              <w:r w:rsidRPr="000A34EA">
                                <w:t xml:space="preserve">Duplicate records removed (n = </w:t>
                              </w:r>
                              <w:r w:rsidR="002C5293">
                                <w:t>37</w:t>
                              </w:r>
                              <w:r w:rsidRPr="000A34EA">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06101445" name="Rectangle 1506101445"/>
                        <wps:cNvSpPr/>
                        <wps:spPr>
                          <a:xfrm>
                            <a:off x="2987749" y="1509823"/>
                            <a:ext cx="1887220" cy="52641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511E692" w14:textId="77777777" w:rsidR="000F5E0E" w:rsidRPr="000A34EA" w:rsidRDefault="000F5E0E" w:rsidP="009760CB">
                              <w:pPr>
                                <w:pStyle w:val="2024-PRISMA"/>
                              </w:pPr>
                              <w:r w:rsidRPr="000A34EA">
                                <w:t>Records excluded</w:t>
                              </w:r>
                            </w:p>
                            <w:p w14:paraId="4AC75CBC" w14:textId="135F6861" w:rsidR="000F5E0E" w:rsidRPr="000A34EA" w:rsidRDefault="000F5E0E" w:rsidP="009760CB">
                              <w:pPr>
                                <w:pStyle w:val="2024-PRISMA"/>
                              </w:pPr>
                              <w:r w:rsidRPr="000A34EA">
                                <w:t xml:space="preserve">(n = </w:t>
                              </w:r>
                              <w:r w:rsidR="00501B68">
                                <w:t>90</w:t>
                              </w:r>
                              <w:r w:rsidR="00D033C5">
                                <w:t>4</w:t>
                              </w:r>
                              <w:r w:rsidRPr="000A34EA">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11544999" name="Rectangle 1711544999"/>
                        <wps:cNvSpPr/>
                        <wps:spPr>
                          <a:xfrm>
                            <a:off x="2987749" y="2188597"/>
                            <a:ext cx="2548745" cy="78274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8DD7F90" w14:textId="2795A8A8" w:rsidR="000F5E0E" w:rsidRDefault="000F5E0E" w:rsidP="009760CB">
                              <w:pPr>
                                <w:pStyle w:val="2024-PRISMA"/>
                              </w:pPr>
                              <w:r>
                                <w:t>Full-text unavailable</w:t>
                              </w:r>
                              <w:r w:rsidRPr="000A34EA">
                                <w:t xml:space="preserve"> (n</w:t>
                              </w:r>
                              <w:r>
                                <w:t xml:space="preserve"> = </w:t>
                              </w:r>
                              <w:r w:rsidR="000356F6">
                                <w:t>5</w:t>
                              </w:r>
                              <w:r w:rsidRPr="000A34EA">
                                <w:t>)</w:t>
                              </w:r>
                            </w:p>
                            <w:p w14:paraId="047375BB" w14:textId="1A4536AE" w:rsidR="000F5E0E" w:rsidRPr="000A34EA" w:rsidRDefault="000F5E0E" w:rsidP="009760CB">
                              <w:pPr>
                                <w:pStyle w:val="2024-PRISMA"/>
                              </w:pPr>
                              <w:r>
                                <w:t>Ongoing study</w:t>
                              </w:r>
                              <w:r w:rsidRPr="000A34EA">
                                <w:t xml:space="preserve"> (n</w:t>
                              </w:r>
                              <w:r>
                                <w:t xml:space="preserve"> = </w:t>
                              </w:r>
                              <w:r w:rsidR="008D01A1">
                                <w:t>31</w:t>
                              </w:r>
                              <w:r w:rsidRPr="000A34EA">
                                <w:t>)</w:t>
                              </w:r>
                            </w:p>
                            <w:p w14:paraId="62E6436D" w14:textId="77777777" w:rsidR="00565A64" w:rsidRPr="000A34EA" w:rsidRDefault="00565A64" w:rsidP="00565A64">
                              <w:pPr>
                                <w:pStyle w:val="2024-PRISMA"/>
                              </w:pPr>
                              <w:r>
                                <w:t>Conference abstracts (n = 0)</w:t>
                              </w:r>
                            </w:p>
                            <w:p w14:paraId="5C78462C" w14:textId="0692A1E0" w:rsidR="000F5E0E" w:rsidRDefault="0097733F" w:rsidP="009760CB">
                              <w:pPr>
                                <w:pStyle w:val="2024-PRISMA"/>
                              </w:pPr>
                              <w:r>
                                <w:t>Reviews</w:t>
                              </w:r>
                              <w:r w:rsidRPr="008C6127">
                                <w:t xml:space="preserve"> </w:t>
                              </w:r>
                              <w:r w:rsidR="000F5E0E" w:rsidRPr="000A34EA">
                                <w:t xml:space="preserve">Awaiting Classification (n = </w:t>
                              </w:r>
                              <w:r w:rsidR="008D01A1">
                                <w:t>1</w:t>
                              </w:r>
                              <w:r w:rsidR="000F5E0E" w:rsidRPr="000A34EA">
                                <w:t>)</w:t>
                              </w:r>
                            </w:p>
                            <w:p w14:paraId="1A0EA7CC" w14:textId="105A1099" w:rsidR="000F5E0E" w:rsidRPr="000A34EA" w:rsidRDefault="008D01A1" w:rsidP="009760CB">
                              <w:pPr>
                                <w:pStyle w:val="2024-PRISMA"/>
                              </w:pPr>
                              <w:r>
                                <w:t>Discontinued studies (n = 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9582489" name="Rectangle 359582489"/>
                        <wps:cNvSpPr/>
                        <wps:spPr>
                          <a:xfrm>
                            <a:off x="2987748" y="3050627"/>
                            <a:ext cx="2548746" cy="139387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A67BF7C" w14:textId="7662D087" w:rsidR="000F5E0E" w:rsidRDefault="000F5E0E" w:rsidP="009760CB">
                              <w:pPr>
                                <w:pStyle w:val="2024-PRISMA"/>
                              </w:pPr>
                              <w:r w:rsidRPr="000A34EA">
                                <w:t xml:space="preserve">Reports excluded (n = </w:t>
                              </w:r>
                              <w:r w:rsidR="00D033C5">
                                <w:t>8</w:t>
                              </w:r>
                              <w:r w:rsidR="00D033C5" w:rsidDel="00D02639">
                                <w:t>0</w:t>
                              </w:r>
                              <w:r w:rsidRPr="000A34EA">
                                <w:t>)</w:t>
                              </w:r>
                              <w:r w:rsidR="00152FA3">
                                <w:t>:</w:t>
                              </w:r>
                            </w:p>
                            <w:p w14:paraId="57B2C300" w14:textId="767F4CEC" w:rsidR="00342304" w:rsidRDefault="00342304" w:rsidP="00F76BC8">
                              <w:pPr>
                                <w:pStyle w:val="2024-PRISMA"/>
                              </w:pPr>
                              <w:r>
                                <w:t>Wrong study design (n</w:t>
                              </w:r>
                              <w:r w:rsidR="00E71EA5">
                                <w:t xml:space="preserve"> </w:t>
                              </w:r>
                              <w:r>
                                <w:t>=</w:t>
                              </w:r>
                              <w:r w:rsidR="00E71EA5">
                                <w:t xml:space="preserve"> </w:t>
                              </w:r>
                              <w:r w:rsidR="00A94E39">
                                <w:t>1</w:t>
                              </w:r>
                              <w:r w:rsidR="00D033C5">
                                <w:t>2</w:t>
                              </w:r>
                              <w:r>
                                <w:t>)</w:t>
                              </w:r>
                            </w:p>
                            <w:p w14:paraId="23D68CEE" w14:textId="2AE8C338" w:rsidR="00F76BC8" w:rsidRDefault="00F76BC8" w:rsidP="00F76BC8">
                              <w:pPr>
                                <w:pStyle w:val="2024-PRISMA"/>
                              </w:pPr>
                              <w:r>
                                <w:t xml:space="preserve">Wrong population (n = </w:t>
                              </w:r>
                              <w:r w:rsidR="006712B5">
                                <w:t>1</w:t>
                              </w:r>
                              <w:r w:rsidR="00D033C5">
                                <w:t>6</w:t>
                              </w:r>
                              <w:r>
                                <w:t>)</w:t>
                              </w:r>
                            </w:p>
                            <w:p w14:paraId="78E94C37" w14:textId="63CEA4AD" w:rsidR="00F76BC8" w:rsidRPr="000A34EA" w:rsidRDefault="00F76BC8" w:rsidP="00F76BC8">
                              <w:pPr>
                                <w:pStyle w:val="2024-PRISMA"/>
                              </w:pPr>
                              <w:r w:rsidRPr="000A34EA">
                                <w:t xml:space="preserve">Wrong intervention (n = </w:t>
                              </w:r>
                              <w:r w:rsidR="00D033C5">
                                <w:t>1</w:t>
                              </w:r>
                              <w:r w:rsidR="00047777">
                                <w:t>2</w:t>
                              </w:r>
                              <w:r w:rsidRPr="000A34EA">
                                <w:t>)</w:t>
                              </w:r>
                            </w:p>
                            <w:p w14:paraId="590AEF75" w14:textId="032C9E1B" w:rsidR="006712B5" w:rsidRPr="000A34EA" w:rsidRDefault="006712B5" w:rsidP="006712B5">
                              <w:pPr>
                                <w:pStyle w:val="2024-PRISMA"/>
                              </w:pPr>
                              <w:r w:rsidRPr="000A34EA">
                                <w:t xml:space="preserve">Wrong </w:t>
                              </w:r>
                              <w:r>
                                <w:t>comparator</w:t>
                              </w:r>
                              <w:r w:rsidRPr="000A34EA">
                                <w:t xml:space="preserve"> (n = </w:t>
                              </w:r>
                              <w:r w:rsidR="00803978">
                                <w:t>4</w:t>
                              </w:r>
                              <w:r w:rsidRPr="000A34EA">
                                <w:t>)</w:t>
                              </w:r>
                            </w:p>
                            <w:p w14:paraId="291DDE4E" w14:textId="6FC0BB6D" w:rsidR="00F76BC8" w:rsidRDefault="00F76BC8" w:rsidP="00F76BC8">
                              <w:pPr>
                                <w:pStyle w:val="2024-PRISMA"/>
                              </w:pPr>
                              <w:r w:rsidRPr="000A34EA">
                                <w:t xml:space="preserve">Wrong outcomes (n = </w:t>
                              </w:r>
                              <w:r w:rsidR="00D033C5">
                                <w:t>7</w:t>
                              </w:r>
                              <w:r w:rsidRPr="000A34EA">
                                <w:t>)</w:t>
                              </w:r>
                            </w:p>
                            <w:p w14:paraId="7DC9C832" w14:textId="68C582DB" w:rsidR="00032587" w:rsidRPr="000A34EA" w:rsidRDefault="00E8433F" w:rsidP="00F76BC8">
                              <w:pPr>
                                <w:pStyle w:val="2024-PRISMA"/>
                              </w:pPr>
                              <w:r>
                                <w:t>P</w:t>
                              </w:r>
                              <w:r w:rsidR="00032587" w:rsidRPr="00032587">
                                <w:t>opulation does not meet at-risk definition</w:t>
                              </w:r>
                              <w:r w:rsidR="00032587">
                                <w:t xml:space="preserve"> (n = 2)</w:t>
                              </w:r>
                            </w:p>
                            <w:p w14:paraId="0DCD9B96" w14:textId="6D975747" w:rsidR="00F76BC8" w:rsidRPr="000A34EA" w:rsidRDefault="00F76BC8" w:rsidP="009760CB">
                              <w:pPr>
                                <w:pStyle w:val="2024-PRISMA"/>
                              </w:pPr>
                              <w:r>
                                <w:t xml:space="preserve">Does not meet minimum criteria for systematic review (n = </w:t>
                              </w:r>
                              <w:r w:rsidR="00342304">
                                <w:t>2</w:t>
                              </w:r>
                              <w:r w:rsidR="00502C32">
                                <w:t>7</w:t>
                              </w:r>
                              <w: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20933095" name="Straight Arrow Connector 2120933095"/>
                        <wps:cNvCnPr/>
                        <wps:spPr>
                          <a:xfrm>
                            <a:off x="2424224" y="975833"/>
                            <a:ext cx="756482"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740142353" name="Straight Arrow Connector 1740142353"/>
                        <wps:cNvCnPr/>
                        <wps:spPr>
                          <a:xfrm>
                            <a:off x="2392326" y="1720112"/>
                            <a:ext cx="563245"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438980684" name="Straight Arrow Connector 1438980684"/>
                        <wps:cNvCnPr/>
                        <wps:spPr>
                          <a:xfrm>
                            <a:off x="2402958" y="2421861"/>
                            <a:ext cx="563245"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29424004" name="Straight Arrow Connector 229424004"/>
                        <wps:cNvCnPr/>
                        <wps:spPr>
                          <a:xfrm>
                            <a:off x="2413591" y="3155507"/>
                            <a:ext cx="563245"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027095184" name="Flowchart: Alternate Process 31"/>
                        <wps:cNvSpPr/>
                        <wps:spPr>
                          <a:xfrm rot="16200000">
                            <a:off x="-302017" y="709863"/>
                            <a:ext cx="1009400" cy="339306"/>
                          </a:xfrm>
                          <a:prstGeom prst="flowChartAlternateProcess">
                            <a:avLst/>
                          </a:prstGeom>
                          <a:solidFill>
                            <a:schemeClr val="accent5">
                              <a:lumMod val="60000"/>
                              <a:lumOff val="40000"/>
                            </a:schemeClr>
                          </a:solidFill>
                          <a:ln>
                            <a:solidFill>
                              <a:schemeClr val="tx1"/>
                            </a:solidFill>
                          </a:ln>
                        </wps:spPr>
                        <wps:style>
                          <a:lnRef idx="2">
                            <a:schemeClr val="accent4">
                              <a:shade val="50000"/>
                            </a:schemeClr>
                          </a:lnRef>
                          <a:fillRef idx="1">
                            <a:schemeClr val="accent4"/>
                          </a:fillRef>
                          <a:effectRef idx="0">
                            <a:schemeClr val="accent4"/>
                          </a:effectRef>
                          <a:fontRef idx="minor">
                            <a:schemeClr val="lt1"/>
                          </a:fontRef>
                        </wps:style>
                        <wps:txbx>
                          <w:txbxContent>
                            <w:p w14:paraId="2FF6DB7E" w14:textId="77777777" w:rsidR="000F5E0E" w:rsidRPr="001428E8" w:rsidRDefault="000F5E0E" w:rsidP="001428E8">
                              <w:pPr>
                                <w:pStyle w:val="2024-PRISMA"/>
                                <w:jc w:val="center"/>
                                <w:rPr>
                                  <w:b/>
                                </w:rPr>
                              </w:pPr>
                              <w:r w:rsidRPr="001428E8">
                                <w:rPr>
                                  <w:b/>
                                </w:rPr>
                                <w:t>Identification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08652987" name="Flowchart: Alternate Process 32"/>
                        <wps:cNvSpPr/>
                        <wps:spPr>
                          <a:xfrm rot="16200000">
                            <a:off x="-904928" y="2399561"/>
                            <a:ext cx="2215303" cy="339226"/>
                          </a:xfrm>
                          <a:prstGeom prst="flowChartAlternateProcess">
                            <a:avLst/>
                          </a:prstGeom>
                          <a:solidFill>
                            <a:schemeClr val="accent5">
                              <a:lumMod val="60000"/>
                              <a:lumOff val="40000"/>
                            </a:schemeClr>
                          </a:solidFill>
                          <a:ln>
                            <a:solidFill>
                              <a:schemeClr val="tx1"/>
                            </a:solidFill>
                          </a:ln>
                        </wps:spPr>
                        <wps:style>
                          <a:lnRef idx="2">
                            <a:schemeClr val="accent4">
                              <a:shade val="50000"/>
                            </a:schemeClr>
                          </a:lnRef>
                          <a:fillRef idx="1">
                            <a:schemeClr val="accent4"/>
                          </a:fillRef>
                          <a:effectRef idx="0">
                            <a:schemeClr val="accent4"/>
                          </a:effectRef>
                          <a:fontRef idx="minor">
                            <a:schemeClr val="lt1"/>
                          </a:fontRef>
                        </wps:style>
                        <wps:txbx>
                          <w:txbxContent>
                            <w:p w14:paraId="777E4B42" w14:textId="77777777" w:rsidR="000F5E0E" w:rsidRPr="001428E8" w:rsidRDefault="000F5E0E" w:rsidP="001428E8">
                              <w:pPr>
                                <w:pStyle w:val="2024-PRISMA"/>
                                <w:jc w:val="center"/>
                                <w:rPr>
                                  <w:b/>
                                </w:rPr>
                              </w:pPr>
                              <w:r w:rsidRPr="001428E8">
                                <w:rPr>
                                  <w:b/>
                                </w:rPr>
                                <w:t>Screening</w:t>
                              </w:r>
                            </w:p>
                            <w:p w14:paraId="431A1923" w14:textId="77777777" w:rsidR="000F5E0E" w:rsidRPr="001428E8" w:rsidRDefault="000F5E0E" w:rsidP="001428E8">
                              <w:pPr>
                                <w:pStyle w:val="2024-PRISMA"/>
                                <w:jc w:val="center"/>
                                <w:rPr>
                                  <w: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09803858" name="Flowchart: Alternate Process 33"/>
                        <wps:cNvSpPr/>
                        <wps:spPr>
                          <a:xfrm rot="16200000">
                            <a:off x="-157105" y="3923542"/>
                            <a:ext cx="711091" cy="330821"/>
                          </a:xfrm>
                          <a:prstGeom prst="flowChartAlternateProcess">
                            <a:avLst/>
                          </a:prstGeom>
                          <a:solidFill>
                            <a:schemeClr val="accent5">
                              <a:lumMod val="60000"/>
                              <a:lumOff val="40000"/>
                            </a:schemeClr>
                          </a:solidFill>
                          <a:ln>
                            <a:solidFill>
                              <a:schemeClr val="tx1"/>
                            </a:solidFill>
                          </a:ln>
                        </wps:spPr>
                        <wps:style>
                          <a:lnRef idx="2">
                            <a:schemeClr val="accent4">
                              <a:shade val="50000"/>
                            </a:schemeClr>
                          </a:lnRef>
                          <a:fillRef idx="1">
                            <a:schemeClr val="accent4"/>
                          </a:fillRef>
                          <a:effectRef idx="0">
                            <a:schemeClr val="accent4"/>
                          </a:effectRef>
                          <a:fontRef idx="minor">
                            <a:schemeClr val="lt1"/>
                          </a:fontRef>
                        </wps:style>
                        <wps:txbx>
                          <w:txbxContent>
                            <w:p w14:paraId="3DCC9483" w14:textId="77777777" w:rsidR="000F5E0E" w:rsidRPr="001428E8" w:rsidRDefault="000F5E0E" w:rsidP="001428E8">
                              <w:pPr>
                                <w:pStyle w:val="2024-PRISMA"/>
                                <w:jc w:val="center"/>
                                <w:rPr>
                                  <w:b/>
                                </w:rPr>
                              </w:pPr>
                              <w:r w:rsidRPr="001428E8">
                                <w:rPr>
                                  <w:b/>
                                </w:rPr>
                                <w:t>Included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55095353" name="Straight Arrow Connector 1255095353"/>
                        <wps:cNvCnPr/>
                        <wps:spPr>
                          <a:xfrm>
                            <a:off x="1339407" y="1233377"/>
                            <a:ext cx="0" cy="28130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116348989" name="Straight Arrow Connector 2116348989"/>
                        <wps:cNvCnPr/>
                        <wps:spPr>
                          <a:xfrm>
                            <a:off x="1339407" y="1967023"/>
                            <a:ext cx="0" cy="28130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164776706" name="Straight Arrow Connector 1164776706"/>
                        <wps:cNvCnPr/>
                        <wps:spPr>
                          <a:xfrm>
                            <a:off x="1350040" y="2690037"/>
                            <a:ext cx="0" cy="28130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660026627" name="Straight Arrow Connector 1660026627"/>
                        <wps:cNvCnPr/>
                        <wps:spPr>
                          <a:xfrm>
                            <a:off x="1339406" y="3101356"/>
                            <a:ext cx="0" cy="74612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377805648" name="Flowchart: Alternate Process 29"/>
                        <wps:cNvSpPr/>
                        <wps:spPr>
                          <a:xfrm>
                            <a:off x="0" y="0"/>
                            <a:ext cx="5536496" cy="291848"/>
                          </a:xfrm>
                          <a:prstGeom prst="flowChartAlternateProcess">
                            <a:avLst/>
                          </a:prstGeom>
                        </wps:spPr>
                        <wps:style>
                          <a:lnRef idx="2">
                            <a:schemeClr val="accent4">
                              <a:shade val="50000"/>
                            </a:schemeClr>
                          </a:lnRef>
                          <a:fillRef idx="1">
                            <a:schemeClr val="accent4"/>
                          </a:fillRef>
                          <a:effectRef idx="0">
                            <a:schemeClr val="accent4"/>
                          </a:effectRef>
                          <a:fontRef idx="minor">
                            <a:schemeClr val="lt1"/>
                          </a:fontRef>
                        </wps:style>
                        <wps:txbx>
                          <w:txbxContent>
                            <w:p w14:paraId="44AE1E03" w14:textId="1B1BCE34" w:rsidR="000F5E0E" w:rsidRPr="001428E8" w:rsidRDefault="000F5E0E" w:rsidP="001428E8">
                              <w:pPr>
                                <w:pStyle w:val="2024-PRISMA"/>
                                <w:jc w:val="center"/>
                                <w:rPr>
                                  <w:b/>
                                </w:rPr>
                              </w:pPr>
                              <w:r w:rsidRPr="001428E8">
                                <w:rPr>
                                  <w:b/>
                                </w:rPr>
                                <w:t xml:space="preserve">Identification of </w:t>
                              </w:r>
                              <w:r w:rsidR="00F16851">
                                <w:rPr>
                                  <w:b/>
                                </w:rPr>
                                <w:t>reviews</w:t>
                              </w:r>
                              <w:r w:rsidR="00F16851" w:rsidRPr="001428E8">
                                <w:rPr>
                                  <w:b/>
                                </w:rPr>
                                <w:t xml:space="preserve"> </w:t>
                              </w:r>
                              <w:r w:rsidRPr="001428E8">
                                <w:rPr>
                                  <w:b/>
                                </w:rPr>
                                <w:t>via databases and registers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22849141" name="Rectangle 522849141"/>
                        <wps:cNvSpPr/>
                        <wps:spPr>
                          <a:xfrm>
                            <a:off x="499730" y="425302"/>
                            <a:ext cx="2455839" cy="839972"/>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06585F2" w14:textId="6BE97368" w:rsidR="000F5E0E" w:rsidRPr="000A34EA" w:rsidRDefault="000F5E0E" w:rsidP="009760CB">
                              <w:pPr>
                                <w:pStyle w:val="2024-PRISMA"/>
                              </w:pPr>
                              <w:r w:rsidRPr="000A34EA">
                                <w:t>Records identified from:</w:t>
                              </w:r>
                            </w:p>
                            <w:p w14:paraId="11D07EA4" w14:textId="7D16420A" w:rsidR="000F5E0E" w:rsidRPr="000A34EA" w:rsidRDefault="000F5E0E" w:rsidP="009760CB">
                              <w:pPr>
                                <w:pStyle w:val="2024-PRISMA"/>
                              </w:pPr>
                              <w:r w:rsidRPr="000A34EA">
                                <w:t xml:space="preserve">Databases and registers (n = </w:t>
                              </w:r>
                              <w:r w:rsidR="002C5293">
                                <w:t>1075</w:t>
                              </w:r>
                              <w:r w:rsidRPr="000A34EA">
                                <w:t>)</w:t>
                              </w:r>
                            </w:p>
                            <w:p w14:paraId="0697185F" w14:textId="4D5ECDBD" w:rsidR="000F5E0E" w:rsidRDefault="000F5E0E" w:rsidP="009760CB">
                              <w:pPr>
                                <w:pStyle w:val="2024-PRISMA"/>
                              </w:pPr>
                              <w:r w:rsidRPr="000A34EA">
                                <w:t>Manual</w:t>
                              </w:r>
                              <w:r>
                                <w:t xml:space="preserve"> or </w:t>
                              </w:r>
                              <w:r w:rsidRPr="000A34EA">
                                <w:t xml:space="preserve">citation </w:t>
                              </w:r>
                              <w:r>
                                <w:t xml:space="preserve">searching </w:t>
                              </w:r>
                              <w:r w:rsidRPr="000A34EA">
                                <w:t xml:space="preserve">(n = </w:t>
                              </w:r>
                              <w:r w:rsidR="00F54F99">
                                <w:t>1</w:t>
                              </w:r>
                              <w:r w:rsidRPr="000A34EA">
                                <w:t>)</w:t>
                              </w:r>
                            </w:p>
                            <w:p w14:paraId="6D8EB03A" w14:textId="7B256566" w:rsidR="000F5E0E" w:rsidRPr="000A34EA" w:rsidRDefault="000F5E0E" w:rsidP="009760CB">
                              <w:pPr>
                                <w:pStyle w:val="2024-PRISMA"/>
                              </w:pPr>
                              <w:r>
                                <w:t>Department’s call for evidence</w:t>
                              </w:r>
                              <w:r w:rsidRPr="000A34EA">
                                <w:t xml:space="preserve"> (n = </w:t>
                              </w:r>
                              <w:r w:rsidR="002C5293">
                                <w:t>9</w:t>
                              </w:r>
                              <w:r w:rsidRPr="000A34EA">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40510394" name="Rectangle 440510394"/>
                        <wps:cNvSpPr/>
                        <wps:spPr>
                          <a:xfrm>
                            <a:off x="499731" y="1520456"/>
                            <a:ext cx="1887220" cy="52641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5E0BB7E" w14:textId="77777777" w:rsidR="000F5E0E" w:rsidRPr="000A34EA" w:rsidRDefault="000F5E0E" w:rsidP="009760CB">
                              <w:pPr>
                                <w:pStyle w:val="2024-PRISMA"/>
                              </w:pPr>
                              <w:r w:rsidRPr="000A34EA">
                                <w:t>Records screened</w:t>
                              </w:r>
                            </w:p>
                            <w:p w14:paraId="2985A1D9" w14:textId="5C76CD86" w:rsidR="000F5E0E" w:rsidRPr="000A34EA" w:rsidRDefault="000F5E0E" w:rsidP="009760CB">
                              <w:pPr>
                                <w:pStyle w:val="2024-PRISMA"/>
                              </w:pPr>
                              <w:r w:rsidRPr="000A34EA">
                                <w:t xml:space="preserve">(n = </w:t>
                              </w:r>
                              <w:r w:rsidR="004B458E">
                                <w:t>104</w:t>
                              </w:r>
                              <w:r w:rsidR="00F54F99">
                                <w:t>8</w:t>
                              </w:r>
                              <w:r w:rsidRPr="000A34EA">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82587567" name="Rectangle 782587567"/>
                        <wps:cNvSpPr/>
                        <wps:spPr>
                          <a:xfrm>
                            <a:off x="499731" y="2977116"/>
                            <a:ext cx="1887220" cy="52641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4B205F0" w14:textId="77777777" w:rsidR="000F5E0E" w:rsidRPr="000A34EA" w:rsidRDefault="000F5E0E" w:rsidP="009760CB">
                              <w:pPr>
                                <w:pStyle w:val="2024-PRISMA"/>
                              </w:pPr>
                              <w:r w:rsidRPr="000A34EA">
                                <w:t>Reports assessed for eligibility</w:t>
                              </w:r>
                            </w:p>
                            <w:p w14:paraId="0C9A90F2" w14:textId="386935B6" w:rsidR="000F5E0E" w:rsidRPr="000A34EA" w:rsidRDefault="000F5E0E" w:rsidP="009760CB">
                              <w:pPr>
                                <w:pStyle w:val="2024-PRISMA"/>
                              </w:pPr>
                              <w:r w:rsidRPr="000A34EA">
                                <w:t xml:space="preserve">(n = </w:t>
                              </w:r>
                              <w:r w:rsidR="00957DF7">
                                <w:t>1</w:t>
                              </w:r>
                              <w:r w:rsidR="000258FE">
                                <w:t>0</w:t>
                              </w:r>
                              <w:r w:rsidR="00F54F99">
                                <w:t>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77132719" name="Rectangle 1977132719"/>
                        <wps:cNvSpPr/>
                        <wps:spPr>
                          <a:xfrm>
                            <a:off x="489098" y="3845636"/>
                            <a:ext cx="1887220" cy="598861"/>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45FA04D" w14:textId="3E2AF40B" w:rsidR="000F5E0E" w:rsidRPr="000A34EA" w:rsidRDefault="00F16851" w:rsidP="009760CB">
                              <w:pPr>
                                <w:pStyle w:val="2024-PRISMA"/>
                              </w:pPr>
                              <w:r>
                                <w:t>Reviews</w:t>
                              </w:r>
                              <w:r w:rsidRPr="000A34EA">
                                <w:t xml:space="preserve"> </w:t>
                              </w:r>
                              <w:r w:rsidR="000F5E0E" w:rsidRPr="000A34EA">
                                <w:t xml:space="preserve">included in </w:t>
                              </w:r>
                              <w:r>
                                <w:t>over</w:t>
                              </w:r>
                              <w:r w:rsidR="000F5E0E" w:rsidRPr="000A34EA">
                                <w:t>view</w:t>
                              </w:r>
                            </w:p>
                            <w:p w14:paraId="53956F81" w14:textId="06D1BECC" w:rsidR="000F5E0E" w:rsidRPr="000A34EA" w:rsidRDefault="000F5E0E" w:rsidP="009760CB">
                              <w:pPr>
                                <w:pStyle w:val="2024-PRISMA"/>
                              </w:pPr>
                              <w:r w:rsidRPr="000A34EA">
                                <w:t xml:space="preserve">(n = </w:t>
                              </w:r>
                              <w:r w:rsidR="00F54F99">
                                <w:t>26</w:t>
                              </w:r>
                              <w:r w:rsidRPr="000A34EA">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09361781" name="Rectangle 609361781"/>
                        <wps:cNvSpPr/>
                        <wps:spPr>
                          <a:xfrm>
                            <a:off x="499731" y="2243470"/>
                            <a:ext cx="1887220" cy="52641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42F82D2" w14:textId="77777777" w:rsidR="000F5E0E" w:rsidRPr="000A34EA" w:rsidRDefault="000F5E0E" w:rsidP="009760CB">
                              <w:pPr>
                                <w:pStyle w:val="2024-PRISMA"/>
                              </w:pPr>
                              <w:r w:rsidRPr="000A34EA">
                                <w:t>Reports sought for retrieval</w:t>
                              </w:r>
                            </w:p>
                            <w:p w14:paraId="2DBA67B7" w14:textId="3B3B840C" w:rsidR="000F5E0E" w:rsidRPr="000A34EA" w:rsidRDefault="000F5E0E" w:rsidP="009760CB">
                              <w:pPr>
                                <w:pStyle w:val="2024-PRISMA"/>
                              </w:pPr>
                              <w:r w:rsidRPr="000A34EA">
                                <w:t xml:space="preserve">(n = </w:t>
                              </w:r>
                              <w:r w:rsidR="008D01A1">
                                <w:t>14</w:t>
                              </w:r>
                              <w:r w:rsidR="00F54F99">
                                <w:t>4</w:t>
                              </w:r>
                              <w:r w:rsidRPr="000A34EA">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36596EE" id="Group 1524890503" o:spid="_x0000_s1114" style="position:absolute;margin-left:.7pt;margin-top:19.55pt;width:420.4pt;height:372.05pt;z-index:251658255;mso-width-relative:margin;mso-height-relative:margin" coordsize="55364,444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">
                <v:rect id="Rectangle 303497789" o:spid="_x0000_s1115" style="position:absolute;left:31807;top:4253;width:23557;height:83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" filled="f" strokecolor="black [3213]" strokeweight="1pt">
                  <v:textbox>
                    <w:txbxContent>
                      <w:p w14:paraId="2F5AF938" w14:textId="77777777" w:rsidR="000F5E0E" w:rsidRPr="000A34EA" w:rsidRDefault="000F5E0E" w:rsidP="009760CB">
                        <w:pPr>
                          <w:pStyle w:val="2024-PRISMA"/>
                        </w:pPr>
                        <w:r w:rsidRPr="000A34EA">
                          <w:t>Records removed before screening:</w:t>
                        </w:r>
                      </w:p>
                      <w:p w14:paraId="5017931D" w14:textId="586524D9" w:rsidR="000F5E0E" w:rsidRPr="000A34EA" w:rsidRDefault="000F5E0E" w:rsidP="009760CB">
                        <w:pPr>
                          <w:pStyle w:val="2024-PRISMA"/>
                        </w:pPr>
                        <w:r w:rsidRPr="000A34EA">
                          <w:t xml:space="preserve">Duplicate records removed (n = </w:t>
                        </w:r>
                        <w:r w:rsidR="002C5293">
                          <w:t>37</w:t>
                        </w:r>
                        <w:r w:rsidRPr="000A34EA">
                          <w:t>)</w:t>
                        </w:r>
                      </w:p>
                    </w:txbxContent>
                  </v:textbox>
                </v:rect>
                <v:rect id="Rectangle 1506101445" o:spid="_x0000_s1116" style="position:absolute;left:29877;top:15098;width:18872;height:52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" filled="f" strokecolor="black [3213]" strokeweight="1pt">
                  <v:textbox>
                    <w:txbxContent>
                      <w:p w14:paraId="7511E692" w14:textId="77777777" w:rsidR="000F5E0E" w:rsidRPr="000A34EA" w:rsidRDefault="000F5E0E" w:rsidP="009760CB">
                        <w:pPr>
                          <w:pStyle w:val="2024-PRISMA"/>
                        </w:pPr>
                        <w:r w:rsidRPr="000A34EA">
                          <w:t>Records excluded</w:t>
                        </w:r>
                      </w:p>
                      <w:p w14:paraId="4AC75CBC" w14:textId="135F6861" w:rsidR="000F5E0E" w:rsidRPr="000A34EA" w:rsidRDefault="000F5E0E" w:rsidP="009760CB">
                        <w:pPr>
                          <w:pStyle w:val="2024-PRISMA"/>
                        </w:pPr>
                        <w:r w:rsidRPr="000A34EA">
                          <w:t xml:space="preserve">(n = </w:t>
                        </w:r>
                        <w:r w:rsidR="00501B68">
                          <w:t>90</w:t>
                        </w:r>
                        <w:r w:rsidR="00D033C5">
                          <w:t>4</w:t>
                        </w:r>
                        <w:r w:rsidRPr="000A34EA">
                          <w:t>)</w:t>
                        </w:r>
                      </w:p>
                    </w:txbxContent>
                  </v:textbox>
                </v:rect>
                <v:rect id="Rectangle 1711544999" o:spid="_x0000_s1117" style="position:absolute;left:29877;top:21885;width:25487;height:78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" filled="f" strokecolor="black [3213]" strokeweight="1pt">
                  <v:textbox>
                    <w:txbxContent>
                      <w:p w14:paraId="18DD7F90" w14:textId="2795A8A8" w:rsidR="000F5E0E" w:rsidRDefault="000F5E0E" w:rsidP="009760CB">
                        <w:pPr>
                          <w:pStyle w:val="2024-PRISMA"/>
                        </w:pPr>
                        <w:r>
                          <w:t>Full-text unavailable</w:t>
                        </w:r>
                        <w:r w:rsidRPr="000A34EA">
                          <w:t xml:space="preserve"> (n</w:t>
                        </w:r>
                        <w:r>
                          <w:t xml:space="preserve"> = </w:t>
                        </w:r>
                        <w:r w:rsidR="000356F6">
                          <w:t>5</w:t>
                        </w:r>
                        <w:r w:rsidRPr="000A34EA">
                          <w:t>)</w:t>
                        </w:r>
                      </w:p>
                      <w:p w14:paraId="047375BB" w14:textId="1A4536AE" w:rsidR="000F5E0E" w:rsidRPr="000A34EA" w:rsidRDefault="000F5E0E" w:rsidP="009760CB">
                        <w:pPr>
                          <w:pStyle w:val="2024-PRISMA"/>
                        </w:pPr>
                        <w:r>
                          <w:t>Ongoing study</w:t>
                        </w:r>
                        <w:r w:rsidRPr="000A34EA">
                          <w:t xml:space="preserve"> (n</w:t>
                        </w:r>
                        <w:r>
                          <w:t xml:space="preserve"> = </w:t>
                        </w:r>
                        <w:r w:rsidR="008D01A1">
                          <w:t>31</w:t>
                        </w:r>
                        <w:r w:rsidRPr="000A34EA">
                          <w:t>)</w:t>
                        </w:r>
                      </w:p>
                      <w:p w14:paraId="62E6436D" w14:textId="77777777" w:rsidR="00565A64" w:rsidRPr="000A34EA" w:rsidRDefault="00565A64" w:rsidP="00565A64">
                        <w:pPr>
                          <w:pStyle w:val="2024-PRISMA"/>
                        </w:pPr>
                        <w:r>
                          <w:t>Conference abstracts (n = 0)</w:t>
                        </w:r>
                      </w:p>
                      <w:p w14:paraId="5C78462C" w14:textId="0692A1E0" w:rsidR="000F5E0E" w:rsidRDefault="0097733F" w:rsidP="009760CB">
                        <w:pPr>
                          <w:pStyle w:val="2024-PRISMA"/>
                        </w:pPr>
                        <w:r>
                          <w:t>Reviews</w:t>
                        </w:r>
                        <w:r w:rsidRPr="008C6127">
                          <w:t xml:space="preserve"> </w:t>
                        </w:r>
                        <w:r w:rsidR="000F5E0E" w:rsidRPr="000A34EA">
                          <w:t xml:space="preserve">Awaiting Classification (n = </w:t>
                        </w:r>
                        <w:r w:rsidR="008D01A1">
                          <w:t>1</w:t>
                        </w:r>
                        <w:r w:rsidR="000F5E0E" w:rsidRPr="000A34EA">
                          <w:t>)</w:t>
                        </w:r>
                      </w:p>
                      <w:p w14:paraId="1A0EA7CC" w14:textId="105A1099" w:rsidR="000F5E0E" w:rsidRPr="000A34EA" w:rsidRDefault="008D01A1" w:rsidP="009760CB">
                        <w:pPr>
                          <w:pStyle w:val="2024-PRISMA"/>
                        </w:pPr>
                        <w:r>
                          <w:t>Discontinued studies (n = 1)</w:t>
                        </w:r>
                      </w:p>
                    </w:txbxContent>
                  </v:textbox>
                </v:rect>
                <v:rect id="Rectangle 359582489" o:spid="_x0000_s1118" style="position:absolute;left:29877;top:30506;width:25487;height:139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" filled="f" strokecolor="black [3213]" strokeweight="1pt">
                  <v:textbox>
                    <w:txbxContent>
                      <w:p w14:paraId="1A67BF7C" w14:textId="7662D087" w:rsidR="000F5E0E" w:rsidRDefault="000F5E0E" w:rsidP="009760CB">
                        <w:pPr>
                          <w:pStyle w:val="2024-PRISMA"/>
                        </w:pPr>
                        <w:r w:rsidRPr="000A34EA">
                          <w:t xml:space="preserve">Reports excluded (n = </w:t>
                        </w:r>
                        <w:r w:rsidR="00D033C5">
                          <w:t>8</w:t>
                        </w:r>
                        <w:r w:rsidR="00D033C5" w:rsidDel="00D02639">
                          <w:t>0</w:t>
                        </w:r>
                        <w:r w:rsidRPr="000A34EA">
                          <w:t>)</w:t>
                        </w:r>
                        <w:r w:rsidR="00152FA3">
                          <w:t>:</w:t>
                        </w:r>
                      </w:p>
                      <w:p w14:paraId="57B2C300" w14:textId="767F4CEC" w:rsidR="00342304" w:rsidRDefault="00342304" w:rsidP="00F76BC8">
                        <w:pPr>
                          <w:pStyle w:val="2024-PRISMA"/>
                        </w:pPr>
                        <w:r>
                          <w:t>Wrong study design (n</w:t>
                        </w:r>
                        <w:r w:rsidR="00E71EA5">
                          <w:t xml:space="preserve"> </w:t>
                        </w:r>
                        <w:r>
                          <w:t>=</w:t>
                        </w:r>
                        <w:r w:rsidR="00E71EA5">
                          <w:t xml:space="preserve"> </w:t>
                        </w:r>
                        <w:r w:rsidR="00A94E39">
                          <w:t>1</w:t>
                        </w:r>
                        <w:r w:rsidR="00D033C5">
                          <w:t>2</w:t>
                        </w:r>
                        <w:r>
                          <w:t>)</w:t>
                        </w:r>
                      </w:p>
                      <w:p w14:paraId="23D68CEE" w14:textId="2AE8C338" w:rsidR="00F76BC8" w:rsidRDefault="00F76BC8" w:rsidP="00F76BC8">
                        <w:pPr>
                          <w:pStyle w:val="2024-PRISMA"/>
                        </w:pPr>
                        <w:r>
                          <w:t xml:space="preserve">Wrong population (n = </w:t>
                        </w:r>
                        <w:r w:rsidR="006712B5">
                          <w:t>1</w:t>
                        </w:r>
                        <w:r w:rsidR="00D033C5">
                          <w:t>6</w:t>
                        </w:r>
                        <w:r>
                          <w:t>)</w:t>
                        </w:r>
                      </w:p>
                      <w:p w14:paraId="78E94C37" w14:textId="63CEA4AD" w:rsidR="00F76BC8" w:rsidRPr="000A34EA" w:rsidRDefault="00F76BC8" w:rsidP="00F76BC8">
                        <w:pPr>
                          <w:pStyle w:val="2024-PRISMA"/>
                        </w:pPr>
                        <w:r w:rsidRPr="000A34EA">
                          <w:t xml:space="preserve">Wrong intervention (n = </w:t>
                        </w:r>
                        <w:r w:rsidR="00D033C5">
                          <w:t>1</w:t>
                        </w:r>
                        <w:r w:rsidR="00047777">
                          <w:t>2</w:t>
                        </w:r>
                        <w:r w:rsidRPr="000A34EA">
                          <w:t>)</w:t>
                        </w:r>
                      </w:p>
                      <w:p w14:paraId="590AEF75" w14:textId="032C9E1B" w:rsidR="006712B5" w:rsidRPr="000A34EA" w:rsidRDefault="006712B5" w:rsidP="006712B5">
                        <w:pPr>
                          <w:pStyle w:val="2024-PRISMA"/>
                        </w:pPr>
                        <w:r w:rsidRPr="000A34EA">
                          <w:t xml:space="preserve">Wrong </w:t>
                        </w:r>
                        <w:r>
                          <w:t>comparator</w:t>
                        </w:r>
                        <w:r w:rsidRPr="000A34EA">
                          <w:t xml:space="preserve"> (n = </w:t>
                        </w:r>
                        <w:r w:rsidR="00803978">
                          <w:t>4</w:t>
                        </w:r>
                        <w:r w:rsidRPr="000A34EA">
                          <w:t>)</w:t>
                        </w:r>
                      </w:p>
                      <w:p w14:paraId="291DDE4E" w14:textId="6FC0BB6D" w:rsidR="00F76BC8" w:rsidRDefault="00F76BC8" w:rsidP="00F76BC8">
                        <w:pPr>
                          <w:pStyle w:val="2024-PRISMA"/>
                        </w:pPr>
                        <w:r w:rsidRPr="000A34EA">
                          <w:t xml:space="preserve">Wrong outcomes (n = </w:t>
                        </w:r>
                        <w:r w:rsidR="00D033C5">
                          <w:t>7</w:t>
                        </w:r>
                        <w:r w:rsidRPr="000A34EA">
                          <w:t>)</w:t>
                        </w:r>
                      </w:p>
                      <w:p w14:paraId="7DC9C832" w14:textId="68C582DB" w:rsidR="00032587" w:rsidRPr="000A34EA" w:rsidRDefault="00E8433F" w:rsidP="00F76BC8">
                        <w:pPr>
                          <w:pStyle w:val="2024-PRISMA"/>
                        </w:pPr>
                        <w:r>
                          <w:t>P</w:t>
                        </w:r>
                        <w:r w:rsidR="00032587" w:rsidRPr="00032587">
                          <w:t>opulation does not meet at-risk definition</w:t>
                        </w:r>
                        <w:r w:rsidR="00032587">
                          <w:t xml:space="preserve"> (n = 2)</w:t>
                        </w:r>
                      </w:p>
                      <w:p w14:paraId="0DCD9B96" w14:textId="6D975747" w:rsidR="00F76BC8" w:rsidRPr="000A34EA" w:rsidRDefault="00F76BC8" w:rsidP="009760CB">
                        <w:pPr>
                          <w:pStyle w:val="2024-PRISMA"/>
                        </w:pPr>
                        <w:r>
                          <w:t xml:space="preserve">Does not meet minimum criteria for systematic review (n = </w:t>
                        </w:r>
                        <w:r w:rsidR="00342304">
                          <w:t>2</w:t>
                        </w:r>
                        <w:r w:rsidR="00502C32">
                          <w:t>7</w:t>
                        </w:r>
                        <w:r>
                          <w:t>)</w:t>
                        </w:r>
                      </w:p>
                    </w:txbxContent>
                  </v:textbox>
                </v:rect>
                <v:shape id="Straight Arrow Connector 2120933095" o:spid="_x0000_s1119" type="#_x0000_t32" style="position:absolute;left:24242;top:9758;width:756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" strokecolor="black [3213]" strokeweight=".5pt">
                  <v:stroke endarrow="block" joinstyle="miter"/>
                </v:shape>
                <v:shape id="Straight Arrow Connector 1740142353" o:spid="_x0000_s1120" type="#_x0000_t32" style="position:absolute;left:23923;top:17201;width:563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" strokecolor="black [3213]" strokeweight=".5pt">
                  <v:stroke endarrow="block" joinstyle="miter"/>
                </v:shape>
                <v:shape id="Straight Arrow Connector 1438980684" o:spid="_x0000_s1121" type="#_x0000_t32" style="position:absolute;left:24029;top:24218;width:563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" strokecolor="black [3213]" strokeweight=".5pt">
                  <v:stroke endarrow="block" joinstyle="miter"/>
                </v:shape>
                <v:shape id="Straight Arrow Connector 229424004" o:spid="_x0000_s1122" type="#_x0000_t32" style="position:absolute;left:24135;top:31555;width:563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" strokecolor="black [3213]" strokeweight=".5pt">
                  <v:stroke endarrow="block" joinstyle="miter"/>
                </v:shape>
                <v:shape id="Flowchart: Alternate Process 31" o:spid="_x0000_s1123" type="#_x0000_t176" style="position:absolute;left:-3020;top:7098;width:10094;height:3393;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" fillcolor="#9cc2e5 [1944]" strokecolor="black [3213]" strokeweight="1pt">
                  <v:textbox>
                    <w:txbxContent>
                      <w:p w14:paraId="2FF6DB7E" w14:textId="77777777" w:rsidR="000F5E0E" w:rsidRPr="001428E8" w:rsidRDefault="000F5E0E" w:rsidP="001428E8">
                        <w:pPr>
                          <w:pStyle w:val="2024-PRISMA"/>
                          <w:jc w:val="center"/>
                          <w:rPr>
                            <w:b/>
                          </w:rPr>
                        </w:pPr>
                        <w:r w:rsidRPr="001428E8">
                          <w:rPr>
                            <w:b/>
                          </w:rPr>
                          <w:t>Identification</w:t>
                        </w:r>
                      </w:p>
                    </w:txbxContent>
                  </v:textbox>
                </v:shape>
                <v:shape id="Flowchart: Alternate Process 32" o:spid="_x0000_s1124" type="#_x0000_t176" style="position:absolute;left:-9050;top:23996;width:22153;height:3392;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" fillcolor="#9cc2e5 [1944]" strokecolor="black [3213]" strokeweight="1pt">
                  <v:textbox>
                    <w:txbxContent>
                      <w:p w14:paraId="777E4B42" w14:textId="77777777" w:rsidR="000F5E0E" w:rsidRPr="001428E8" w:rsidRDefault="000F5E0E" w:rsidP="001428E8">
                        <w:pPr>
                          <w:pStyle w:val="2024-PRISMA"/>
                          <w:jc w:val="center"/>
                          <w:rPr>
                            <w:b/>
                          </w:rPr>
                        </w:pPr>
                        <w:r w:rsidRPr="001428E8">
                          <w:rPr>
                            <w:b/>
                          </w:rPr>
                          <w:t>Screening</w:t>
                        </w:r>
                      </w:p>
                      <w:p w14:paraId="431A1923" w14:textId="77777777" w:rsidR="000F5E0E" w:rsidRPr="001428E8" w:rsidRDefault="000F5E0E" w:rsidP="001428E8">
                        <w:pPr>
                          <w:pStyle w:val="2024-PRISMA"/>
                          <w:jc w:val="center"/>
                          <w:rPr>
                            <w:b/>
                          </w:rPr>
                        </w:pPr>
                      </w:p>
                    </w:txbxContent>
                  </v:textbox>
                </v:shape>
                <v:shape id="Flowchart: Alternate Process 33" o:spid="_x0000_s1125" type="#_x0000_t176" style="position:absolute;left:-1571;top:39235;width:7110;height:3308;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" fillcolor="#9cc2e5 [1944]" strokecolor="black [3213]" strokeweight="1pt">
                  <v:textbox>
                    <w:txbxContent>
                      <w:p w14:paraId="3DCC9483" w14:textId="77777777" w:rsidR="000F5E0E" w:rsidRPr="001428E8" w:rsidRDefault="000F5E0E" w:rsidP="001428E8">
                        <w:pPr>
                          <w:pStyle w:val="2024-PRISMA"/>
                          <w:jc w:val="center"/>
                          <w:rPr>
                            <w:b/>
                          </w:rPr>
                        </w:pPr>
                        <w:r w:rsidRPr="001428E8">
                          <w:rPr>
                            <w:b/>
                          </w:rPr>
                          <w:t>Included</w:t>
                        </w:r>
                      </w:p>
                    </w:txbxContent>
                  </v:textbox>
                </v:shape>
                <v:shape id="Straight Arrow Connector 1255095353" o:spid="_x0000_s1126" type="#_x0000_t32" style="position:absolute;left:13394;top:12333;width:0;height:281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" strokecolor="black [3213]" strokeweight=".5pt">
                  <v:stroke endarrow="block" joinstyle="miter"/>
                </v:shape>
                <v:shape id="Straight Arrow Connector 2116348989" o:spid="_x0000_s1127" type="#_x0000_t32" style="position:absolute;left:13394;top:19670;width:0;height:281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" strokecolor="black [3213]" strokeweight=".5pt">
                  <v:stroke endarrow="block" joinstyle="miter"/>
                </v:shape>
                <v:shape id="Straight Arrow Connector 1164776706" o:spid="_x0000_s1128" type="#_x0000_t32" style="position:absolute;left:13500;top:26900;width:0;height:281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" strokecolor="black [3213]" strokeweight=".5pt">
                  <v:stroke endarrow="block" joinstyle="miter"/>
                </v:shape>
                <v:shape id="Straight Arrow Connector 1660026627" o:spid="_x0000_s1129" type="#_x0000_t32" style="position:absolute;left:13394;top:31013;width:0;height:746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" strokecolor="black [3213]" strokeweight=".5pt">
                  <v:stroke endarrow="block" joinstyle="miter"/>
                </v:shape>
                <v:shape id="Flowchart: Alternate Process 29" o:spid="_x0000_s1130" type="#_x0000_t176" style="position:absolute;width:55364;height:29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" fillcolor="#ffc000 [3207]" strokecolor="#7f5f00 [1607]" strokeweight="1pt">
                  <v:textbox>
                    <w:txbxContent>
                      <w:p w14:paraId="44AE1E03" w14:textId="1B1BCE34" w:rsidR="000F5E0E" w:rsidRPr="001428E8" w:rsidRDefault="000F5E0E" w:rsidP="001428E8">
                        <w:pPr>
                          <w:pStyle w:val="2024-PRISMA"/>
                          <w:jc w:val="center"/>
                          <w:rPr>
                            <w:b/>
                          </w:rPr>
                        </w:pPr>
                        <w:r w:rsidRPr="001428E8">
                          <w:rPr>
                            <w:b/>
                          </w:rPr>
                          <w:t xml:space="preserve">Identification of </w:t>
                        </w:r>
                        <w:r w:rsidR="00F16851">
                          <w:rPr>
                            <w:b/>
                          </w:rPr>
                          <w:t>reviews</w:t>
                        </w:r>
                        <w:r w:rsidR="00F16851" w:rsidRPr="001428E8">
                          <w:rPr>
                            <w:b/>
                          </w:rPr>
                          <w:t xml:space="preserve"> </w:t>
                        </w:r>
                        <w:r w:rsidRPr="001428E8">
                          <w:rPr>
                            <w:b/>
                          </w:rPr>
                          <w:t>via databases and registers</w:t>
                        </w:r>
                      </w:p>
                    </w:txbxContent>
                  </v:textbox>
                </v:shape>
                <v:rect id="Rectangle 522849141" o:spid="_x0000_s1131" style="position:absolute;left:4997;top:4253;width:24558;height:83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" fillcolor="white [3212]" strokecolor="black [3213]" strokeweight="1pt">
                  <v:textbox>
                    <w:txbxContent>
                      <w:p w14:paraId="406585F2" w14:textId="6BE97368" w:rsidR="000F5E0E" w:rsidRPr="000A34EA" w:rsidRDefault="000F5E0E" w:rsidP="009760CB">
                        <w:pPr>
                          <w:pStyle w:val="2024-PRISMA"/>
                        </w:pPr>
                        <w:r w:rsidRPr="000A34EA">
                          <w:t>Records identified from:</w:t>
                        </w:r>
                      </w:p>
                      <w:p w14:paraId="11D07EA4" w14:textId="7D16420A" w:rsidR="000F5E0E" w:rsidRPr="000A34EA" w:rsidRDefault="000F5E0E" w:rsidP="009760CB">
                        <w:pPr>
                          <w:pStyle w:val="2024-PRISMA"/>
                        </w:pPr>
                        <w:r w:rsidRPr="000A34EA">
                          <w:t xml:space="preserve">Databases and registers (n = </w:t>
                        </w:r>
                        <w:r w:rsidR="002C5293">
                          <w:t>1075</w:t>
                        </w:r>
                        <w:r w:rsidRPr="000A34EA">
                          <w:t>)</w:t>
                        </w:r>
                      </w:p>
                      <w:p w14:paraId="0697185F" w14:textId="4D5ECDBD" w:rsidR="000F5E0E" w:rsidRDefault="000F5E0E" w:rsidP="009760CB">
                        <w:pPr>
                          <w:pStyle w:val="2024-PRISMA"/>
                        </w:pPr>
                        <w:r w:rsidRPr="000A34EA">
                          <w:t>Manual</w:t>
                        </w:r>
                        <w:r>
                          <w:t xml:space="preserve"> or </w:t>
                        </w:r>
                        <w:r w:rsidRPr="000A34EA">
                          <w:t xml:space="preserve">citation </w:t>
                        </w:r>
                        <w:r>
                          <w:t xml:space="preserve">searching </w:t>
                        </w:r>
                        <w:r w:rsidRPr="000A34EA">
                          <w:t xml:space="preserve">(n = </w:t>
                        </w:r>
                        <w:r w:rsidR="00F54F99">
                          <w:t>1</w:t>
                        </w:r>
                        <w:r w:rsidRPr="000A34EA">
                          <w:t>)</w:t>
                        </w:r>
                      </w:p>
                      <w:p w14:paraId="6D8EB03A" w14:textId="7B256566" w:rsidR="000F5E0E" w:rsidRPr="000A34EA" w:rsidRDefault="000F5E0E" w:rsidP="009760CB">
                        <w:pPr>
                          <w:pStyle w:val="2024-PRISMA"/>
                        </w:pPr>
                        <w:r>
                          <w:t>Department’s call for evidence</w:t>
                        </w:r>
                        <w:r w:rsidRPr="000A34EA">
                          <w:t xml:space="preserve"> (n = </w:t>
                        </w:r>
                        <w:r w:rsidR="002C5293">
                          <w:t>9</w:t>
                        </w:r>
                        <w:r w:rsidRPr="000A34EA">
                          <w:t>)</w:t>
                        </w:r>
                      </w:p>
                    </w:txbxContent>
                  </v:textbox>
                </v:rect>
                <v:rect id="Rectangle 440510394" o:spid="_x0000_s1132" style="position:absolute;left:4997;top:15204;width:18872;height:52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" fillcolor="white [3212]" strokecolor="black [3213]" strokeweight="1pt">
                  <v:textbox>
                    <w:txbxContent>
                      <w:p w14:paraId="55E0BB7E" w14:textId="77777777" w:rsidR="000F5E0E" w:rsidRPr="000A34EA" w:rsidRDefault="000F5E0E" w:rsidP="009760CB">
                        <w:pPr>
                          <w:pStyle w:val="2024-PRISMA"/>
                        </w:pPr>
                        <w:r w:rsidRPr="000A34EA">
                          <w:t>Records screened</w:t>
                        </w:r>
                      </w:p>
                      <w:p w14:paraId="2985A1D9" w14:textId="5C76CD86" w:rsidR="000F5E0E" w:rsidRPr="000A34EA" w:rsidRDefault="000F5E0E" w:rsidP="009760CB">
                        <w:pPr>
                          <w:pStyle w:val="2024-PRISMA"/>
                        </w:pPr>
                        <w:r w:rsidRPr="000A34EA">
                          <w:t xml:space="preserve">(n = </w:t>
                        </w:r>
                        <w:r w:rsidR="004B458E">
                          <w:t>104</w:t>
                        </w:r>
                        <w:r w:rsidR="00F54F99">
                          <w:t>8</w:t>
                        </w:r>
                        <w:r w:rsidRPr="000A34EA">
                          <w:t>)</w:t>
                        </w:r>
                      </w:p>
                    </w:txbxContent>
                  </v:textbox>
                </v:rect>
                <v:rect id="Rectangle 782587567" o:spid="_x0000_s1133" style="position:absolute;left:4997;top:29771;width:18872;height:52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" fillcolor="white [3212]" strokecolor="black [3213]" strokeweight="1pt">
                  <v:textbox>
                    <w:txbxContent>
                      <w:p w14:paraId="14B205F0" w14:textId="77777777" w:rsidR="000F5E0E" w:rsidRPr="000A34EA" w:rsidRDefault="000F5E0E" w:rsidP="009760CB">
                        <w:pPr>
                          <w:pStyle w:val="2024-PRISMA"/>
                        </w:pPr>
                        <w:r w:rsidRPr="000A34EA">
                          <w:t>Reports assessed for eligibility</w:t>
                        </w:r>
                      </w:p>
                      <w:p w14:paraId="0C9A90F2" w14:textId="386935B6" w:rsidR="000F5E0E" w:rsidRPr="000A34EA" w:rsidRDefault="000F5E0E" w:rsidP="009760CB">
                        <w:pPr>
                          <w:pStyle w:val="2024-PRISMA"/>
                        </w:pPr>
                        <w:r w:rsidRPr="000A34EA">
                          <w:t xml:space="preserve">(n = </w:t>
                        </w:r>
                        <w:r w:rsidR="00957DF7">
                          <w:t>1</w:t>
                        </w:r>
                        <w:r w:rsidR="000258FE">
                          <w:t>0</w:t>
                        </w:r>
                        <w:r w:rsidR="00F54F99">
                          <w:t>6)</w:t>
                        </w:r>
                      </w:p>
                    </w:txbxContent>
                  </v:textbox>
                </v:rect>
                <v:rect id="Rectangle 1977132719" o:spid="_x0000_s1134" style="position:absolute;left:4890;top:38456;width:18873;height:59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" fillcolor="white [3212]" strokecolor="black [3213]" strokeweight="1pt">
                  <v:textbox>
                    <w:txbxContent>
                      <w:p w14:paraId="345FA04D" w14:textId="3E2AF40B" w:rsidR="000F5E0E" w:rsidRPr="000A34EA" w:rsidRDefault="00F16851" w:rsidP="009760CB">
                        <w:pPr>
                          <w:pStyle w:val="2024-PRISMA"/>
                        </w:pPr>
                        <w:r>
                          <w:t>Reviews</w:t>
                        </w:r>
                        <w:r w:rsidRPr="000A34EA">
                          <w:t xml:space="preserve"> </w:t>
                        </w:r>
                        <w:r w:rsidR="000F5E0E" w:rsidRPr="000A34EA">
                          <w:t xml:space="preserve">included in </w:t>
                        </w:r>
                        <w:r>
                          <w:t>over</w:t>
                        </w:r>
                        <w:r w:rsidR="000F5E0E" w:rsidRPr="000A34EA">
                          <w:t>view</w:t>
                        </w:r>
                      </w:p>
                      <w:p w14:paraId="53956F81" w14:textId="06D1BECC" w:rsidR="000F5E0E" w:rsidRPr="000A34EA" w:rsidRDefault="000F5E0E" w:rsidP="009760CB">
                        <w:pPr>
                          <w:pStyle w:val="2024-PRISMA"/>
                        </w:pPr>
                        <w:r w:rsidRPr="000A34EA">
                          <w:t xml:space="preserve">(n = </w:t>
                        </w:r>
                        <w:r w:rsidR="00F54F99">
                          <w:t>26</w:t>
                        </w:r>
                        <w:r w:rsidRPr="000A34EA">
                          <w:t>)</w:t>
                        </w:r>
                      </w:p>
                    </w:txbxContent>
                  </v:textbox>
                </v:rect>
                <v:rect id="Rectangle 609361781" o:spid="_x0000_s1135" style="position:absolute;left:4997;top:22434;width:18872;height:52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" fillcolor="white [3212]" strokecolor="black [3213]" strokeweight="1pt">
                  <v:textbox>
                    <w:txbxContent>
                      <w:p w14:paraId="042F82D2" w14:textId="77777777" w:rsidR="000F5E0E" w:rsidRPr="000A34EA" w:rsidRDefault="000F5E0E" w:rsidP="009760CB">
                        <w:pPr>
                          <w:pStyle w:val="2024-PRISMA"/>
                        </w:pPr>
                        <w:r w:rsidRPr="000A34EA">
                          <w:t>Reports sought for retrieval</w:t>
                        </w:r>
                      </w:p>
                      <w:p w14:paraId="2DBA67B7" w14:textId="3B3B840C" w:rsidR="000F5E0E" w:rsidRPr="000A34EA" w:rsidRDefault="000F5E0E" w:rsidP="009760CB">
                        <w:pPr>
                          <w:pStyle w:val="2024-PRISMA"/>
                        </w:pPr>
                        <w:r w:rsidRPr="000A34EA">
                          <w:t xml:space="preserve">(n = </w:t>
                        </w:r>
                        <w:r w:rsidR="008D01A1">
                          <w:t>14</w:t>
                        </w:r>
                        <w:r w:rsidR="00F54F99">
                          <w:t>4</w:t>
                        </w:r>
                        <w:r w:rsidRPr="000A34EA">
                          <w:t>)</w:t>
                        </w:r>
                      </w:p>
                    </w:txbxContent>
                  </v:textbox>
                </v:rect>
                <w10:wrap type="square"/>
              </v:group>
            </w:pict>
          </mc:Fallback>
        </mc:AlternateContent>
      </w:r>
      <w:r w:rsidRPr="0054775B">
        <w:rPr>
          <w:rFonts w:ascii="Aptos" w:hAnsi="Aptos"/>
        </w:rPr>
        <w:t xml:space="preserve">Figure </w:t>
      </w:r>
      <w:r w:rsidR="00F44A00" w:rsidRPr="0054775B">
        <w:rPr>
          <w:rFonts w:ascii="Aptos" w:hAnsi="Aptos"/>
        </w:rPr>
        <w:fldChar w:fldCharType="begin"/>
      </w:r>
      <w:r w:rsidR="00F44A00" w:rsidRPr="0054775B">
        <w:rPr>
          <w:rFonts w:ascii="Aptos" w:hAnsi="Aptos"/>
        </w:rPr>
        <w:instrText xml:space="preserve"> SEQ Figure \* ARABIC </w:instrText>
      </w:r>
      <w:r w:rsidR="00F44A00" w:rsidRPr="0054775B">
        <w:rPr>
          <w:rFonts w:ascii="Aptos" w:hAnsi="Aptos"/>
        </w:rPr>
        <w:fldChar w:fldCharType="separate"/>
      </w:r>
      <w:r w:rsidR="002C256B">
        <w:rPr>
          <w:rFonts w:ascii="Aptos" w:hAnsi="Aptos"/>
          <w:noProof/>
        </w:rPr>
        <w:t>5</w:t>
      </w:r>
      <w:r w:rsidR="00F44A00" w:rsidRPr="0054775B">
        <w:rPr>
          <w:rFonts w:ascii="Aptos" w:hAnsi="Aptos"/>
          <w:noProof/>
        </w:rPr>
        <w:fldChar w:fldCharType="end"/>
      </w:r>
      <w:r w:rsidRPr="0054775B">
        <w:rPr>
          <w:rFonts w:ascii="Aptos" w:hAnsi="Aptos"/>
        </w:rPr>
        <w:t xml:space="preserve">. PRISMA flowchart – </w:t>
      </w:r>
      <w:r w:rsidR="00542DF8" w:rsidRPr="0054775B">
        <w:rPr>
          <w:rFonts w:ascii="Aptos" w:hAnsi="Aptos"/>
        </w:rPr>
        <w:t>Depression (including post-natal), Omega-3</w:t>
      </w:r>
      <w:bookmarkEnd w:id="83"/>
      <w:r w:rsidR="005E3DE4">
        <w:rPr>
          <w:rFonts w:ascii="Aptos" w:hAnsi="Aptos"/>
        </w:rPr>
        <w:t xml:space="preserve"> </w:t>
      </w:r>
      <w:r w:rsidR="005E3DE4">
        <w:t>fatty acids</w:t>
      </w:r>
    </w:p>
    <w:p w14:paraId="0539927D" w14:textId="77777777" w:rsidR="000F5E0E" w:rsidRPr="0054775B" w:rsidRDefault="000F5E0E" w:rsidP="009E6F7F">
      <w:pPr>
        <w:pStyle w:val="2024HEADER3"/>
        <w:rPr>
          <w:rFonts w:ascii="Aptos" w:hAnsi="Aptos"/>
        </w:rPr>
      </w:pPr>
      <w:r w:rsidRPr="0054775B">
        <w:rPr>
          <w:rFonts w:ascii="Aptos" w:hAnsi="Aptos"/>
        </w:rPr>
        <w:t>Description of included reviews</w:t>
      </w:r>
    </w:p>
    <w:p w14:paraId="7A2E8A4D" w14:textId="4322BAF2" w:rsidR="003671F2" w:rsidRPr="0054775B" w:rsidRDefault="00DE2A09" w:rsidP="009E6F7F">
      <w:r w:rsidRPr="0054775B">
        <w:t>Twenty-</w:t>
      </w:r>
      <w:r w:rsidR="00F54F99" w:rsidRPr="0054775B">
        <w:t>six</w:t>
      </w:r>
      <w:r w:rsidR="00C24CC6" w:rsidRPr="0054775B">
        <w:t xml:space="preserve"> </w:t>
      </w:r>
      <w:r w:rsidR="001D087E">
        <w:t xml:space="preserve">(26) </w:t>
      </w:r>
      <w:r w:rsidR="00C24CC6" w:rsidRPr="0054775B">
        <w:t>reviews were identified as eligible for inclusion</w:t>
      </w:r>
      <w:r w:rsidR="004538CD" w:rsidRPr="0054775B">
        <w:t>, conducted between 2006 and 2023</w:t>
      </w:r>
      <w:r w:rsidR="004A0E3A" w:rsidRPr="0054775B">
        <w:t xml:space="preserve">. </w:t>
      </w:r>
      <w:r w:rsidR="00B079BC" w:rsidRPr="0054775B">
        <w:t xml:space="preserve">Most systematic reviews </w:t>
      </w:r>
      <w:r w:rsidR="000071E8">
        <w:t xml:space="preserve">included only </w:t>
      </w:r>
      <w:r w:rsidR="00F07177" w:rsidRPr="0054775B">
        <w:t>RCTs</w:t>
      </w:r>
      <w:r w:rsidR="00421CC5" w:rsidRPr="0054775B">
        <w:t xml:space="preserve"> (</w:t>
      </w:r>
      <w:r w:rsidR="00D12E72" w:rsidRPr="0054775B">
        <w:t xml:space="preserve">three </w:t>
      </w:r>
      <w:r w:rsidR="00421CC5" w:rsidRPr="0054775B">
        <w:t xml:space="preserve">reviews </w:t>
      </w:r>
      <w:r w:rsidR="00D12E72" w:rsidRPr="0054775B">
        <w:t xml:space="preserve">also </w:t>
      </w:r>
      <w:r w:rsidR="00421CC5" w:rsidRPr="0054775B">
        <w:t>included</w:t>
      </w:r>
      <w:r w:rsidR="00D12E72" w:rsidRPr="0054775B">
        <w:t xml:space="preserve"> observational studies</w:t>
      </w:r>
      <w:r w:rsidR="00421CC5" w:rsidRPr="0054775B">
        <w:t>)</w:t>
      </w:r>
      <w:r w:rsidR="00D12E72" w:rsidRPr="0054775B">
        <w:t>.</w:t>
      </w:r>
    </w:p>
    <w:p w14:paraId="150A3BFE" w14:textId="1E8627AB" w:rsidR="00470EBF" w:rsidRPr="0054775B" w:rsidRDefault="003D652E" w:rsidP="009E6F7F">
      <w:r>
        <w:t>Eleven</w:t>
      </w:r>
      <w:r w:rsidRPr="0054775B">
        <w:t xml:space="preserve"> </w:t>
      </w:r>
      <w:r w:rsidR="001D087E">
        <w:t>(11)</w:t>
      </w:r>
      <w:r w:rsidRPr="0054775B">
        <w:t xml:space="preserve"> </w:t>
      </w:r>
      <w:r w:rsidR="00574088" w:rsidRPr="0054775B">
        <w:t xml:space="preserve">reviews aimed to </w:t>
      </w:r>
      <w:r w:rsidR="004538CD" w:rsidRPr="0054775B">
        <w:t>assess</w:t>
      </w:r>
      <w:r w:rsidR="00574088" w:rsidRPr="0054775B">
        <w:t xml:space="preserve"> the </w:t>
      </w:r>
      <w:r w:rsidR="00912F03" w:rsidRPr="0054775B">
        <w:t>overview</w:t>
      </w:r>
      <w:r w:rsidR="004538CD" w:rsidRPr="0054775B">
        <w:t xml:space="preserve">’s </w:t>
      </w:r>
      <w:r w:rsidR="00574088" w:rsidRPr="0054775B">
        <w:t xml:space="preserve">research question directly, looking at </w:t>
      </w:r>
      <w:r w:rsidR="00B61BE9" w:rsidRPr="0054775B">
        <w:t xml:space="preserve">the efficacy of omega-3 </w:t>
      </w:r>
      <w:r w:rsidR="00AE2DE0">
        <w:t xml:space="preserve">fatty acids </w:t>
      </w:r>
      <w:r w:rsidR="003671F2" w:rsidRPr="0054775B">
        <w:t>for</w:t>
      </w:r>
      <w:r w:rsidR="00B61BE9" w:rsidRPr="0054775B">
        <w:t xml:space="preserve"> depression </w:t>
      </w:r>
      <w:r w:rsidR="003671F2" w:rsidRPr="0054775B">
        <w:t xml:space="preserve">in adults </w:t>
      </w:r>
      <w:r w:rsidR="00A61385">
        <w:rPr>
          <w:noProof/>
        </w:rPr>
        <w:t>(91-94)</w:t>
      </w:r>
      <w:r w:rsidR="00DA51DD" w:rsidRPr="0054775B">
        <w:t xml:space="preserve">, older adults </w:t>
      </w:r>
      <w:r w:rsidR="00A61385">
        <w:rPr>
          <w:noProof/>
        </w:rPr>
        <w:t>(95, 96)</w:t>
      </w:r>
      <w:r w:rsidR="002228A1" w:rsidRPr="0054775B">
        <w:t xml:space="preserve">, </w:t>
      </w:r>
      <w:r w:rsidR="009644C2" w:rsidRPr="0054775B">
        <w:t xml:space="preserve">and children </w:t>
      </w:r>
      <w:r w:rsidR="00A61385">
        <w:rPr>
          <w:noProof/>
        </w:rPr>
        <w:t>(97)</w:t>
      </w:r>
      <w:r w:rsidR="007A46D8" w:rsidRPr="0054775B">
        <w:t xml:space="preserve">; and for the </w:t>
      </w:r>
      <w:r w:rsidR="00B40D9A" w:rsidRPr="0054775B">
        <w:t xml:space="preserve">prevention and treatment of perinatal depression </w:t>
      </w:r>
      <w:r w:rsidR="00A61385">
        <w:rPr>
          <w:noProof/>
        </w:rPr>
        <w:t>(98-101)</w:t>
      </w:r>
      <w:r w:rsidR="007A46D8" w:rsidRPr="0054775B">
        <w:t>.</w:t>
      </w:r>
      <w:r w:rsidR="0054775B" w:rsidRPr="0054775B">
        <w:t xml:space="preserve"> </w:t>
      </w:r>
      <w:r w:rsidR="007A46D8" w:rsidRPr="0054775B">
        <w:t xml:space="preserve">Other reviews examined </w:t>
      </w:r>
      <w:r w:rsidR="00BC60B5" w:rsidRPr="0054775B">
        <w:t>interventions</w:t>
      </w:r>
      <w:r w:rsidR="007A46D8" w:rsidRPr="0054775B">
        <w:t xml:space="preserve"> more generally </w:t>
      </w:r>
      <w:r w:rsidR="00E55A0F" w:rsidRPr="0054775B">
        <w:t xml:space="preserve">(including nutritional supplements) </w:t>
      </w:r>
      <w:r w:rsidR="007A46D8" w:rsidRPr="0054775B">
        <w:t>for the treatment of depression</w:t>
      </w:r>
      <w:r w:rsidR="000B5B79" w:rsidRPr="0054775B">
        <w:t xml:space="preserve"> and prevention of depression in other mood disorders</w:t>
      </w:r>
      <w:r w:rsidR="007A46D8" w:rsidRPr="0054775B">
        <w:t>, which included omega-3</w:t>
      </w:r>
      <w:r w:rsidR="00AE2DE0">
        <w:t xml:space="preserve"> fatty acids</w:t>
      </w:r>
      <w:r w:rsidR="00DB7447" w:rsidRPr="0054775B">
        <w:t xml:space="preserve"> </w:t>
      </w:r>
      <w:r w:rsidR="00A61385">
        <w:rPr>
          <w:noProof/>
        </w:rPr>
        <w:t>(21, 102-110)</w:t>
      </w:r>
      <w:r w:rsidR="00DB7447" w:rsidRPr="0054775B">
        <w:t>.</w:t>
      </w:r>
      <w:r w:rsidR="0054775B" w:rsidRPr="0054775B">
        <w:t xml:space="preserve"> </w:t>
      </w:r>
      <w:r w:rsidR="00EE1983" w:rsidRPr="0054775B">
        <w:t>Some</w:t>
      </w:r>
      <w:r w:rsidR="00470EBF" w:rsidRPr="0054775B">
        <w:t xml:space="preserve"> reviews </w:t>
      </w:r>
      <w:r w:rsidR="00EE1983" w:rsidRPr="0054775B">
        <w:t xml:space="preserve">also </w:t>
      </w:r>
      <w:r w:rsidR="00470EBF" w:rsidRPr="0054775B">
        <w:t xml:space="preserve">examined omega-3 </w:t>
      </w:r>
      <w:r w:rsidR="00AE2DE0">
        <w:t xml:space="preserve">fatty acids </w:t>
      </w:r>
      <w:r w:rsidR="00470EBF" w:rsidRPr="0054775B">
        <w:t xml:space="preserve">specifically across broader </w:t>
      </w:r>
      <w:r w:rsidR="004538CD" w:rsidRPr="0054775B">
        <w:t>populations</w:t>
      </w:r>
      <w:r w:rsidR="00470EBF" w:rsidRPr="0054775B">
        <w:t xml:space="preserve"> at risk of depression (and included depression-related outcomes) </w:t>
      </w:r>
      <w:r w:rsidR="00A61385">
        <w:rPr>
          <w:noProof/>
        </w:rPr>
        <w:t>(111-114)</w:t>
      </w:r>
      <w:r w:rsidR="00090EE0" w:rsidRPr="0054775B">
        <w:t>.</w:t>
      </w:r>
    </w:p>
    <w:p w14:paraId="294D29BE" w14:textId="77777777" w:rsidR="000F5E0E" w:rsidRPr="0054775B" w:rsidRDefault="000F5E0E" w:rsidP="009E6F7F">
      <w:pPr>
        <w:pStyle w:val="2024HEADER3"/>
        <w:rPr>
          <w:rFonts w:ascii="Aptos" w:hAnsi="Aptos"/>
        </w:rPr>
      </w:pPr>
      <w:r w:rsidRPr="0054775B">
        <w:rPr>
          <w:rFonts w:ascii="Aptos" w:hAnsi="Aptos"/>
        </w:rPr>
        <w:t>Assessment of risk of bias of included systematic reviews</w:t>
      </w:r>
    </w:p>
    <w:p w14:paraId="4D9451A7" w14:textId="16D51E5C" w:rsidR="00D54CD1" w:rsidRPr="0054775B" w:rsidRDefault="00D54CD1" w:rsidP="00D54CD1">
      <w:r w:rsidRPr="0054775B">
        <w:t xml:space="preserve">Risk of bias of the assessments of the included reviews, as appraised using the ROBIS tool, are presented below. </w:t>
      </w:r>
      <w:r w:rsidR="006D3FE4" w:rsidRPr="0054775B">
        <w:t xml:space="preserve">Full assessments are reported in Appendix </w:t>
      </w:r>
      <w:r w:rsidR="00B456A1">
        <w:t>F</w:t>
      </w:r>
      <w:r w:rsidRPr="0054775B">
        <w:t>.</w:t>
      </w:r>
    </w:p>
    <w:p w14:paraId="4E0D41AB" w14:textId="16088AF6" w:rsidR="00D54CD1" w:rsidRPr="0054775B" w:rsidRDefault="00D54CD1" w:rsidP="00D54CD1">
      <w:pPr>
        <w:pStyle w:val="2024TABLECAPTION"/>
        <w:rPr>
          <w:rFonts w:ascii="Aptos" w:hAnsi="Aptos"/>
        </w:rPr>
      </w:pPr>
      <w:bookmarkStart w:id="84" w:name="_Toc185261597"/>
      <w:r w:rsidRPr="0054775B">
        <w:rPr>
          <w:rFonts w:ascii="Aptos" w:hAnsi="Aptos"/>
        </w:rPr>
        <w:t xml:space="preserve">Table </w:t>
      </w:r>
      <w:r w:rsidRPr="0054775B">
        <w:rPr>
          <w:rFonts w:ascii="Aptos" w:hAnsi="Aptos"/>
        </w:rPr>
        <w:fldChar w:fldCharType="begin"/>
      </w:r>
      <w:r w:rsidRPr="0054775B">
        <w:rPr>
          <w:rFonts w:ascii="Aptos" w:hAnsi="Aptos"/>
        </w:rPr>
        <w:instrText>SEQ Table \* ARABIC</w:instrText>
      </w:r>
      <w:r w:rsidRPr="0054775B">
        <w:rPr>
          <w:rFonts w:ascii="Aptos" w:hAnsi="Aptos"/>
        </w:rPr>
        <w:fldChar w:fldCharType="separate"/>
      </w:r>
      <w:r w:rsidR="00651E04">
        <w:rPr>
          <w:rFonts w:ascii="Aptos" w:hAnsi="Aptos"/>
          <w:noProof/>
        </w:rPr>
        <w:t>19</w:t>
      </w:r>
      <w:r w:rsidRPr="0054775B">
        <w:rPr>
          <w:rFonts w:ascii="Aptos" w:hAnsi="Aptos"/>
        </w:rPr>
        <w:fldChar w:fldCharType="end"/>
      </w:r>
      <w:r w:rsidRPr="0054775B">
        <w:rPr>
          <w:rFonts w:ascii="Aptos" w:hAnsi="Aptos"/>
        </w:rPr>
        <w:t>. Summary of ROBIS assessments – Depression (including post-natal), Omega-3</w:t>
      </w:r>
      <w:r w:rsidR="00AE2DE0">
        <w:rPr>
          <w:rFonts w:ascii="Aptos" w:hAnsi="Aptos"/>
        </w:rPr>
        <w:t xml:space="preserve"> </w:t>
      </w:r>
      <w:r w:rsidR="00AE2DE0">
        <w:t>fatty acids</w:t>
      </w:r>
      <w:r w:rsidRPr="0054775B">
        <w:rPr>
          <w:rFonts w:ascii="Aptos" w:hAnsi="Aptos"/>
        </w:rPr>
        <w:t>.</w:t>
      </w:r>
      <w:bookmarkEnd w:id="84"/>
      <w:r w:rsidR="00AE2DE0">
        <w:rPr>
          <w:rFonts w:ascii="Aptos" w:hAnsi="Aptos"/>
        </w:rPr>
        <w:t xml:space="preserve"> </w:t>
      </w:r>
    </w:p>
    <w:tbl>
      <w:tblPr>
        <w:tblW w:w="920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28" w:type="dxa"/>
        </w:tblCellMar>
        <w:tblLook w:val="04A0" w:firstRow="1" w:lastRow="0" w:firstColumn="1" w:lastColumn="0" w:noHBand="0" w:noVBand="1"/>
      </w:tblPr>
      <w:tblGrid>
        <w:gridCol w:w="1833"/>
        <w:gridCol w:w="1418"/>
        <w:gridCol w:w="1701"/>
        <w:gridCol w:w="1559"/>
        <w:gridCol w:w="1417"/>
        <w:gridCol w:w="1276"/>
      </w:tblGrid>
      <w:tr w:rsidR="00D54CD1" w:rsidRPr="0054775B" w14:paraId="3D5DD767" w14:textId="77777777" w:rsidTr="002F1F6C">
        <w:trPr>
          <w:trHeight w:val="95"/>
        </w:trPr>
        <w:tc>
          <w:tcPr>
            <w:tcW w:w="1833" w:type="dxa"/>
            <w:vMerge w:val="restart"/>
            <w:shd w:val="clear" w:color="auto" w:fill="D9D9D9" w:themeFill="background1" w:themeFillShade="D9"/>
            <w:vAlign w:val="center"/>
            <w:hideMark/>
          </w:tcPr>
          <w:p w14:paraId="6D9D1A54" w14:textId="77777777" w:rsidR="00D54CD1" w:rsidRPr="0054775B" w:rsidRDefault="00D54CD1" w:rsidP="002F1F6C">
            <w:pPr>
              <w:pStyle w:val="2024TABLEHEADER"/>
            </w:pPr>
            <w:r w:rsidRPr="0054775B">
              <w:t>Review ID</w:t>
            </w:r>
          </w:p>
        </w:tc>
        <w:tc>
          <w:tcPr>
            <w:tcW w:w="6095" w:type="dxa"/>
            <w:gridSpan w:val="4"/>
            <w:shd w:val="clear" w:color="auto" w:fill="D9D9D9" w:themeFill="background1" w:themeFillShade="D9"/>
            <w:vAlign w:val="center"/>
          </w:tcPr>
          <w:p w14:paraId="3F080738" w14:textId="77777777" w:rsidR="00D54CD1" w:rsidRPr="0054775B" w:rsidRDefault="00D54CD1" w:rsidP="002F1F6C">
            <w:pPr>
              <w:pStyle w:val="2024TABLEHEADER"/>
            </w:pPr>
            <w:r w:rsidRPr="0054775B">
              <w:t>ROBIS Domains</w:t>
            </w:r>
          </w:p>
        </w:tc>
        <w:tc>
          <w:tcPr>
            <w:tcW w:w="1276" w:type="dxa"/>
            <w:vMerge w:val="restart"/>
            <w:shd w:val="clear" w:color="auto" w:fill="D9D9D9" w:themeFill="background1" w:themeFillShade="D9"/>
            <w:vAlign w:val="center"/>
          </w:tcPr>
          <w:p w14:paraId="3209CF2E" w14:textId="77777777" w:rsidR="00D54CD1" w:rsidRPr="0054775B" w:rsidRDefault="00D54CD1" w:rsidP="002F1F6C">
            <w:pPr>
              <w:pStyle w:val="2024TABLEHEADER"/>
            </w:pPr>
            <w:r w:rsidRPr="0054775B">
              <w:t>Overall risk of bias</w:t>
            </w:r>
          </w:p>
        </w:tc>
      </w:tr>
      <w:tr w:rsidR="00D54CD1" w:rsidRPr="0054775B" w14:paraId="25C1BF52" w14:textId="77777777" w:rsidTr="002F1F6C">
        <w:trPr>
          <w:trHeight w:val="95"/>
        </w:trPr>
        <w:tc>
          <w:tcPr>
            <w:tcW w:w="1833" w:type="dxa"/>
            <w:vMerge/>
            <w:shd w:val="clear" w:color="auto" w:fill="D9D9D9" w:themeFill="background1" w:themeFillShade="D9"/>
            <w:vAlign w:val="center"/>
          </w:tcPr>
          <w:p w14:paraId="541D4D07" w14:textId="77777777" w:rsidR="00D54CD1" w:rsidRPr="0054775B" w:rsidRDefault="00D54CD1" w:rsidP="002F1F6C">
            <w:pPr>
              <w:pStyle w:val="2024TABLEHEADER"/>
            </w:pPr>
          </w:p>
        </w:tc>
        <w:tc>
          <w:tcPr>
            <w:tcW w:w="1418" w:type="dxa"/>
            <w:shd w:val="clear" w:color="auto" w:fill="F2F2F2" w:themeFill="background1" w:themeFillShade="F2"/>
            <w:vAlign w:val="center"/>
          </w:tcPr>
          <w:p w14:paraId="0320F1BE" w14:textId="77777777" w:rsidR="00D54CD1" w:rsidRPr="001428E8" w:rsidRDefault="00D54CD1" w:rsidP="002F1F6C">
            <w:pPr>
              <w:pStyle w:val="2024TABLEHEADER"/>
            </w:pPr>
            <w:r w:rsidRPr="001428E8">
              <w:t>Domain 1: Study eligibility criteria</w:t>
            </w:r>
          </w:p>
        </w:tc>
        <w:tc>
          <w:tcPr>
            <w:tcW w:w="1701" w:type="dxa"/>
            <w:shd w:val="clear" w:color="auto" w:fill="F2F2F2" w:themeFill="background1" w:themeFillShade="F2"/>
            <w:vAlign w:val="center"/>
          </w:tcPr>
          <w:p w14:paraId="21E6C497" w14:textId="77777777" w:rsidR="00D54CD1" w:rsidRPr="001428E8" w:rsidRDefault="00D54CD1" w:rsidP="002F1F6C">
            <w:pPr>
              <w:pStyle w:val="2024TABLEHEADER"/>
            </w:pPr>
            <w:r w:rsidRPr="001428E8">
              <w:t>Domain 2: Identification and selection of studies</w:t>
            </w:r>
          </w:p>
        </w:tc>
        <w:tc>
          <w:tcPr>
            <w:tcW w:w="1559" w:type="dxa"/>
            <w:shd w:val="clear" w:color="auto" w:fill="F2F2F2" w:themeFill="background1" w:themeFillShade="F2"/>
            <w:vAlign w:val="center"/>
          </w:tcPr>
          <w:p w14:paraId="2D10A209" w14:textId="77777777" w:rsidR="00D54CD1" w:rsidRPr="001428E8" w:rsidRDefault="00D54CD1" w:rsidP="002F1F6C">
            <w:pPr>
              <w:pStyle w:val="2024TABLEHEADER"/>
            </w:pPr>
            <w:r w:rsidRPr="001428E8">
              <w:t>Domain 3: Data collection and study appraisal</w:t>
            </w:r>
          </w:p>
        </w:tc>
        <w:tc>
          <w:tcPr>
            <w:tcW w:w="1417" w:type="dxa"/>
            <w:shd w:val="clear" w:color="auto" w:fill="F2F2F2" w:themeFill="background1" w:themeFillShade="F2"/>
            <w:vAlign w:val="center"/>
          </w:tcPr>
          <w:p w14:paraId="72250131" w14:textId="77777777" w:rsidR="00D54CD1" w:rsidRPr="001428E8" w:rsidRDefault="00D54CD1" w:rsidP="002F1F6C">
            <w:pPr>
              <w:pStyle w:val="2024TABLEHEADER"/>
            </w:pPr>
            <w:r w:rsidRPr="001428E8">
              <w:t>Domain 4: Synthesis and findings</w:t>
            </w:r>
          </w:p>
        </w:tc>
        <w:tc>
          <w:tcPr>
            <w:tcW w:w="1276" w:type="dxa"/>
            <w:vMerge/>
            <w:shd w:val="clear" w:color="auto" w:fill="D9D9D9" w:themeFill="background1" w:themeFillShade="D9"/>
            <w:vAlign w:val="center"/>
          </w:tcPr>
          <w:p w14:paraId="10ABB169" w14:textId="77777777" w:rsidR="00D54CD1" w:rsidRPr="0054775B" w:rsidRDefault="00D54CD1" w:rsidP="002F1F6C">
            <w:pPr>
              <w:pStyle w:val="TABLE"/>
              <w:rPr>
                <w:rFonts w:ascii="Aptos" w:hAnsi="Aptos"/>
              </w:rPr>
            </w:pPr>
          </w:p>
        </w:tc>
      </w:tr>
      <w:tr w:rsidR="00694F90" w:rsidRPr="0054775B" w14:paraId="10BE08AF" w14:textId="77777777" w:rsidTr="002F1F6C">
        <w:trPr>
          <w:trHeight w:val="95"/>
        </w:trPr>
        <w:tc>
          <w:tcPr>
            <w:tcW w:w="1833" w:type="dxa"/>
            <w:shd w:val="clear" w:color="auto" w:fill="auto"/>
            <w:vAlign w:val="bottom"/>
          </w:tcPr>
          <w:p w14:paraId="14D56CC8" w14:textId="42F02255" w:rsidR="00694F90" w:rsidRPr="0054775B" w:rsidRDefault="00694F90" w:rsidP="00694F90">
            <w:pPr>
              <w:pStyle w:val="2024TABLEHEADER"/>
              <w:spacing w:before="0" w:after="0"/>
              <w:rPr>
                <w:rFonts w:eastAsiaTheme="minorHAnsi"/>
                <w:b w:val="0"/>
                <w:bCs w:val="0"/>
              </w:rPr>
            </w:pPr>
            <w:r w:rsidRPr="0054775B">
              <w:rPr>
                <w:rFonts w:eastAsiaTheme="minorHAnsi"/>
                <w:b w:val="0"/>
                <w:bCs w:val="0"/>
              </w:rPr>
              <w:t>Appleton 2015</w:t>
            </w:r>
          </w:p>
        </w:tc>
        <w:tc>
          <w:tcPr>
            <w:tcW w:w="1418" w:type="dxa"/>
            <w:shd w:val="clear" w:color="auto" w:fill="auto"/>
          </w:tcPr>
          <w:p w14:paraId="5ABAECC7" w14:textId="02FE2F14" w:rsidR="00694F90" w:rsidRPr="0054775B" w:rsidRDefault="009A7B21" w:rsidP="00694F90">
            <w:pPr>
              <w:pStyle w:val="2024TABLETEXT"/>
              <w:framePr w:hSpace="0" w:wrap="auto" w:vAnchor="margin" w:yAlign="inline"/>
              <w:suppressOverlap w:val="0"/>
            </w:pPr>
            <w:r w:rsidRPr="0054775B">
              <w:t>Low</w:t>
            </w:r>
          </w:p>
        </w:tc>
        <w:tc>
          <w:tcPr>
            <w:tcW w:w="1701" w:type="dxa"/>
            <w:shd w:val="clear" w:color="auto" w:fill="auto"/>
          </w:tcPr>
          <w:p w14:paraId="501A6A01" w14:textId="24DF69C9" w:rsidR="00694F90" w:rsidRPr="0054775B" w:rsidRDefault="009A7B21" w:rsidP="00694F90">
            <w:pPr>
              <w:pStyle w:val="2024TABLETEXT"/>
              <w:framePr w:hSpace="0" w:wrap="auto" w:vAnchor="margin" w:yAlign="inline"/>
              <w:suppressOverlap w:val="0"/>
            </w:pPr>
            <w:r w:rsidRPr="0054775B">
              <w:t>Low</w:t>
            </w:r>
          </w:p>
        </w:tc>
        <w:tc>
          <w:tcPr>
            <w:tcW w:w="1559" w:type="dxa"/>
            <w:shd w:val="clear" w:color="auto" w:fill="auto"/>
          </w:tcPr>
          <w:p w14:paraId="20618ECB" w14:textId="7F240574" w:rsidR="00694F90" w:rsidRPr="0054775B" w:rsidRDefault="009A7B21" w:rsidP="00694F90">
            <w:pPr>
              <w:pStyle w:val="2024TABLETEXT"/>
              <w:framePr w:hSpace="0" w:wrap="auto" w:vAnchor="margin" w:yAlign="inline"/>
              <w:suppressOverlap w:val="0"/>
            </w:pPr>
            <w:r w:rsidRPr="0054775B">
              <w:t>Low</w:t>
            </w:r>
          </w:p>
        </w:tc>
        <w:tc>
          <w:tcPr>
            <w:tcW w:w="1417" w:type="dxa"/>
            <w:shd w:val="clear" w:color="auto" w:fill="auto"/>
          </w:tcPr>
          <w:p w14:paraId="59AFC0D6" w14:textId="114B0860" w:rsidR="00694F90" w:rsidRPr="0054775B" w:rsidRDefault="0074171E" w:rsidP="00694F90">
            <w:pPr>
              <w:pStyle w:val="2024TABLETEXT"/>
              <w:framePr w:hSpace="0" w:wrap="auto" w:vAnchor="margin" w:yAlign="inline"/>
              <w:suppressOverlap w:val="0"/>
            </w:pPr>
            <w:r>
              <w:t>High</w:t>
            </w:r>
          </w:p>
        </w:tc>
        <w:tc>
          <w:tcPr>
            <w:tcW w:w="1276" w:type="dxa"/>
            <w:shd w:val="clear" w:color="auto" w:fill="auto"/>
          </w:tcPr>
          <w:p w14:paraId="4685A955" w14:textId="780F16C0" w:rsidR="00694F90" w:rsidRPr="0054775B" w:rsidRDefault="009A7B21" w:rsidP="00694F90">
            <w:pPr>
              <w:pStyle w:val="2024TABLETEXT"/>
              <w:framePr w:hSpace="0" w:wrap="auto" w:vAnchor="margin" w:yAlign="inline"/>
              <w:suppressOverlap w:val="0"/>
            </w:pPr>
            <w:r w:rsidRPr="0054775B">
              <w:t>Low risk</w:t>
            </w:r>
          </w:p>
        </w:tc>
      </w:tr>
      <w:tr w:rsidR="009A7B21" w:rsidRPr="0054775B" w14:paraId="67CB7732" w14:textId="77777777" w:rsidTr="002F1F6C">
        <w:trPr>
          <w:trHeight w:val="95"/>
        </w:trPr>
        <w:tc>
          <w:tcPr>
            <w:tcW w:w="1833" w:type="dxa"/>
            <w:shd w:val="clear" w:color="auto" w:fill="auto"/>
            <w:vAlign w:val="bottom"/>
          </w:tcPr>
          <w:p w14:paraId="655FDD24" w14:textId="75511508" w:rsidR="009A7B21" w:rsidRPr="0054775B" w:rsidRDefault="009A7B21" w:rsidP="009A7B21">
            <w:pPr>
              <w:pStyle w:val="2024TABLEHEADER"/>
              <w:spacing w:before="0" w:after="0"/>
              <w:rPr>
                <w:rFonts w:eastAsiaTheme="minorHAnsi"/>
                <w:b w:val="0"/>
                <w:bCs w:val="0"/>
              </w:rPr>
            </w:pPr>
            <w:r w:rsidRPr="0054775B">
              <w:rPr>
                <w:rFonts w:eastAsiaTheme="minorHAnsi"/>
                <w:b w:val="0"/>
                <w:bCs w:val="0"/>
              </w:rPr>
              <w:t>Appleton 2016</w:t>
            </w:r>
          </w:p>
        </w:tc>
        <w:tc>
          <w:tcPr>
            <w:tcW w:w="1418" w:type="dxa"/>
            <w:shd w:val="clear" w:color="auto" w:fill="auto"/>
          </w:tcPr>
          <w:p w14:paraId="29B3976E" w14:textId="29D4847F" w:rsidR="009A7B21" w:rsidRPr="0054775B" w:rsidRDefault="009A7B21" w:rsidP="009A7B21">
            <w:pPr>
              <w:pStyle w:val="2024TABLETEXT"/>
              <w:framePr w:hSpace="0" w:wrap="auto" w:vAnchor="margin" w:yAlign="inline"/>
              <w:suppressOverlap w:val="0"/>
              <w:rPr>
                <w:b/>
                <w:bCs/>
              </w:rPr>
            </w:pPr>
            <w:r w:rsidRPr="0054775B">
              <w:t>Low</w:t>
            </w:r>
          </w:p>
        </w:tc>
        <w:tc>
          <w:tcPr>
            <w:tcW w:w="1701" w:type="dxa"/>
            <w:shd w:val="clear" w:color="auto" w:fill="auto"/>
          </w:tcPr>
          <w:p w14:paraId="69C51945" w14:textId="58EBD287" w:rsidR="009A7B21" w:rsidRPr="0054775B" w:rsidRDefault="009A7B21" w:rsidP="009A7B21">
            <w:pPr>
              <w:pStyle w:val="2024TABLETEXT"/>
              <w:framePr w:hSpace="0" w:wrap="auto" w:vAnchor="margin" w:yAlign="inline"/>
              <w:suppressOverlap w:val="0"/>
              <w:rPr>
                <w:b/>
                <w:bCs/>
              </w:rPr>
            </w:pPr>
            <w:r w:rsidRPr="0054775B">
              <w:t>Low</w:t>
            </w:r>
          </w:p>
        </w:tc>
        <w:tc>
          <w:tcPr>
            <w:tcW w:w="1559" w:type="dxa"/>
            <w:shd w:val="clear" w:color="auto" w:fill="auto"/>
          </w:tcPr>
          <w:p w14:paraId="496762C1" w14:textId="69F86F70" w:rsidR="009A7B21" w:rsidRPr="0054775B" w:rsidRDefault="009A7B21" w:rsidP="009A7B21">
            <w:pPr>
              <w:pStyle w:val="2024TABLETEXT"/>
              <w:framePr w:hSpace="0" w:wrap="auto" w:vAnchor="margin" w:yAlign="inline"/>
              <w:suppressOverlap w:val="0"/>
              <w:rPr>
                <w:b/>
                <w:bCs/>
              </w:rPr>
            </w:pPr>
            <w:r w:rsidRPr="0054775B">
              <w:t>Low</w:t>
            </w:r>
          </w:p>
        </w:tc>
        <w:tc>
          <w:tcPr>
            <w:tcW w:w="1417" w:type="dxa"/>
            <w:shd w:val="clear" w:color="auto" w:fill="auto"/>
          </w:tcPr>
          <w:p w14:paraId="1E44552A" w14:textId="5DEB7759" w:rsidR="009A7B21" w:rsidRPr="0054775B" w:rsidRDefault="0074171E" w:rsidP="009A7B21">
            <w:pPr>
              <w:pStyle w:val="2024TABLETEXT"/>
              <w:framePr w:hSpace="0" w:wrap="auto" w:vAnchor="margin" w:yAlign="inline"/>
              <w:suppressOverlap w:val="0"/>
              <w:rPr>
                <w:b/>
                <w:bCs/>
              </w:rPr>
            </w:pPr>
            <w:r>
              <w:t>High</w:t>
            </w:r>
          </w:p>
        </w:tc>
        <w:tc>
          <w:tcPr>
            <w:tcW w:w="1276" w:type="dxa"/>
            <w:shd w:val="clear" w:color="auto" w:fill="auto"/>
          </w:tcPr>
          <w:p w14:paraId="3E83F7F0" w14:textId="4F4B5028" w:rsidR="009A7B21" w:rsidRPr="0054775B" w:rsidRDefault="009A7B21" w:rsidP="009A7B21">
            <w:pPr>
              <w:pStyle w:val="2024TABLETEXT"/>
              <w:framePr w:hSpace="0" w:wrap="auto" w:vAnchor="margin" w:yAlign="inline"/>
              <w:suppressOverlap w:val="0"/>
              <w:rPr>
                <w:b/>
                <w:bCs/>
              </w:rPr>
            </w:pPr>
            <w:r w:rsidRPr="0054775B">
              <w:t>Low risk</w:t>
            </w:r>
          </w:p>
        </w:tc>
      </w:tr>
      <w:tr w:rsidR="009A7B21" w:rsidRPr="0054775B" w14:paraId="4D530A5B" w14:textId="77777777" w:rsidTr="002F1F6C">
        <w:trPr>
          <w:trHeight w:val="95"/>
        </w:trPr>
        <w:tc>
          <w:tcPr>
            <w:tcW w:w="1833" w:type="dxa"/>
            <w:shd w:val="clear" w:color="auto" w:fill="auto"/>
            <w:vAlign w:val="bottom"/>
          </w:tcPr>
          <w:p w14:paraId="03A89E2C" w14:textId="2B9D6E76" w:rsidR="009A7B21" w:rsidRPr="0054775B" w:rsidRDefault="009A7B21" w:rsidP="009A7B21">
            <w:pPr>
              <w:pStyle w:val="2024TABLEHEADER"/>
              <w:spacing w:before="0" w:after="0"/>
              <w:rPr>
                <w:rFonts w:eastAsiaTheme="minorHAnsi"/>
                <w:b w:val="0"/>
                <w:bCs w:val="0"/>
              </w:rPr>
            </w:pPr>
            <w:r w:rsidRPr="0054775B">
              <w:rPr>
                <w:rFonts w:eastAsiaTheme="minorHAnsi"/>
                <w:b w:val="0"/>
                <w:bCs w:val="0"/>
              </w:rPr>
              <w:t>Appleton 2021</w:t>
            </w:r>
          </w:p>
        </w:tc>
        <w:tc>
          <w:tcPr>
            <w:tcW w:w="1418" w:type="dxa"/>
            <w:shd w:val="clear" w:color="auto" w:fill="auto"/>
          </w:tcPr>
          <w:p w14:paraId="76C8ABC3" w14:textId="174EE2D4" w:rsidR="009A7B21" w:rsidRPr="0054775B" w:rsidRDefault="009A7B21" w:rsidP="009A7B21">
            <w:pPr>
              <w:pStyle w:val="2024TABLETEXT"/>
              <w:framePr w:hSpace="0" w:wrap="auto" w:vAnchor="margin" w:yAlign="inline"/>
              <w:suppressOverlap w:val="0"/>
              <w:rPr>
                <w:b/>
                <w:bCs/>
              </w:rPr>
            </w:pPr>
            <w:r w:rsidRPr="0054775B">
              <w:t>Low</w:t>
            </w:r>
          </w:p>
        </w:tc>
        <w:tc>
          <w:tcPr>
            <w:tcW w:w="1701" w:type="dxa"/>
            <w:shd w:val="clear" w:color="auto" w:fill="auto"/>
          </w:tcPr>
          <w:p w14:paraId="0B72575F" w14:textId="48609FC1" w:rsidR="009A7B21" w:rsidRPr="0054775B" w:rsidRDefault="009A7B21" w:rsidP="009A7B21">
            <w:pPr>
              <w:pStyle w:val="2024TABLETEXT"/>
              <w:framePr w:hSpace="0" w:wrap="auto" w:vAnchor="margin" w:yAlign="inline"/>
              <w:suppressOverlap w:val="0"/>
              <w:rPr>
                <w:b/>
                <w:bCs/>
              </w:rPr>
            </w:pPr>
            <w:r w:rsidRPr="0054775B">
              <w:t>Low</w:t>
            </w:r>
          </w:p>
        </w:tc>
        <w:tc>
          <w:tcPr>
            <w:tcW w:w="1559" w:type="dxa"/>
            <w:shd w:val="clear" w:color="auto" w:fill="auto"/>
          </w:tcPr>
          <w:p w14:paraId="3C8E90D5" w14:textId="3DDD868E" w:rsidR="009A7B21" w:rsidRPr="0054775B" w:rsidRDefault="009A7B21" w:rsidP="009A7B21">
            <w:pPr>
              <w:pStyle w:val="2024TABLETEXT"/>
              <w:framePr w:hSpace="0" w:wrap="auto" w:vAnchor="margin" w:yAlign="inline"/>
              <w:suppressOverlap w:val="0"/>
              <w:rPr>
                <w:b/>
                <w:bCs/>
              </w:rPr>
            </w:pPr>
            <w:r w:rsidRPr="0054775B">
              <w:t>Low</w:t>
            </w:r>
          </w:p>
        </w:tc>
        <w:tc>
          <w:tcPr>
            <w:tcW w:w="1417" w:type="dxa"/>
            <w:shd w:val="clear" w:color="auto" w:fill="auto"/>
          </w:tcPr>
          <w:p w14:paraId="4457137F" w14:textId="11845A7D" w:rsidR="009A7B21" w:rsidRPr="0054775B" w:rsidRDefault="0074171E" w:rsidP="009A7B21">
            <w:pPr>
              <w:pStyle w:val="2024TABLETEXT"/>
              <w:framePr w:hSpace="0" w:wrap="auto" w:vAnchor="margin" w:yAlign="inline"/>
              <w:suppressOverlap w:val="0"/>
              <w:rPr>
                <w:b/>
                <w:bCs/>
              </w:rPr>
            </w:pPr>
            <w:r>
              <w:t>High</w:t>
            </w:r>
          </w:p>
        </w:tc>
        <w:tc>
          <w:tcPr>
            <w:tcW w:w="1276" w:type="dxa"/>
            <w:shd w:val="clear" w:color="auto" w:fill="auto"/>
          </w:tcPr>
          <w:p w14:paraId="5B93B9FD" w14:textId="201FFBF4" w:rsidR="009A7B21" w:rsidRPr="0054775B" w:rsidRDefault="009A7B21" w:rsidP="009A7B21">
            <w:pPr>
              <w:pStyle w:val="2024TABLETEXT"/>
              <w:framePr w:hSpace="0" w:wrap="auto" w:vAnchor="margin" w:yAlign="inline"/>
              <w:suppressOverlap w:val="0"/>
            </w:pPr>
            <w:r w:rsidRPr="0054775B">
              <w:t>Low risk</w:t>
            </w:r>
          </w:p>
        </w:tc>
      </w:tr>
      <w:tr w:rsidR="002A12F7" w:rsidRPr="0054775B" w14:paraId="4998C346" w14:textId="77777777" w:rsidTr="002F1F6C">
        <w:trPr>
          <w:trHeight w:val="95"/>
        </w:trPr>
        <w:tc>
          <w:tcPr>
            <w:tcW w:w="1833" w:type="dxa"/>
            <w:shd w:val="clear" w:color="auto" w:fill="auto"/>
            <w:vAlign w:val="bottom"/>
          </w:tcPr>
          <w:p w14:paraId="65EACE6D" w14:textId="038C4D9E" w:rsidR="002A12F7" w:rsidRPr="0054775B" w:rsidRDefault="002A12F7" w:rsidP="002A12F7">
            <w:pPr>
              <w:pStyle w:val="2024TABLEHEADER"/>
              <w:spacing w:before="0" w:after="0"/>
              <w:rPr>
                <w:rFonts w:eastAsiaTheme="minorHAnsi"/>
                <w:b w:val="0"/>
                <w:bCs w:val="0"/>
              </w:rPr>
            </w:pPr>
            <w:r w:rsidRPr="0054775B">
              <w:rPr>
                <w:rFonts w:eastAsiaTheme="minorHAnsi"/>
                <w:b w:val="0"/>
                <w:bCs w:val="0"/>
              </w:rPr>
              <w:t>Bae 2018</w:t>
            </w:r>
          </w:p>
        </w:tc>
        <w:tc>
          <w:tcPr>
            <w:tcW w:w="1418" w:type="dxa"/>
            <w:shd w:val="clear" w:color="auto" w:fill="auto"/>
          </w:tcPr>
          <w:p w14:paraId="7BFE0C2D" w14:textId="2BB078AF" w:rsidR="002A12F7" w:rsidRPr="0054775B" w:rsidRDefault="002A12F7" w:rsidP="002A12F7">
            <w:pPr>
              <w:pStyle w:val="2024TABLETEXT"/>
              <w:framePr w:hSpace="0" w:wrap="auto" w:vAnchor="margin" w:yAlign="inline"/>
              <w:suppressOverlap w:val="0"/>
            </w:pPr>
            <w:r w:rsidRPr="0054775B">
              <w:t>Low</w:t>
            </w:r>
          </w:p>
        </w:tc>
        <w:tc>
          <w:tcPr>
            <w:tcW w:w="1701" w:type="dxa"/>
            <w:shd w:val="clear" w:color="auto" w:fill="auto"/>
          </w:tcPr>
          <w:p w14:paraId="5C261FB8" w14:textId="2B691DDB" w:rsidR="002A12F7" w:rsidRPr="0054775B" w:rsidRDefault="002A12F7" w:rsidP="002A12F7">
            <w:pPr>
              <w:pStyle w:val="2024TABLETEXT"/>
              <w:framePr w:hSpace="0" w:wrap="auto" w:vAnchor="margin" w:yAlign="inline"/>
              <w:suppressOverlap w:val="0"/>
            </w:pPr>
            <w:r w:rsidRPr="0054775B">
              <w:t>Unclear</w:t>
            </w:r>
          </w:p>
        </w:tc>
        <w:tc>
          <w:tcPr>
            <w:tcW w:w="1559" w:type="dxa"/>
            <w:shd w:val="clear" w:color="auto" w:fill="auto"/>
          </w:tcPr>
          <w:p w14:paraId="3D9BBBF9" w14:textId="62F656CD" w:rsidR="002A12F7" w:rsidRPr="0054775B" w:rsidRDefault="002A12F7" w:rsidP="002A12F7">
            <w:pPr>
              <w:pStyle w:val="2024TABLETEXT"/>
              <w:framePr w:hSpace="0" w:wrap="auto" w:vAnchor="margin" w:yAlign="inline"/>
              <w:suppressOverlap w:val="0"/>
            </w:pPr>
            <w:r w:rsidRPr="0054775B">
              <w:t>Low</w:t>
            </w:r>
          </w:p>
        </w:tc>
        <w:tc>
          <w:tcPr>
            <w:tcW w:w="1417" w:type="dxa"/>
            <w:shd w:val="clear" w:color="auto" w:fill="auto"/>
          </w:tcPr>
          <w:p w14:paraId="1A87090A" w14:textId="1F6CD02A" w:rsidR="002A12F7" w:rsidRPr="0054775B" w:rsidRDefault="002A12F7" w:rsidP="002A12F7">
            <w:pPr>
              <w:pStyle w:val="2024TABLETEXT"/>
              <w:framePr w:hSpace="0" w:wrap="auto" w:vAnchor="margin" w:yAlign="inline"/>
              <w:suppressOverlap w:val="0"/>
            </w:pPr>
            <w:r w:rsidRPr="0054775B">
              <w:t>Low</w:t>
            </w:r>
          </w:p>
        </w:tc>
        <w:tc>
          <w:tcPr>
            <w:tcW w:w="1276" w:type="dxa"/>
            <w:shd w:val="clear" w:color="auto" w:fill="auto"/>
          </w:tcPr>
          <w:p w14:paraId="49728658" w14:textId="2C7A9EFF" w:rsidR="002A12F7" w:rsidRPr="0054775B" w:rsidRDefault="002A12F7" w:rsidP="002A12F7">
            <w:pPr>
              <w:pStyle w:val="2024TABLETEXT"/>
              <w:framePr w:hSpace="0" w:wrap="auto" w:vAnchor="margin" w:yAlign="inline"/>
              <w:suppressOverlap w:val="0"/>
            </w:pPr>
            <w:r w:rsidRPr="0054775B">
              <w:t>Low risk</w:t>
            </w:r>
          </w:p>
        </w:tc>
      </w:tr>
      <w:tr w:rsidR="002A12F7" w:rsidRPr="0054775B" w14:paraId="7A47CFFB" w14:textId="77777777" w:rsidTr="002F1F6C">
        <w:trPr>
          <w:trHeight w:val="95"/>
        </w:trPr>
        <w:tc>
          <w:tcPr>
            <w:tcW w:w="1833" w:type="dxa"/>
            <w:shd w:val="clear" w:color="auto" w:fill="auto"/>
            <w:vAlign w:val="bottom"/>
          </w:tcPr>
          <w:p w14:paraId="04E55A60" w14:textId="2EA3D82D" w:rsidR="002A12F7" w:rsidRPr="0054775B" w:rsidRDefault="002A12F7" w:rsidP="002A12F7">
            <w:pPr>
              <w:pStyle w:val="2024TABLEHEADER"/>
              <w:spacing w:before="0" w:after="0"/>
              <w:rPr>
                <w:rFonts w:eastAsiaTheme="minorHAnsi"/>
                <w:b w:val="0"/>
                <w:bCs w:val="0"/>
              </w:rPr>
            </w:pPr>
            <w:r w:rsidRPr="0054775B">
              <w:rPr>
                <w:rFonts w:eastAsiaTheme="minorHAnsi"/>
                <w:b w:val="0"/>
                <w:bCs w:val="0"/>
              </w:rPr>
              <w:t>Bai 2018</w:t>
            </w:r>
          </w:p>
        </w:tc>
        <w:tc>
          <w:tcPr>
            <w:tcW w:w="1418" w:type="dxa"/>
            <w:shd w:val="clear" w:color="auto" w:fill="auto"/>
          </w:tcPr>
          <w:p w14:paraId="6DC8C32E" w14:textId="54DF5EBA" w:rsidR="002A12F7" w:rsidRPr="0054775B" w:rsidRDefault="002A12F7" w:rsidP="002A12F7">
            <w:pPr>
              <w:pStyle w:val="2024TABLETEXT"/>
              <w:framePr w:hSpace="0" w:wrap="auto" w:vAnchor="margin" w:yAlign="inline"/>
              <w:suppressOverlap w:val="0"/>
            </w:pPr>
            <w:r w:rsidRPr="0054775B">
              <w:t>Low</w:t>
            </w:r>
          </w:p>
        </w:tc>
        <w:tc>
          <w:tcPr>
            <w:tcW w:w="1701" w:type="dxa"/>
            <w:shd w:val="clear" w:color="auto" w:fill="auto"/>
          </w:tcPr>
          <w:p w14:paraId="49F49F4A" w14:textId="0952831D" w:rsidR="002A12F7" w:rsidRPr="0054775B" w:rsidRDefault="008B7EE9" w:rsidP="002A12F7">
            <w:pPr>
              <w:pStyle w:val="2024TABLETEXT"/>
              <w:framePr w:hSpace="0" w:wrap="auto" w:vAnchor="margin" w:yAlign="inline"/>
              <w:suppressOverlap w:val="0"/>
            </w:pPr>
            <w:r w:rsidRPr="0054775B">
              <w:t>Unclear</w:t>
            </w:r>
          </w:p>
        </w:tc>
        <w:tc>
          <w:tcPr>
            <w:tcW w:w="1559" w:type="dxa"/>
            <w:shd w:val="clear" w:color="auto" w:fill="auto"/>
          </w:tcPr>
          <w:p w14:paraId="488FC328" w14:textId="3515AEEF" w:rsidR="002A12F7" w:rsidRPr="0054775B" w:rsidRDefault="002A12F7" w:rsidP="002A12F7">
            <w:pPr>
              <w:pStyle w:val="2024TABLETEXT"/>
              <w:framePr w:hSpace="0" w:wrap="auto" w:vAnchor="margin" w:yAlign="inline"/>
              <w:suppressOverlap w:val="0"/>
            </w:pPr>
            <w:r w:rsidRPr="0054775B">
              <w:t>Low</w:t>
            </w:r>
          </w:p>
        </w:tc>
        <w:tc>
          <w:tcPr>
            <w:tcW w:w="1417" w:type="dxa"/>
            <w:shd w:val="clear" w:color="auto" w:fill="auto"/>
          </w:tcPr>
          <w:p w14:paraId="4E3EB73D" w14:textId="7EFE00E5" w:rsidR="002A12F7" w:rsidRPr="0054775B" w:rsidRDefault="008B7EE9" w:rsidP="002A12F7">
            <w:pPr>
              <w:pStyle w:val="2024TABLETEXT"/>
              <w:framePr w:hSpace="0" w:wrap="auto" w:vAnchor="margin" w:yAlign="inline"/>
              <w:suppressOverlap w:val="0"/>
            </w:pPr>
            <w:r w:rsidRPr="0054775B">
              <w:t>Unclear</w:t>
            </w:r>
          </w:p>
        </w:tc>
        <w:tc>
          <w:tcPr>
            <w:tcW w:w="1276" w:type="dxa"/>
            <w:shd w:val="clear" w:color="auto" w:fill="auto"/>
          </w:tcPr>
          <w:p w14:paraId="5708739A" w14:textId="58862A37" w:rsidR="002A12F7" w:rsidRPr="0054775B" w:rsidRDefault="008B7EE9" w:rsidP="002A12F7">
            <w:pPr>
              <w:pStyle w:val="2024TABLETEXT"/>
              <w:framePr w:hSpace="0" w:wrap="auto" w:vAnchor="margin" w:yAlign="inline"/>
              <w:suppressOverlap w:val="0"/>
            </w:pPr>
            <w:r w:rsidRPr="0054775B">
              <w:t>Unclear</w:t>
            </w:r>
            <w:r w:rsidRPr="0054775B" w:rsidDel="008B7EE9">
              <w:t xml:space="preserve"> </w:t>
            </w:r>
            <w:r w:rsidR="002A12F7" w:rsidRPr="0054775B">
              <w:t>risk</w:t>
            </w:r>
          </w:p>
        </w:tc>
      </w:tr>
      <w:tr w:rsidR="002A12F7" w:rsidRPr="0054775B" w14:paraId="7CB6AE53" w14:textId="77777777" w:rsidTr="002F1F6C">
        <w:trPr>
          <w:trHeight w:val="95"/>
        </w:trPr>
        <w:tc>
          <w:tcPr>
            <w:tcW w:w="1833" w:type="dxa"/>
            <w:shd w:val="clear" w:color="auto" w:fill="auto"/>
            <w:vAlign w:val="bottom"/>
          </w:tcPr>
          <w:p w14:paraId="725ACBD2" w14:textId="176BACC6" w:rsidR="002A12F7" w:rsidRPr="0054775B" w:rsidRDefault="002A12F7" w:rsidP="002A12F7">
            <w:pPr>
              <w:pStyle w:val="2024TABLEHEADER"/>
              <w:spacing w:before="0" w:after="0"/>
              <w:rPr>
                <w:rFonts w:eastAsiaTheme="minorHAnsi"/>
                <w:b w:val="0"/>
                <w:bCs w:val="0"/>
              </w:rPr>
            </w:pPr>
            <w:r w:rsidRPr="0054775B">
              <w:rPr>
                <w:rFonts w:eastAsiaTheme="minorHAnsi"/>
                <w:b w:val="0"/>
                <w:bCs w:val="0"/>
              </w:rPr>
              <w:t>Bai 2020</w:t>
            </w:r>
          </w:p>
        </w:tc>
        <w:tc>
          <w:tcPr>
            <w:tcW w:w="1418" w:type="dxa"/>
            <w:shd w:val="clear" w:color="auto" w:fill="auto"/>
          </w:tcPr>
          <w:p w14:paraId="204A340C" w14:textId="313B5D19" w:rsidR="002A12F7" w:rsidRPr="0054775B" w:rsidRDefault="002A12F7" w:rsidP="002A12F7">
            <w:pPr>
              <w:pStyle w:val="2024TABLETEXT"/>
              <w:framePr w:hSpace="0" w:wrap="auto" w:vAnchor="margin" w:yAlign="inline"/>
              <w:suppressOverlap w:val="0"/>
            </w:pPr>
            <w:r w:rsidRPr="0054775B">
              <w:t>Low</w:t>
            </w:r>
          </w:p>
        </w:tc>
        <w:tc>
          <w:tcPr>
            <w:tcW w:w="1701" w:type="dxa"/>
            <w:shd w:val="clear" w:color="auto" w:fill="auto"/>
          </w:tcPr>
          <w:p w14:paraId="59BB7478" w14:textId="4D6F5EB3" w:rsidR="002A12F7" w:rsidRPr="0054775B" w:rsidRDefault="002A12F7" w:rsidP="002A12F7">
            <w:pPr>
              <w:pStyle w:val="2024TABLETEXT"/>
              <w:framePr w:hSpace="0" w:wrap="auto" w:vAnchor="margin" w:yAlign="inline"/>
              <w:suppressOverlap w:val="0"/>
            </w:pPr>
            <w:r w:rsidRPr="0054775B">
              <w:t>Low</w:t>
            </w:r>
          </w:p>
        </w:tc>
        <w:tc>
          <w:tcPr>
            <w:tcW w:w="1559" w:type="dxa"/>
            <w:shd w:val="clear" w:color="auto" w:fill="auto"/>
          </w:tcPr>
          <w:p w14:paraId="076FFDB5" w14:textId="4490D1F8" w:rsidR="002A12F7" w:rsidRPr="0054775B" w:rsidRDefault="002A12F7" w:rsidP="002A12F7">
            <w:pPr>
              <w:pStyle w:val="2024TABLETEXT"/>
              <w:framePr w:hSpace="0" w:wrap="auto" w:vAnchor="margin" w:yAlign="inline"/>
              <w:suppressOverlap w:val="0"/>
            </w:pPr>
            <w:r w:rsidRPr="0054775B">
              <w:t>Low</w:t>
            </w:r>
          </w:p>
        </w:tc>
        <w:tc>
          <w:tcPr>
            <w:tcW w:w="1417" w:type="dxa"/>
            <w:shd w:val="clear" w:color="auto" w:fill="auto"/>
          </w:tcPr>
          <w:p w14:paraId="6E64C19F" w14:textId="02D3E1E0" w:rsidR="002A12F7" w:rsidRPr="0054775B" w:rsidRDefault="002A12F7" w:rsidP="002A12F7">
            <w:pPr>
              <w:pStyle w:val="2024TABLETEXT"/>
              <w:framePr w:hSpace="0" w:wrap="auto" w:vAnchor="margin" w:yAlign="inline"/>
              <w:suppressOverlap w:val="0"/>
            </w:pPr>
            <w:r w:rsidRPr="0054775B">
              <w:t>Low</w:t>
            </w:r>
          </w:p>
        </w:tc>
        <w:tc>
          <w:tcPr>
            <w:tcW w:w="1276" w:type="dxa"/>
            <w:shd w:val="clear" w:color="auto" w:fill="auto"/>
          </w:tcPr>
          <w:p w14:paraId="2A64EBCC" w14:textId="158D0C7E" w:rsidR="002A12F7" w:rsidRPr="0054775B" w:rsidRDefault="002A12F7" w:rsidP="002A12F7">
            <w:pPr>
              <w:pStyle w:val="2024TABLETEXT"/>
              <w:framePr w:hSpace="0" w:wrap="auto" w:vAnchor="margin" w:yAlign="inline"/>
              <w:suppressOverlap w:val="0"/>
            </w:pPr>
            <w:r w:rsidRPr="0054775B">
              <w:t>Low risk</w:t>
            </w:r>
          </w:p>
        </w:tc>
      </w:tr>
      <w:tr w:rsidR="002A12F7" w:rsidRPr="0054775B" w14:paraId="3958DEF6" w14:textId="77777777" w:rsidTr="002F1F6C">
        <w:trPr>
          <w:trHeight w:val="95"/>
        </w:trPr>
        <w:tc>
          <w:tcPr>
            <w:tcW w:w="1833" w:type="dxa"/>
            <w:shd w:val="clear" w:color="auto" w:fill="auto"/>
            <w:vAlign w:val="bottom"/>
          </w:tcPr>
          <w:p w14:paraId="60ABC7B6" w14:textId="7D4B6678" w:rsidR="002A12F7" w:rsidRPr="0054775B" w:rsidRDefault="002A12F7" w:rsidP="002A12F7">
            <w:pPr>
              <w:pStyle w:val="2024TABLEHEADER"/>
              <w:spacing w:before="0" w:after="0"/>
              <w:rPr>
                <w:rFonts w:eastAsiaTheme="minorHAnsi"/>
                <w:b w:val="0"/>
                <w:bCs w:val="0"/>
              </w:rPr>
            </w:pPr>
            <w:r w:rsidRPr="0054775B">
              <w:rPr>
                <w:rFonts w:eastAsiaTheme="minorHAnsi"/>
                <w:b w:val="0"/>
                <w:bCs w:val="0"/>
              </w:rPr>
              <w:t>Chowdhury 2020</w:t>
            </w:r>
          </w:p>
        </w:tc>
        <w:tc>
          <w:tcPr>
            <w:tcW w:w="1418" w:type="dxa"/>
            <w:shd w:val="clear" w:color="auto" w:fill="auto"/>
          </w:tcPr>
          <w:p w14:paraId="3919887B" w14:textId="20883507" w:rsidR="002A12F7" w:rsidRPr="0054775B" w:rsidRDefault="002A12F7" w:rsidP="002A12F7">
            <w:pPr>
              <w:pStyle w:val="2024TABLETEXT"/>
              <w:framePr w:hSpace="0" w:wrap="auto" w:vAnchor="margin" w:yAlign="inline"/>
              <w:suppressOverlap w:val="0"/>
            </w:pPr>
            <w:r w:rsidRPr="0054775B">
              <w:t>Low</w:t>
            </w:r>
          </w:p>
        </w:tc>
        <w:tc>
          <w:tcPr>
            <w:tcW w:w="1701" w:type="dxa"/>
            <w:shd w:val="clear" w:color="auto" w:fill="auto"/>
          </w:tcPr>
          <w:p w14:paraId="239597B9" w14:textId="31A98587" w:rsidR="002A12F7" w:rsidRPr="0054775B" w:rsidRDefault="002D29BB" w:rsidP="002A12F7">
            <w:pPr>
              <w:pStyle w:val="2024TABLETEXT"/>
              <w:framePr w:hSpace="0" w:wrap="auto" w:vAnchor="margin" w:yAlign="inline"/>
              <w:suppressOverlap w:val="0"/>
            </w:pPr>
            <w:r w:rsidRPr="0054775B">
              <w:t>High</w:t>
            </w:r>
          </w:p>
        </w:tc>
        <w:tc>
          <w:tcPr>
            <w:tcW w:w="1559" w:type="dxa"/>
            <w:shd w:val="clear" w:color="auto" w:fill="auto"/>
          </w:tcPr>
          <w:p w14:paraId="3CEA6129" w14:textId="292B30C8" w:rsidR="002A12F7" w:rsidRPr="0054775B" w:rsidRDefault="002D29BB" w:rsidP="002A12F7">
            <w:pPr>
              <w:pStyle w:val="2024TABLETEXT"/>
              <w:framePr w:hSpace="0" w:wrap="auto" w:vAnchor="margin" w:yAlign="inline"/>
              <w:suppressOverlap w:val="0"/>
            </w:pPr>
            <w:r w:rsidRPr="0054775B">
              <w:t>Unclear</w:t>
            </w:r>
          </w:p>
        </w:tc>
        <w:tc>
          <w:tcPr>
            <w:tcW w:w="1417" w:type="dxa"/>
            <w:shd w:val="clear" w:color="auto" w:fill="auto"/>
          </w:tcPr>
          <w:p w14:paraId="069E2A47" w14:textId="1B48BD67" w:rsidR="002A12F7" w:rsidRPr="0054775B" w:rsidRDefault="00031952" w:rsidP="002A12F7">
            <w:pPr>
              <w:pStyle w:val="2024TABLETEXT"/>
              <w:framePr w:hSpace="0" w:wrap="auto" w:vAnchor="margin" w:yAlign="inline"/>
              <w:suppressOverlap w:val="0"/>
            </w:pPr>
            <w:r w:rsidRPr="0054775B">
              <w:t>Unclear</w:t>
            </w:r>
          </w:p>
        </w:tc>
        <w:tc>
          <w:tcPr>
            <w:tcW w:w="1276" w:type="dxa"/>
            <w:shd w:val="clear" w:color="auto" w:fill="auto"/>
          </w:tcPr>
          <w:p w14:paraId="7CC8AB19" w14:textId="111B1F89" w:rsidR="002A12F7" w:rsidRPr="0054775B" w:rsidRDefault="002D29BB" w:rsidP="002A12F7">
            <w:pPr>
              <w:pStyle w:val="2024TABLETEXT"/>
              <w:framePr w:hSpace="0" w:wrap="auto" w:vAnchor="margin" w:yAlign="inline"/>
              <w:suppressOverlap w:val="0"/>
            </w:pPr>
            <w:r w:rsidRPr="0054775B">
              <w:t>High risk</w:t>
            </w:r>
          </w:p>
        </w:tc>
      </w:tr>
      <w:tr w:rsidR="002A12F7" w:rsidRPr="0054775B" w14:paraId="16C8457C" w14:textId="77777777" w:rsidTr="002F1F6C">
        <w:trPr>
          <w:trHeight w:val="95"/>
        </w:trPr>
        <w:tc>
          <w:tcPr>
            <w:tcW w:w="1833" w:type="dxa"/>
            <w:shd w:val="clear" w:color="auto" w:fill="auto"/>
            <w:vAlign w:val="bottom"/>
          </w:tcPr>
          <w:p w14:paraId="73E004B3" w14:textId="33F5FFDC" w:rsidR="002A12F7" w:rsidRPr="0054775B" w:rsidRDefault="002A12F7" w:rsidP="002A12F7">
            <w:pPr>
              <w:pStyle w:val="2024TABLEHEADER"/>
              <w:spacing w:before="0" w:after="0"/>
              <w:rPr>
                <w:rFonts w:eastAsiaTheme="minorHAnsi"/>
                <w:b w:val="0"/>
                <w:bCs w:val="0"/>
              </w:rPr>
            </w:pPr>
            <w:r w:rsidRPr="0054775B">
              <w:rPr>
                <w:rFonts w:eastAsiaTheme="minorHAnsi"/>
                <w:b w:val="0"/>
                <w:bCs w:val="0"/>
              </w:rPr>
              <w:t>Farooq 2020</w:t>
            </w:r>
          </w:p>
        </w:tc>
        <w:tc>
          <w:tcPr>
            <w:tcW w:w="1418" w:type="dxa"/>
            <w:shd w:val="clear" w:color="auto" w:fill="auto"/>
          </w:tcPr>
          <w:p w14:paraId="74213C96" w14:textId="10FE2FFF" w:rsidR="002A12F7" w:rsidRPr="0054775B" w:rsidRDefault="002A12F7" w:rsidP="002A12F7">
            <w:pPr>
              <w:pStyle w:val="2024TABLETEXT"/>
              <w:framePr w:hSpace="0" w:wrap="auto" w:vAnchor="margin" w:yAlign="inline"/>
              <w:suppressOverlap w:val="0"/>
            </w:pPr>
            <w:r w:rsidRPr="0054775B">
              <w:t>Low</w:t>
            </w:r>
          </w:p>
        </w:tc>
        <w:tc>
          <w:tcPr>
            <w:tcW w:w="1701" w:type="dxa"/>
            <w:shd w:val="clear" w:color="auto" w:fill="auto"/>
          </w:tcPr>
          <w:p w14:paraId="3A1E468C" w14:textId="533B36C9" w:rsidR="002A12F7" w:rsidRPr="0054775B" w:rsidRDefault="00031952" w:rsidP="002A12F7">
            <w:pPr>
              <w:pStyle w:val="2024TABLETEXT"/>
              <w:framePr w:hSpace="0" w:wrap="auto" w:vAnchor="margin" w:yAlign="inline"/>
              <w:suppressOverlap w:val="0"/>
            </w:pPr>
            <w:r w:rsidRPr="0054775B">
              <w:t>Unclear</w:t>
            </w:r>
          </w:p>
        </w:tc>
        <w:tc>
          <w:tcPr>
            <w:tcW w:w="1559" w:type="dxa"/>
            <w:shd w:val="clear" w:color="auto" w:fill="auto"/>
          </w:tcPr>
          <w:p w14:paraId="36852CAC" w14:textId="1BC31C85" w:rsidR="002A12F7" w:rsidRPr="0054775B" w:rsidRDefault="002A12F7" w:rsidP="002A12F7">
            <w:pPr>
              <w:pStyle w:val="2024TABLETEXT"/>
              <w:framePr w:hSpace="0" w:wrap="auto" w:vAnchor="margin" w:yAlign="inline"/>
              <w:suppressOverlap w:val="0"/>
            </w:pPr>
            <w:r w:rsidRPr="0054775B">
              <w:t>Low</w:t>
            </w:r>
          </w:p>
        </w:tc>
        <w:tc>
          <w:tcPr>
            <w:tcW w:w="1417" w:type="dxa"/>
            <w:shd w:val="clear" w:color="auto" w:fill="auto"/>
          </w:tcPr>
          <w:p w14:paraId="2E0F84B9" w14:textId="2729E985" w:rsidR="002A12F7" w:rsidRPr="0054775B" w:rsidRDefault="002A12F7" w:rsidP="002A12F7">
            <w:pPr>
              <w:pStyle w:val="2024TABLETEXT"/>
              <w:framePr w:hSpace="0" w:wrap="auto" w:vAnchor="margin" w:yAlign="inline"/>
              <w:suppressOverlap w:val="0"/>
            </w:pPr>
            <w:r w:rsidRPr="0054775B">
              <w:t>Low</w:t>
            </w:r>
          </w:p>
        </w:tc>
        <w:tc>
          <w:tcPr>
            <w:tcW w:w="1276" w:type="dxa"/>
            <w:shd w:val="clear" w:color="auto" w:fill="auto"/>
          </w:tcPr>
          <w:p w14:paraId="24637690" w14:textId="0DF05D93" w:rsidR="002A12F7" w:rsidRPr="0054775B" w:rsidRDefault="002A12F7" w:rsidP="002A12F7">
            <w:pPr>
              <w:pStyle w:val="2024TABLETEXT"/>
              <w:framePr w:hSpace="0" w:wrap="auto" w:vAnchor="margin" w:yAlign="inline"/>
              <w:suppressOverlap w:val="0"/>
            </w:pPr>
            <w:r w:rsidRPr="0054775B">
              <w:t>Low risk</w:t>
            </w:r>
          </w:p>
        </w:tc>
      </w:tr>
      <w:tr w:rsidR="002A12F7" w:rsidRPr="0054775B" w14:paraId="25F8F3C5" w14:textId="77777777" w:rsidTr="002F1F6C">
        <w:trPr>
          <w:trHeight w:val="95"/>
        </w:trPr>
        <w:tc>
          <w:tcPr>
            <w:tcW w:w="1833" w:type="dxa"/>
            <w:shd w:val="clear" w:color="auto" w:fill="auto"/>
            <w:vAlign w:val="bottom"/>
          </w:tcPr>
          <w:p w14:paraId="41EB5773" w14:textId="6FCD6A93" w:rsidR="002A12F7" w:rsidRPr="0054775B" w:rsidRDefault="002A12F7" w:rsidP="002A12F7">
            <w:pPr>
              <w:pStyle w:val="2024TABLEHEADER"/>
              <w:spacing w:before="0" w:after="0"/>
              <w:rPr>
                <w:rFonts w:eastAsiaTheme="minorHAnsi"/>
                <w:b w:val="0"/>
                <w:bCs w:val="0"/>
              </w:rPr>
            </w:pPr>
            <w:r w:rsidRPr="0054775B">
              <w:rPr>
                <w:rFonts w:eastAsiaTheme="minorHAnsi"/>
                <w:b w:val="0"/>
                <w:bCs w:val="0"/>
              </w:rPr>
              <w:t>Gabriel 2023</w:t>
            </w:r>
          </w:p>
        </w:tc>
        <w:tc>
          <w:tcPr>
            <w:tcW w:w="1418" w:type="dxa"/>
            <w:shd w:val="clear" w:color="auto" w:fill="auto"/>
          </w:tcPr>
          <w:p w14:paraId="7C86AD04" w14:textId="56B65F06" w:rsidR="002A12F7" w:rsidRPr="0054775B" w:rsidRDefault="002A12F7" w:rsidP="002A12F7">
            <w:pPr>
              <w:pStyle w:val="2024TABLETEXT"/>
              <w:framePr w:hSpace="0" w:wrap="auto" w:vAnchor="margin" w:yAlign="inline"/>
              <w:suppressOverlap w:val="0"/>
            </w:pPr>
            <w:r w:rsidRPr="0054775B">
              <w:t>Low</w:t>
            </w:r>
          </w:p>
        </w:tc>
        <w:tc>
          <w:tcPr>
            <w:tcW w:w="1701" w:type="dxa"/>
            <w:shd w:val="clear" w:color="auto" w:fill="auto"/>
          </w:tcPr>
          <w:p w14:paraId="55A87547" w14:textId="0FDC9EB6" w:rsidR="002A12F7" w:rsidRPr="0054775B" w:rsidRDefault="00591754" w:rsidP="002A12F7">
            <w:pPr>
              <w:pStyle w:val="2024TABLETEXT"/>
              <w:framePr w:hSpace="0" w:wrap="auto" w:vAnchor="margin" w:yAlign="inline"/>
              <w:suppressOverlap w:val="0"/>
            </w:pPr>
            <w:r w:rsidRPr="0054775B">
              <w:t>High</w:t>
            </w:r>
          </w:p>
        </w:tc>
        <w:tc>
          <w:tcPr>
            <w:tcW w:w="1559" w:type="dxa"/>
            <w:shd w:val="clear" w:color="auto" w:fill="auto"/>
          </w:tcPr>
          <w:p w14:paraId="3AA8042D" w14:textId="6BD97176" w:rsidR="002A12F7" w:rsidRPr="0054775B" w:rsidRDefault="002D29BB" w:rsidP="002A12F7">
            <w:pPr>
              <w:pStyle w:val="2024TABLETEXT"/>
              <w:framePr w:hSpace="0" w:wrap="auto" w:vAnchor="margin" w:yAlign="inline"/>
              <w:suppressOverlap w:val="0"/>
            </w:pPr>
            <w:r w:rsidRPr="0054775B">
              <w:t>High</w:t>
            </w:r>
          </w:p>
        </w:tc>
        <w:tc>
          <w:tcPr>
            <w:tcW w:w="1417" w:type="dxa"/>
            <w:shd w:val="clear" w:color="auto" w:fill="auto"/>
          </w:tcPr>
          <w:p w14:paraId="5AB514F4" w14:textId="05E7B5D7" w:rsidR="002A12F7" w:rsidRPr="0054775B" w:rsidRDefault="00591754" w:rsidP="002A12F7">
            <w:pPr>
              <w:pStyle w:val="2024TABLETEXT"/>
              <w:framePr w:hSpace="0" w:wrap="auto" w:vAnchor="margin" w:yAlign="inline"/>
              <w:suppressOverlap w:val="0"/>
            </w:pPr>
            <w:r w:rsidRPr="0054775B">
              <w:t>Unclear</w:t>
            </w:r>
          </w:p>
        </w:tc>
        <w:tc>
          <w:tcPr>
            <w:tcW w:w="1276" w:type="dxa"/>
            <w:shd w:val="clear" w:color="auto" w:fill="auto"/>
          </w:tcPr>
          <w:p w14:paraId="6FF1AFFA" w14:textId="1544EE10" w:rsidR="002A12F7" w:rsidRPr="0054775B" w:rsidRDefault="002D29BB" w:rsidP="002A12F7">
            <w:pPr>
              <w:pStyle w:val="2024TABLETEXT"/>
              <w:framePr w:hSpace="0" w:wrap="auto" w:vAnchor="margin" w:yAlign="inline"/>
              <w:suppressOverlap w:val="0"/>
            </w:pPr>
            <w:r w:rsidRPr="0054775B">
              <w:t>High risk</w:t>
            </w:r>
          </w:p>
        </w:tc>
      </w:tr>
      <w:tr w:rsidR="002A12F7" w:rsidRPr="0054775B" w14:paraId="055A6C7A" w14:textId="77777777" w:rsidTr="002F1F6C">
        <w:trPr>
          <w:trHeight w:val="95"/>
        </w:trPr>
        <w:tc>
          <w:tcPr>
            <w:tcW w:w="1833" w:type="dxa"/>
            <w:shd w:val="clear" w:color="auto" w:fill="auto"/>
            <w:vAlign w:val="bottom"/>
          </w:tcPr>
          <w:p w14:paraId="35491B9C" w14:textId="2B6CBF5B" w:rsidR="002A12F7" w:rsidRPr="0054775B" w:rsidRDefault="002A12F7" w:rsidP="002A12F7">
            <w:pPr>
              <w:pStyle w:val="2024TABLEHEADER"/>
              <w:spacing w:before="0" w:after="0"/>
              <w:rPr>
                <w:rFonts w:eastAsiaTheme="minorHAnsi"/>
                <w:b w:val="0"/>
                <w:bCs w:val="0"/>
              </w:rPr>
            </w:pPr>
            <w:r w:rsidRPr="0054775B">
              <w:rPr>
                <w:rFonts w:eastAsiaTheme="minorHAnsi"/>
                <w:b w:val="0"/>
                <w:bCs w:val="0"/>
              </w:rPr>
              <w:t>Liao 2019</w:t>
            </w:r>
          </w:p>
        </w:tc>
        <w:tc>
          <w:tcPr>
            <w:tcW w:w="1418" w:type="dxa"/>
            <w:shd w:val="clear" w:color="auto" w:fill="auto"/>
          </w:tcPr>
          <w:p w14:paraId="50B4F222" w14:textId="5AF8F593" w:rsidR="002A12F7" w:rsidRPr="0054775B" w:rsidRDefault="002A12F7" w:rsidP="002A12F7">
            <w:pPr>
              <w:pStyle w:val="2024TABLETEXT"/>
              <w:framePr w:hSpace="0" w:wrap="auto" w:vAnchor="margin" w:yAlign="inline"/>
              <w:suppressOverlap w:val="0"/>
            </w:pPr>
            <w:r w:rsidRPr="0054775B">
              <w:t>Low</w:t>
            </w:r>
          </w:p>
        </w:tc>
        <w:tc>
          <w:tcPr>
            <w:tcW w:w="1701" w:type="dxa"/>
            <w:shd w:val="clear" w:color="auto" w:fill="auto"/>
          </w:tcPr>
          <w:p w14:paraId="48B9E09C" w14:textId="4B6C0989" w:rsidR="002A12F7" w:rsidRPr="0054775B" w:rsidRDefault="00591754" w:rsidP="002A12F7">
            <w:pPr>
              <w:pStyle w:val="2024TABLETEXT"/>
              <w:framePr w:hSpace="0" w:wrap="auto" w:vAnchor="margin" w:yAlign="inline"/>
              <w:suppressOverlap w:val="0"/>
            </w:pPr>
            <w:r w:rsidRPr="0054775B">
              <w:t>Unclear</w:t>
            </w:r>
          </w:p>
        </w:tc>
        <w:tc>
          <w:tcPr>
            <w:tcW w:w="1559" w:type="dxa"/>
            <w:shd w:val="clear" w:color="auto" w:fill="auto"/>
          </w:tcPr>
          <w:p w14:paraId="1DEAADD8" w14:textId="2A13CF9A" w:rsidR="002A12F7" w:rsidRPr="0054775B" w:rsidRDefault="002A12F7" w:rsidP="002A12F7">
            <w:pPr>
              <w:pStyle w:val="2024TABLETEXT"/>
              <w:framePr w:hSpace="0" w:wrap="auto" w:vAnchor="margin" w:yAlign="inline"/>
              <w:suppressOverlap w:val="0"/>
            </w:pPr>
            <w:r w:rsidRPr="0054775B">
              <w:t>Low</w:t>
            </w:r>
          </w:p>
        </w:tc>
        <w:tc>
          <w:tcPr>
            <w:tcW w:w="1417" w:type="dxa"/>
            <w:shd w:val="clear" w:color="auto" w:fill="auto"/>
          </w:tcPr>
          <w:p w14:paraId="4F1C03E5" w14:textId="55100DFA" w:rsidR="002A12F7" w:rsidRPr="0054775B" w:rsidRDefault="002A12F7" w:rsidP="002A12F7">
            <w:pPr>
              <w:pStyle w:val="2024TABLETEXT"/>
              <w:framePr w:hSpace="0" w:wrap="auto" w:vAnchor="margin" w:yAlign="inline"/>
              <w:suppressOverlap w:val="0"/>
            </w:pPr>
            <w:r w:rsidRPr="0054775B">
              <w:t>Low</w:t>
            </w:r>
          </w:p>
        </w:tc>
        <w:tc>
          <w:tcPr>
            <w:tcW w:w="1276" w:type="dxa"/>
            <w:shd w:val="clear" w:color="auto" w:fill="auto"/>
          </w:tcPr>
          <w:p w14:paraId="00CE4C86" w14:textId="63F51126" w:rsidR="002A12F7" w:rsidRPr="0054775B" w:rsidRDefault="002A12F7" w:rsidP="002A12F7">
            <w:pPr>
              <w:pStyle w:val="2024TABLETEXT"/>
              <w:framePr w:hSpace="0" w:wrap="auto" w:vAnchor="margin" w:yAlign="inline"/>
              <w:suppressOverlap w:val="0"/>
            </w:pPr>
            <w:r w:rsidRPr="0054775B">
              <w:t>Low risk</w:t>
            </w:r>
          </w:p>
        </w:tc>
      </w:tr>
      <w:tr w:rsidR="002D29BB" w:rsidRPr="0054775B" w14:paraId="6065D554" w14:textId="77777777" w:rsidTr="002F1F6C">
        <w:trPr>
          <w:trHeight w:val="95"/>
        </w:trPr>
        <w:tc>
          <w:tcPr>
            <w:tcW w:w="1833" w:type="dxa"/>
            <w:shd w:val="clear" w:color="auto" w:fill="auto"/>
            <w:vAlign w:val="bottom"/>
          </w:tcPr>
          <w:p w14:paraId="23B040FA" w14:textId="427644EE" w:rsidR="002D29BB" w:rsidRPr="0054775B" w:rsidRDefault="002D29BB" w:rsidP="002D29BB">
            <w:pPr>
              <w:pStyle w:val="2024TABLEHEADER"/>
              <w:spacing w:before="0" w:after="0"/>
              <w:rPr>
                <w:rFonts w:eastAsiaTheme="minorHAnsi"/>
                <w:b w:val="0"/>
                <w:bCs w:val="0"/>
              </w:rPr>
            </w:pPr>
            <w:r w:rsidRPr="0054775B">
              <w:rPr>
                <w:rFonts w:eastAsiaTheme="minorHAnsi"/>
                <w:b w:val="0"/>
                <w:bCs w:val="0"/>
              </w:rPr>
              <w:t>Miller 2013</w:t>
            </w:r>
          </w:p>
        </w:tc>
        <w:tc>
          <w:tcPr>
            <w:tcW w:w="1418" w:type="dxa"/>
            <w:shd w:val="clear" w:color="auto" w:fill="auto"/>
          </w:tcPr>
          <w:p w14:paraId="3BB97E4D" w14:textId="3215218B" w:rsidR="002D29BB" w:rsidRPr="0054775B" w:rsidRDefault="002D29BB" w:rsidP="002D29BB">
            <w:pPr>
              <w:pStyle w:val="2024TABLETEXT"/>
              <w:framePr w:hSpace="0" w:wrap="auto" w:vAnchor="margin" w:yAlign="inline"/>
              <w:suppressOverlap w:val="0"/>
            </w:pPr>
            <w:r w:rsidRPr="0054775B">
              <w:t>Low</w:t>
            </w:r>
          </w:p>
        </w:tc>
        <w:tc>
          <w:tcPr>
            <w:tcW w:w="1701" w:type="dxa"/>
            <w:shd w:val="clear" w:color="auto" w:fill="auto"/>
          </w:tcPr>
          <w:p w14:paraId="562F34C0" w14:textId="3A83619F" w:rsidR="002D29BB" w:rsidRPr="0054775B" w:rsidRDefault="00F05157" w:rsidP="002D29BB">
            <w:pPr>
              <w:pStyle w:val="2024TABLETEXT"/>
              <w:framePr w:hSpace="0" w:wrap="auto" w:vAnchor="margin" w:yAlign="inline"/>
              <w:suppressOverlap w:val="0"/>
            </w:pPr>
            <w:r w:rsidRPr="0054775B">
              <w:t>High</w:t>
            </w:r>
          </w:p>
        </w:tc>
        <w:tc>
          <w:tcPr>
            <w:tcW w:w="1559" w:type="dxa"/>
            <w:shd w:val="clear" w:color="auto" w:fill="auto"/>
          </w:tcPr>
          <w:p w14:paraId="6C078F5A" w14:textId="006E7BCF" w:rsidR="002D29BB" w:rsidRPr="0054775B" w:rsidRDefault="002D29BB" w:rsidP="002D29BB">
            <w:pPr>
              <w:pStyle w:val="2024TABLETEXT"/>
              <w:framePr w:hSpace="0" w:wrap="auto" w:vAnchor="margin" w:yAlign="inline"/>
              <w:suppressOverlap w:val="0"/>
            </w:pPr>
            <w:r w:rsidRPr="0054775B">
              <w:t>Low</w:t>
            </w:r>
          </w:p>
        </w:tc>
        <w:tc>
          <w:tcPr>
            <w:tcW w:w="1417" w:type="dxa"/>
            <w:shd w:val="clear" w:color="auto" w:fill="auto"/>
          </w:tcPr>
          <w:p w14:paraId="79135538" w14:textId="2BDBEDCF" w:rsidR="002D29BB" w:rsidRPr="0054775B" w:rsidRDefault="00F05157" w:rsidP="002D29BB">
            <w:pPr>
              <w:pStyle w:val="2024TABLETEXT"/>
              <w:framePr w:hSpace="0" w:wrap="auto" w:vAnchor="margin" w:yAlign="inline"/>
              <w:suppressOverlap w:val="0"/>
            </w:pPr>
            <w:r w:rsidRPr="0054775B">
              <w:t>High</w:t>
            </w:r>
          </w:p>
        </w:tc>
        <w:tc>
          <w:tcPr>
            <w:tcW w:w="1276" w:type="dxa"/>
            <w:shd w:val="clear" w:color="auto" w:fill="auto"/>
          </w:tcPr>
          <w:p w14:paraId="75B94A57" w14:textId="5A7FCDC4" w:rsidR="002D29BB" w:rsidRPr="0054775B" w:rsidRDefault="00F05157" w:rsidP="002D29BB">
            <w:pPr>
              <w:pStyle w:val="2024TABLETEXT"/>
              <w:framePr w:hSpace="0" w:wrap="auto" w:vAnchor="margin" w:yAlign="inline"/>
              <w:suppressOverlap w:val="0"/>
            </w:pPr>
            <w:r>
              <w:t>Unclear</w:t>
            </w:r>
            <w:r w:rsidRPr="0054775B">
              <w:t xml:space="preserve"> </w:t>
            </w:r>
            <w:r w:rsidR="002D29BB" w:rsidRPr="0054775B">
              <w:t>risk</w:t>
            </w:r>
          </w:p>
        </w:tc>
      </w:tr>
      <w:tr w:rsidR="002D29BB" w:rsidRPr="0054775B" w14:paraId="126312A8" w14:textId="77777777" w:rsidTr="002F1F6C">
        <w:trPr>
          <w:trHeight w:val="95"/>
        </w:trPr>
        <w:tc>
          <w:tcPr>
            <w:tcW w:w="1833" w:type="dxa"/>
            <w:shd w:val="clear" w:color="auto" w:fill="auto"/>
            <w:vAlign w:val="bottom"/>
          </w:tcPr>
          <w:p w14:paraId="407BD3B1" w14:textId="6788745D" w:rsidR="002D29BB" w:rsidRPr="0054775B" w:rsidRDefault="002D29BB" w:rsidP="002D29BB">
            <w:pPr>
              <w:pStyle w:val="2024TABLEHEADER"/>
              <w:spacing w:before="0" w:after="0"/>
              <w:rPr>
                <w:rFonts w:eastAsiaTheme="minorHAnsi"/>
                <w:b w:val="0"/>
                <w:bCs w:val="0"/>
              </w:rPr>
            </w:pPr>
            <w:r w:rsidRPr="0054775B">
              <w:rPr>
                <w:rFonts w:eastAsiaTheme="minorHAnsi"/>
                <w:b w:val="0"/>
                <w:bCs w:val="0"/>
              </w:rPr>
              <w:t>Mocking 2016</w:t>
            </w:r>
          </w:p>
        </w:tc>
        <w:tc>
          <w:tcPr>
            <w:tcW w:w="1418" w:type="dxa"/>
            <w:shd w:val="clear" w:color="auto" w:fill="auto"/>
          </w:tcPr>
          <w:p w14:paraId="69750AE2" w14:textId="0376EDCC" w:rsidR="002D29BB" w:rsidRPr="0054775B" w:rsidRDefault="002D29BB" w:rsidP="002D29BB">
            <w:pPr>
              <w:pStyle w:val="2024TABLETEXT"/>
              <w:framePr w:hSpace="0" w:wrap="auto" w:vAnchor="margin" w:yAlign="inline"/>
              <w:suppressOverlap w:val="0"/>
            </w:pPr>
            <w:r w:rsidRPr="0054775B">
              <w:t>Low</w:t>
            </w:r>
          </w:p>
        </w:tc>
        <w:tc>
          <w:tcPr>
            <w:tcW w:w="1701" w:type="dxa"/>
            <w:shd w:val="clear" w:color="auto" w:fill="auto"/>
          </w:tcPr>
          <w:p w14:paraId="4A2F7B49" w14:textId="048D56AF" w:rsidR="002D29BB" w:rsidRPr="0054775B" w:rsidRDefault="002D29BB" w:rsidP="002D29BB">
            <w:pPr>
              <w:pStyle w:val="2024TABLETEXT"/>
              <w:framePr w:hSpace="0" w:wrap="auto" w:vAnchor="margin" w:yAlign="inline"/>
              <w:suppressOverlap w:val="0"/>
            </w:pPr>
            <w:r w:rsidRPr="0054775B">
              <w:t>Low</w:t>
            </w:r>
          </w:p>
        </w:tc>
        <w:tc>
          <w:tcPr>
            <w:tcW w:w="1559" w:type="dxa"/>
            <w:shd w:val="clear" w:color="auto" w:fill="auto"/>
          </w:tcPr>
          <w:p w14:paraId="1A996AAD" w14:textId="3D432FCF" w:rsidR="002D29BB" w:rsidRPr="0054775B" w:rsidRDefault="002D29BB" w:rsidP="002D29BB">
            <w:pPr>
              <w:pStyle w:val="2024TABLETEXT"/>
              <w:framePr w:hSpace="0" w:wrap="auto" w:vAnchor="margin" w:yAlign="inline"/>
              <w:suppressOverlap w:val="0"/>
            </w:pPr>
            <w:r w:rsidRPr="0054775B">
              <w:t>Low</w:t>
            </w:r>
          </w:p>
        </w:tc>
        <w:tc>
          <w:tcPr>
            <w:tcW w:w="1417" w:type="dxa"/>
            <w:shd w:val="clear" w:color="auto" w:fill="auto"/>
          </w:tcPr>
          <w:p w14:paraId="0A9E2972" w14:textId="558DEB2E" w:rsidR="002D29BB" w:rsidRPr="0054775B" w:rsidRDefault="002D29BB" w:rsidP="002D29BB">
            <w:pPr>
              <w:pStyle w:val="2024TABLETEXT"/>
              <w:framePr w:hSpace="0" w:wrap="auto" w:vAnchor="margin" w:yAlign="inline"/>
              <w:suppressOverlap w:val="0"/>
            </w:pPr>
            <w:r w:rsidRPr="0054775B">
              <w:t>Low</w:t>
            </w:r>
          </w:p>
        </w:tc>
        <w:tc>
          <w:tcPr>
            <w:tcW w:w="1276" w:type="dxa"/>
            <w:shd w:val="clear" w:color="auto" w:fill="auto"/>
          </w:tcPr>
          <w:p w14:paraId="70A8AF89" w14:textId="4084372D" w:rsidR="002D29BB" w:rsidRPr="0054775B" w:rsidRDefault="002D29BB" w:rsidP="002D29BB">
            <w:pPr>
              <w:pStyle w:val="2024TABLETEXT"/>
              <w:framePr w:hSpace="0" w:wrap="auto" w:vAnchor="margin" w:yAlign="inline"/>
              <w:suppressOverlap w:val="0"/>
            </w:pPr>
            <w:r w:rsidRPr="0054775B">
              <w:t>Low risk</w:t>
            </w:r>
          </w:p>
        </w:tc>
      </w:tr>
      <w:tr w:rsidR="002D29BB" w:rsidRPr="0054775B" w14:paraId="4246BBB3" w14:textId="77777777" w:rsidTr="002F1F6C">
        <w:trPr>
          <w:trHeight w:val="95"/>
        </w:trPr>
        <w:tc>
          <w:tcPr>
            <w:tcW w:w="1833" w:type="dxa"/>
            <w:shd w:val="clear" w:color="auto" w:fill="auto"/>
            <w:vAlign w:val="bottom"/>
          </w:tcPr>
          <w:p w14:paraId="4947819C" w14:textId="027139CF" w:rsidR="002D29BB" w:rsidRPr="0054775B" w:rsidRDefault="002D29BB" w:rsidP="002D29BB">
            <w:pPr>
              <w:pStyle w:val="2024TABLEHEADER"/>
              <w:spacing w:before="0" w:after="0"/>
              <w:rPr>
                <w:rFonts w:eastAsiaTheme="minorHAnsi"/>
                <w:b w:val="0"/>
                <w:bCs w:val="0"/>
              </w:rPr>
            </w:pPr>
            <w:r w:rsidRPr="0054775B">
              <w:rPr>
                <w:rFonts w:eastAsiaTheme="minorHAnsi"/>
                <w:b w:val="0"/>
                <w:bCs w:val="0"/>
              </w:rPr>
              <w:t>Mocking 2020</w:t>
            </w:r>
          </w:p>
        </w:tc>
        <w:tc>
          <w:tcPr>
            <w:tcW w:w="1418" w:type="dxa"/>
            <w:shd w:val="clear" w:color="auto" w:fill="auto"/>
          </w:tcPr>
          <w:p w14:paraId="57441B2E" w14:textId="2B458FAB" w:rsidR="002D29BB" w:rsidRPr="0054775B" w:rsidRDefault="002D29BB" w:rsidP="002D29BB">
            <w:pPr>
              <w:pStyle w:val="2024TABLETEXT"/>
              <w:framePr w:hSpace="0" w:wrap="auto" w:vAnchor="margin" w:yAlign="inline"/>
              <w:suppressOverlap w:val="0"/>
            </w:pPr>
            <w:r w:rsidRPr="0054775B">
              <w:t>Low</w:t>
            </w:r>
          </w:p>
        </w:tc>
        <w:tc>
          <w:tcPr>
            <w:tcW w:w="1701" w:type="dxa"/>
            <w:shd w:val="clear" w:color="auto" w:fill="auto"/>
          </w:tcPr>
          <w:p w14:paraId="6AD3A7EC" w14:textId="26A55031" w:rsidR="002D29BB" w:rsidRPr="0054775B" w:rsidRDefault="002D29BB" w:rsidP="002D29BB">
            <w:pPr>
              <w:pStyle w:val="2024TABLETEXT"/>
              <w:framePr w:hSpace="0" w:wrap="auto" w:vAnchor="margin" w:yAlign="inline"/>
              <w:suppressOverlap w:val="0"/>
            </w:pPr>
            <w:r w:rsidRPr="0054775B">
              <w:t>Low</w:t>
            </w:r>
          </w:p>
        </w:tc>
        <w:tc>
          <w:tcPr>
            <w:tcW w:w="1559" w:type="dxa"/>
            <w:shd w:val="clear" w:color="auto" w:fill="auto"/>
          </w:tcPr>
          <w:p w14:paraId="54DDFE5F" w14:textId="2F021CB4" w:rsidR="002D29BB" w:rsidRPr="0054775B" w:rsidRDefault="002D29BB" w:rsidP="002D29BB">
            <w:pPr>
              <w:pStyle w:val="2024TABLETEXT"/>
              <w:framePr w:hSpace="0" w:wrap="auto" w:vAnchor="margin" w:yAlign="inline"/>
              <w:suppressOverlap w:val="0"/>
            </w:pPr>
            <w:r w:rsidRPr="0054775B">
              <w:t>Low</w:t>
            </w:r>
          </w:p>
        </w:tc>
        <w:tc>
          <w:tcPr>
            <w:tcW w:w="1417" w:type="dxa"/>
            <w:shd w:val="clear" w:color="auto" w:fill="auto"/>
          </w:tcPr>
          <w:p w14:paraId="63746318" w14:textId="7F13E201" w:rsidR="002D29BB" w:rsidRPr="0054775B" w:rsidRDefault="002D29BB" w:rsidP="002D29BB">
            <w:pPr>
              <w:pStyle w:val="2024TABLETEXT"/>
              <w:framePr w:hSpace="0" w:wrap="auto" w:vAnchor="margin" w:yAlign="inline"/>
              <w:suppressOverlap w:val="0"/>
            </w:pPr>
            <w:r w:rsidRPr="0054775B">
              <w:t>Low</w:t>
            </w:r>
          </w:p>
        </w:tc>
        <w:tc>
          <w:tcPr>
            <w:tcW w:w="1276" w:type="dxa"/>
            <w:shd w:val="clear" w:color="auto" w:fill="auto"/>
          </w:tcPr>
          <w:p w14:paraId="030A6EBB" w14:textId="38D23E8B" w:rsidR="002D29BB" w:rsidRPr="0054775B" w:rsidRDefault="002D29BB" w:rsidP="002D29BB">
            <w:pPr>
              <w:pStyle w:val="2024TABLETEXT"/>
              <w:framePr w:hSpace="0" w:wrap="auto" w:vAnchor="margin" w:yAlign="inline"/>
              <w:suppressOverlap w:val="0"/>
            </w:pPr>
            <w:r w:rsidRPr="0054775B">
              <w:t>Low risk</w:t>
            </w:r>
          </w:p>
        </w:tc>
      </w:tr>
      <w:tr w:rsidR="002D29BB" w:rsidRPr="0054775B" w14:paraId="3F1FA887" w14:textId="77777777" w:rsidTr="002F1F6C">
        <w:trPr>
          <w:trHeight w:val="95"/>
        </w:trPr>
        <w:tc>
          <w:tcPr>
            <w:tcW w:w="1833" w:type="dxa"/>
            <w:shd w:val="clear" w:color="auto" w:fill="auto"/>
            <w:vAlign w:val="bottom"/>
          </w:tcPr>
          <w:p w14:paraId="080AFBB0" w14:textId="7F8460D4" w:rsidR="002D29BB" w:rsidRPr="0054775B" w:rsidRDefault="002D29BB" w:rsidP="002D29BB">
            <w:pPr>
              <w:pStyle w:val="2024TABLEHEADER"/>
              <w:spacing w:before="0" w:after="0"/>
              <w:rPr>
                <w:rFonts w:eastAsiaTheme="minorHAnsi"/>
                <w:b w:val="0"/>
                <w:bCs w:val="0"/>
              </w:rPr>
            </w:pPr>
            <w:r w:rsidRPr="0054775B">
              <w:rPr>
                <w:rFonts w:eastAsiaTheme="minorHAnsi"/>
                <w:b w:val="0"/>
                <w:bCs w:val="0"/>
              </w:rPr>
              <w:t>Morrell 2016</w:t>
            </w:r>
          </w:p>
        </w:tc>
        <w:tc>
          <w:tcPr>
            <w:tcW w:w="1418" w:type="dxa"/>
            <w:shd w:val="clear" w:color="auto" w:fill="auto"/>
          </w:tcPr>
          <w:p w14:paraId="286653B9" w14:textId="74B62FD6" w:rsidR="002D29BB" w:rsidRPr="0054775B" w:rsidRDefault="002D29BB" w:rsidP="002D29BB">
            <w:pPr>
              <w:pStyle w:val="2024TABLETEXT"/>
              <w:framePr w:hSpace="0" w:wrap="auto" w:vAnchor="margin" w:yAlign="inline"/>
              <w:suppressOverlap w:val="0"/>
            </w:pPr>
            <w:r w:rsidRPr="0054775B">
              <w:t>Low</w:t>
            </w:r>
          </w:p>
        </w:tc>
        <w:tc>
          <w:tcPr>
            <w:tcW w:w="1701" w:type="dxa"/>
            <w:shd w:val="clear" w:color="auto" w:fill="auto"/>
          </w:tcPr>
          <w:p w14:paraId="78A6B04D" w14:textId="40D96252" w:rsidR="002D29BB" w:rsidRPr="0054775B" w:rsidRDefault="00C34BF9" w:rsidP="002D29BB">
            <w:pPr>
              <w:pStyle w:val="2024TABLETEXT"/>
              <w:framePr w:hSpace="0" w:wrap="auto" w:vAnchor="margin" w:yAlign="inline"/>
              <w:suppressOverlap w:val="0"/>
            </w:pPr>
            <w:r w:rsidRPr="0054775B">
              <w:t>Unclear</w:t>
            </w:r>
          </w:p>
        </w:tc>
        <w:tc>
          <w:tcPr>
            <w:tcW w:w="1559" w:type="dxa"/>
            <w:shd w:val="clear" w:color="auto" w:fill="auto"/>
          </w:tcPr>
          <w:p w14:paraId="2DC680D8" w14:textId="5F3050F5" w:rsidR="002D29BB" w:rsidRPr="0054775B" w:rsidRDefault="002D29BB" w:rsidP="002D29BB">
            <w:pPr>
              <w:pStyle w:val="2024TABLETEXT"/>
              <w:framePr w:hSpace="0" w:wrap="auto" w:vAnchor="margin" w:yAlign="inline"/>
              <w:suppressOverlap w:val="0"/>
            </w:pPr>
            <w:r w:rsidRPr="0054775B">
              <w:t>Low</w:t>
            </w:r>
          </w:p>
        </w:tc>
        <w:tc>
          <w:tcPr>
            <w:tcW w:w="1417" w:type="dxa"/>
            <w:shd w:val="clear" w:color="auto" w:fill="auto"/>
          </w:tcPr>
          <w:p w14:paraId="3349B683" w14:textId="0630C587" w:rsidR="002D29BB" w:rsidRPr="0054775B" w:rsidRDefault="00C34BF9" w:rsidP="002D29BB">
            <w:pPr>
              <w:pStyle w:val="2024TABLETEXT"/>
              <w:framePr w:hSpace="0" w:wrap="auto" w:vAnchor="margin" w:yAlign="inline"/>
              <w:suppressOverlap w:val="0"/>
            </w:pPr>
            <w:r w:rsidRPr="0054775B">
              <w:t>High</w:t>
            </w:r>
          </w:p>
        </w:tc>
        <w:tc>
          <w:tcPr>
            <w:tcW w:w="1276" w:type="dxa"/>
            <w:shd w:val="clear" w:color="auto" w:fill="auto"/>
          </w:tcPr>
          <w:p w14:paraId="2DEB837A" w14:textId="703128C4" w:rsidR="002D29BB" w:rsidRPr="0054775B" w:rsidRDefault="002D29BB" w:rsidP="002D29BB">
            <w:pPr>
              <w:pStyle w:val="2024TABLETEXT"/>
              <w:framePr w:hSpace="0" w:wrap="auto" w:vAnchor="margin" w:yAlign="inline"/>
              <w:suppressOverlap w:val="0"/>
            </w:pPr>
            <w:r w:rsidRPr="0054775B">
              <w:t>Low risk</w:t>
            </w:r>
          </w:p>
        </w:tc>
      </w:tr>
      <w:tr w:rsidR="002D29BB" w:rsidRPr="0054775B" w14:paraId="2399D46E" w14:textId="77777777" w:rsidTr="002F1F6C">
        <w:trPr>
          <w:trHeight w:val="95"/>
        </w:trPr>
        <w:tc>
          <w:tcPr>
            <w:tcW w:w="1833" w:type="dxa"/>
            <w:shd w:val="clear" w:color="auto" w:fill="auto"/>
            <w:vAlign w:val="bottom"/>
          </w:tcPr>
          <w:p w14:paraId="5F291089" w14:textId="1B4071AE" w:rsidR="002D29BB" w:rsidRPr="0054775B" w:rsidRDefault="002D29BB" w:rsidP="002D29BB">
            <w:pPr>
              <w:pStyle w:val="2024TABLEHEADER"/>
              <w:spacing w:before="0" w:after="0"/>
              <w:rPr>
                <w:rFonts w:eastAsiaTheme="minorHAnsi"/>
                <w:b w:val="0"/>
                <w:bCs w:val="0"/>
              </w:rPr>
            </w:pPr>
            <w:r w:rsidRPr="0054775B">
              <w:rPr>
                <w:rFonts w:eastAsiaTheme="minorHAnsi"/>
                <w:b w:val="0"/>
                <w:bCs w:val="0"/>
              </w:rPr>
              <w:t>Newberry 2016</w:t>
            </w:r>
          </w:p>
        </w:tc>
        <w:tc>
          <w:tcPr>
            <w:tcW w:w="1418" w:type="dxa"/>
            <w:shd w:val="clear" w:color="auto" w:fill="auto"/>
          </w:tcPr>
          <w:p w14:paraId="456C4B3C" w14:textId="113B4247" w:rsidR="002D29BB" w:rsidRPr="0054775B" w:rsidRDefault="002D29BB" w:rsidP="002D29BB">
            <w:pPr>
              <w:pStyle w:val="2024TABLETEXT"/>
              <w:framePr w:hSpace="0" w:wrap="auto" w:vAnchor="margin" w:yAlign="inline"/>
              <w:suppressOverlap w:val="0"/>
            </w:pPr>
            <w:r w:rsidRPr="0054775B">
              <w:t>Low</w:t>
            </w:r>
          </w:p>
        </w:tc>
        <w:tc>
          <w:tcPr>
            <w:tcW w:w="1701" w:type="dxa"/>
            <w:shd w:val="clear" w:color="auto" w:fill="auto"/>
          </w:tcPr>
          <w:p w14:paraId="668F131D" w14:textId="296A54A4" w:rsidR="002D29BB" w:rsidRPr="0054775B" w:rsidRDefault="002D29BB" w:rsidP="002D29BB">
            <w:pPr>
              <w:pStyle w:val="2024TABLETEXT"/>
              <w:framePr w:hSpace="0" w:wrap="auto" w:vAnchor="margin" w:yAlign="inline"/>
              <w:suppressOverlap w:val="0"/>
            </w:pPr>
            <w:r w:rsidRPr="0054775B">
              <w:t>Unclear</w:t>
            </w:r>
          </w:p>
        </w:tc>
        <w:tc>
          <w:tcPr>
            <w:tcW w:w="1559" w:type="dxa"/>
            <w:shd w:val="clear" w:color="auto" w:fill="auto"/>
          </w:tcPr>
          <w:p w14:paraId="19DD22F8" w14:textId="6F3DEFEB" w:rsidR="002D29BB" w:rsidRPr="0054775B" w:rsidRDefault="002D29BB" w:rsidP="002D29BB">
            <w:pPr>
              <w:pStyle w:val="2024TABLETEXT"/>
              <w:framePr w:hSpace="0" w:wrap="auto" w:vAnchor="margin" w:yAlign="inline"/>
              <w:suppressOverlap w:val="0"/>
            </w:pPr>
            <w:r w:rsidRPr="0054775B">
              <w:t>Low</w:t>
            </w:r>
          </w:p>
        </w:tc>
        <w:tc>
          <w:tcPr>
            <w:tcW w:w="1417" w:type="dxa"/>
            <w:shd w:val="clear" w:color="auto" w:fill="auto"/>
          </w:tcPr>
          <w:p w14:paraId="539338FE" w14:textId="3629EA21" w:rsidR="002D29BB" w:rsidRPr="0054775B" w:rsidRDefault="002D29BB" w:rsidP="002D29BB">
            <w:pPr>
              <w:pStyle w:val="2024TABLETEXT"/>
              <w:framePr w:hSpace="0" w:wrap="auto" w:vAnchor="margin" w:yAlign="inline"/>
              <w:suppressOverlap w:val="0"/>
            </w:pPr>
            <w:r w:rsidRPr="0054775B">
              <w:t>Low</w:t>
            </w:r>
          </w:p>
        </w:tc>
        <w:tc>
          <w:tcPr>
            <w:tcW w:w="1276" w:type="dxa"/>
            <w:shd w:val="clear" w:color="auto" w:fill="auto"/>
          </w:tcPr>
          <w:p w14:paraId="51FE4B41" w14:textId="0107D314" w:rsidR="002D29BB" w:rsidRPr="0054775B" w:rsidRDefault="002D29BB" w:rsidP="002D29BB">
            <w:pPr>
              <w:pStyle w:val="2024TABLETEXT"/>
              <w:framePr w:hSpace="0" w:wrap="auto" w:vAnchor="margin" w:yAlign="inline"/>
              <w:suppressOverlap w:val="0"/>
            </w:pPr>
            <w:r w:rsidRPr="0054775B">
              <w:t>Low risk</w:t>
            </w:r>
          </w:p>
        </w:tc>
      </w:tr>
      <w:tr w:rsidR="0031733F" w:rsidRPr="0054775B" w14:paraId="315DBB1E" w14:textId="77777777" w:rsidTr="002F1F6C">
        <w:trPr>
          <w:trHeight w:val="95"/>
        </w:trPr>
        <w:tc>
          <w:tcPr>
            <w:tcW w:w="1833" w:type="dxa"/>
            <w:shd w:val="clear" w:color="auto" w:fill="auto"/>
            <w:vAlign w:val="bottom"/>
          </w:tcPr>
          <w:p w14:paraId="5F960FD7" w14:textId="032AE728" w:rsidR="0031733F" w:rsidRPr="0054775B" w:rsidRDefault="0031733F" w:rsidP="0031733F">
            <w:pPr>
              <w:pStyle w:val="2024TABLEHEADER"/>
              <w:spacing w:before="0" w:after="0"/>
              <w:rPr>
                <w:rFonts w:eastAsiaTheme="minorHAnsi"/>
                <w:b w:val="0"/>
                <w:bCs w:val="0"/>
              </w:rPr>
            </w:pPr>
            <w:r w:rsidRPr="0054775B">
              <w:rPr>
                <w:rFonts w:eastAsiaTheme="minorHAnsi"/>
                <w:b w:val="0"/>
                <w:bCs w:val="0"/>
              </w:rPr>
              <w:t>Saccone 2016</w:t>
            </w:r>
          </w:p>
        </w:tc>
        <w:tc>
          <w:tcPr>
            <w:tcW w:w="1418" w:type="dxa"/>
            <w:shd w:val="clear" w:color="auto" w:fill="auto"/>
          </w:tcPr>
          <w:p w14:paraId="1AEA8818" w14:textId="01FA6977" w:rsidR="0031733F" w:rsidRPr="0054775B" w:rsidRDefault="0031733F" w:rsidP="0031733F">
            <w:pPr>
              <w:pStyle w:val="2024TABLETEXT"/>
              <w:framePr w:hSpace="0" w:wrap="auto" w:vAnchor="margin" w:yAlign="inline"/>
              <w:suppressOverlap w:val="0"/>
            </w:pPr>
            <w:r w:rsidRPr="0054775B">
              <w:t>Low</w:t>
            </w:r>
          </w:p>
        </w:tc>
        <w:tc>
          <w:tcPr>
            <w:tcW w:w="1701" w:type="dxa"/>
            <w:shd w:val="clear" w:color="auto" w:fill="auto"/>
          </w:tcPr>
          <w:p w14:paraId="3273C428" w14:textId="7EACAEFA" w:rsidR="0031733F" w:rsidRPr="0054775B" w:rsidRDefault="0031733F" w:rsidP="0031733F">
            <w:pPr>
              <w:pStyle w:val="2024TABLETEXT"/>
              <w:framePr w:hSpace="0" w:wrap="auto" w:vAnchor="margin" w:yAlign="inline"/>
              <w:suppressOverlap w:val="0"/>
            </w:pPr>
            <w:r w:rsidRPr="0054775B">
              <w:t>Low</w:t>
            </w:r>
          </w:p>
        </w:tc>
        <w:tc>
          <w:tcPr>
            <w:tcW w:w="1559" w:type="dxa"/>
            <w:shd w:val="clear" w:color="auto" w:fill="auto"/>
          </w:tcPr>
          <w:p w14:paraId="1E38F84B" w14:textId="41C1A83B" w:rsidR="0031733F" w:rsidRPr="0054775B" w:rsidRDefault="0031733F" w:rsidP="0031733F">
            <w:pPr>
              <w:pStyle w:val="2024TABLETEXT"/>
              <w:framePr w:hSpace="0" w:wrap="auto" w:vAnchor="margin" w:yAlign="inline"/>
              <w:suppressOverlap w:val="0"/>
            </w:pPr>
            <w:r w:rsidRPr="0054775B">
              <w:t>Low</w:t>
            </w:r>
          </w:p>
        </w:tc>
        <w:tc>
          <w:tcPr>
            <w:tcW w:w="1417" w:type="dxa"/>
            <w:shd w:val="clear" w:color="auto" w:fill="auto"/>
          </w:tcPr>
          <w:p w14:paraId="0A9A0CD9" w14:textId="10CD4616" w:rsidR="0031733F" w:rsidRPr="0054775B" w:rsidRDefault="00500A72" w:rsidP="0031733F">
            <w:pPr>
              <w:pStyle w:val="2024TABLETEXT"/>
              <w:framePr w:hSpace="0" w:wrap="auto" w:vAnchor="margin" w:yAlign="inline"/>
              <w:suppressOverlap w:val="0"/>
            </w:pPr>
            <w:r w:rsidRPr="0054775B">
              <w:t>Unclear</w:t>
            </w:r>
          </w:p>
        </w:tc>
        <w:tc>
          <w:tcPr>
            <w:tcW w:w="1276" w:type="dxa"/>
            <w:shd w:val="clear" w:color="auto" w:fill="auto"/>
          </w:tcPr>
          <w:p w14:paraId="52EB8BC4" w14:textId="70C24F6A" w:rsidR="0031733F" w:rsidRPr="0054775B" w:rsidRDefault="00500A72" w:rsidP="0031733F">
            <w:pPr>
              <w:pStyle w:val="2024TABLETEXT"/>
              <w:framePr w:hSpace="0" w:wrap="auto" w:vAnchor="margin" w:yAlign="inline"/>
              <w:suppressOverlap w:val="0"/>
            </w:pPr>
            <w:r w:rsidRPr="0054775B">
              <w:t>Unclear</w:t>
            </w:r>
            <w:r w:rsidRPr="0054775B" w:rsidDel="00500A72">
              <w:t xml:space="preserve"> </w:t>
            </w:r>
            <w:r w:rsidR="0031733F" w:rsidRPr="0054775B">
              <w:t>risk</w:t>
            </w:r>
          </w:p>
        </w:tc>
      </w:tr>
      <w:tr w:rsidR="0031733F" w:rsidRPr="0054775B" w14:paraId="5B21E7D0" w14:textId="77777777" w:rsidTr="002F1F6C">
        <w:trPr>
          <w:trHeight w:val="95"/>
        </w:trPr>
        <w:tc>
          <w:tcPr>
            <w:tcW w:w="1833" w:type="dxa"/>
            <w:shd w:val="clear" w:color="auto" w:fill="auto"/>
            <w:vAlign w:val="bottom"/>
          </w:tcPr>
          <w:p w14:paraId="23BAAD5C" w14:textId="368A296A" w:rsidR="0031733F" w:rsidRPr="0054775B" w:rsidRDefault="0031733F" w:rsidP="0031733F">
            <w:pPr>
              <w:pStyle w:val="2024TABLEHEADER"/>
              <w:spacing w:before="0" w:after="0"/>
              <w:rPr>
                <w:rFonts w:eastAsiaTheme="minorHAnsi"/>
                <w:b w:val="0"/>
                <w:bCs w:val="0"/>
              </w:rPr>
            </w:pPr>
            <w:r w:rsidRPr="0054775B">
              <w:rPr>
                <w:rFonts w:eastAsiaTheme="minorHAnsi"/>
                <w:b w:val="0"/>
                <w:bCs w:val="0"/>
              </w:rPr>
              <w:t>Sarris 2012</w:t>
            </w:r>
          </w:p>
        </w:tc>
        <w:tc>
          <w:tcPr>
            <w:tcW w:w="1418" w:type="dxa"/>
            <w:shd w:val="clear" w:color="auto" w:fill="auto"/>
          </w:tcPr>
          <w:p w14:paraId="4B99706C" w14:textId="490075C5" w:rsidR="0031733F" w:rsidRPr="0054775B" w:rsidRDefault="00E178E5" w:rsidP="0031733F">
            <w:pPr>
              <w:pStyle w:val="2024TABLETEXT"/>
              <w:framePr w:hSpace="0" w:wrap="auto" w:vAnchor="margin" w:yAlign="inline"/>
              <w:suppressOverlap w:val="0"/>
            </w:pPr>
            <w:r w:rsidRPr="00F266B8">
              <w:t>Low</w:t>
            </w:r>
          </w:p>
        </w:tc>
        <w:tc>
          <w:tcPr>
            <w:tcW w:w="1701" w:type="dxa"/>
            <w:shd w:val="clear" w:color="auto" w:fill="auto"/>
          </w:tcPr>
          <w:p w14:paraId="587ABC72" w14:textId="7EA5FE48" w:rsidR="0031733F" w:rsidRPr="0054775B" w:rsidRDefault="00E178E5" w:rsidP="0031733F">
            <w:pPr>
              <w:pStyle w:val="2024TABLETEXT"/>
              <w:framePr w:hSpace="0" w:wrap="auto" w:vAnchor="margin" w:yAlign="inline"/>
              <w:suppressOverlap w:val="0"/>
            </w:pPr>
            <w:r w:rsidRPr="00F266B8">
              <w:t>Low</w:t>
            </w:r>
          </w:p>
        </w:tc>
        <w:tc>
          <w:tcPr>
            <w:tcW w:w="1559" w:type="dxa"/>
            <w:shd w:val="clear" w:color="auto" w:fill="auto"/>
          </w:tcPr>
          <w:p w14:paraId="779C39C0" w14:textId="0CBBDE48" w:rsidR="0031733F" w:rsidRPr="0054775B" w:rsidRDefault="0031733F" w:rsidP="0031733F">
            <w:pPr>
              <w:pStyle w:val="2024TABLETEXT"/>
              <w:framePr w:hSpace="0" w:wrap="auto" w:vAnchor="margin" w:yAlign="inline"/>
              <w:suppressOverlap w:val="0"/>
            </w:pPr>
            <w:r w:rsidRPr="0054775B">
              <w:t>Low</w:t>
            </w:r>
          </w:p>
        </w:tc>
        <w:tc>
          <w:tcPr>
            <w:tcW w:w="1417" w:type="dxa"/>
            <w:shd w:val="clear" w:color="auto" w:fill="auto"/>
          </w:tcPr>
          <w:p w14:paraId="3F6080DF" w14:textId="1E4B2D4D" w:rsidR="0031733F" w:rsidRPr="0054775B" w:rsidRDefault="0031733F" w:rsidP="0031733F">
            <w:pPr>
              <w:pStyle w:val="2024TABLETEXT"/>
              <w:framePr w:hSpace="0" w:wrap="auto" w:vAnchor="margin" w:yAlign="inline"/>
              <w:suppressOverlap w:val="0"/>
            </w:pPr>
            <w:r w:rsidRPr="0054775B">
              <w:t>Low</w:t>
            </w:r>
          </w:p>
        </w:tc>
        <w:tc>
          <w:tcPr>
            <w:tcW w:w="1276" w:type="dxa"/>
            <w:shd w:val="clear" w:color="auto" w:fill="auto"/>
          </w:tcPr>
          <w:p w14:paraId="743CCA18" w14:textId="45159ED7" w:rsidR="0031733F" w:rsidRPr="0054775B" w:rsidRDefault="0031733F" w:rsidP="0031733F">
            <w:pPr>
              <w:pStyle w:val="2024TABLETEXT"/>
              <w:framePr w:hSpace="0" w:wrap="auto" w:vAnchor="margin" w:yAlign="inline"/>
              <w:suppressOverlap w:val="0"/>
            </w:pPr>
            <w:r w:rsidRPr="0054775B">
              <w:t>Low risk</w:t>
            </w:r>
          </w:p>
        </w:tc>
      </w:tr>
      <w:tr w:rsidR="0031733F" w:rsidRPr="0054775B" w14:paraId="0BA7CCEB" w14:textId="77777777" w:rsidTr="002F1F6C">
        <w:trPr>
          <w:trHeight w:val="95"/>
        </w:trPr>
        <w:tc>
          <w:tcPr>
            <w:tcW w:w="1833" w:type="dxa"/>
            <w:shd w:val="clear" w:color="auto" w:fill="auto"/>
            <w:vAlign w:val="bottom"/>
          </w:tcPr>
          <w:p w14:paraId="50D7A793" w14:textId="2145EF9C" w:rsidR="0031733F" w:rsidRPr="0054775B" w:rsidRDefault="0031733F" w:rsidP="0031733F">
            <w:pPr>
              <w:pStyle w:val="2024TABLEHEADER"/>
              <w:spacing w:before="0" w:after="0"/>
              <w:rPr>
                <w:rFonts w:eastAsiaTheme="minorHAnsi"/>
                <w:b w:val="0"/>
                <w:bCs w:val="0"/>
              </w:rPr>
            </w:pPr>
            <w:r w:rsidRPr="0054775B">
              <w:rPr>
                <w:rFonts w:eastAsiaTheme="minorHAnsi"/>
                <w:b w:val="0"/>
                <w:bCs w:val="0"/>
              </w:rPr>
              <w:t>Suradom 2021</w:t>
            </w:r>
          </w:p>
        </w:tc>
        <w:tc>
          <w:tcPr>
            <w:tcW w:w="1418" w:type="dxa"/>
            <w:shd w:val="clear" w:color="auto" w:fill="auto"/>
          </w:tcPr>
          <w:p w14:paraId="7C44A3C4" w14:textId="2833382B" w:rsidR="0031733F" w:rsidRPr="0054775B" w:rsidRDefault="0031733F" w:rsidP="0031733F">
            <w:pPr>
              <w:pStyle w:val="2024TABLETEXT"/>
              <w:framePr w:hSpace="0" w:wrap="auto" w:vAnchor="margin" w:yAlign="inline"/>
              <w:suppressOverlap w:val="0"/>
            </w:pPr>
            <w:r w:rsidRPr="0054775B">
              <w:t>Low</w:t>
            </w:r>
          </w:p>
        </w:tc>
        <w:tc>
          <w:tcPr>
            <w:tcW w:w="1701" w:type="dxa"/>
            <w:shd w:val="clear" w:color="auto" w:fill="auto"/>
          </w:tcPr>
          <w:p w14:paraId="704B8F96" w14:textId="4FFE9320" w:rsidR="0031733F" w:rsidRPr="0054775B" w:rsidRDefault="0031733F" w:rsidP="0031733F">
            <w:pPr>
              <w:pStyle w:val="2024TABLETEXT"/>
              <w:framePr w:hSpace="0" w:wrap="auto" w:vAnchor="margin" w:yAlign="inline"/>
              <w:suppressOverlap w:val="0"/>
            </w:pPr>
            <w:r w:rsidRPr="0054775B">
              <w:t>Low</w:t>
            </w:r>
          </w:p>
        </w:tc>
        <w:tc>
          <w:tcPr>
            <w:tcW w:w="1559" w:type="dxa"/>
            <w:shd w:val="clear" w:color="auto" w:fill="auto"/>
          </w:tcPr>
          <w:p w14:paraId="1DD05139" w14:textId="745F13BB" w:rsidR="0031733F" w:rsidRPr="0054775B" w:rsidRDefault="0031733F" w:rsidP="0031733F">
            <w:pPr>
              <w:pStyle w:val="2024TABLETEXT"/>
              <w:framePr w:hSpace="0" w:wrap="auto" w:vAnchor="margin" w:yAlign="inline"/>
              <w:suppressOverlap w:val="0"/>
            </w:pPr>
            <w:r w:rsidRPr="0054775B">
              <w:t>Low</w:t>
            </w:r>
          </w:p>
        </w:tc>
        <w:tc>
          <w:tcPr>
            <w:tcW w:w="1417" w:type="dxa"/>
            <w:shd w:val="clear" w:color="auto" w:fill="auto"/>
          </w:tcPr>
          <w:p w14:paraId="5BC8C88E" w14:textId="7E84D65B" w:rsidR="0031733F" w:rsidRPr="0054775B" w:rsidRDefault="0031733F" w:rsidP="0031733F">
            <w:pPr>
              <w:pStyle w:val="2024TABLETEXT"/>
              <w:framePr w:hSpace="0" w:wrap="auto" w:vAnchor="margin" w:yAlign="inline"/>
              <w:suppressOverlap w:val="0"/>
            </w:pPr>
            <w:r w:rsidRPr="0054775B">
              <w:t>Low</w:t>
            </w:r>
          </w:p>
        </w:tc>
        <w:tc>
          <w:tcPr>
            <w:tcW w:w="1276" w:type="dxa"/>
            <w:shd w:val="clear" w:color="auto" w:fill="auto"/>
          </w:tcPr>
          <w:p w14:paraId="40C2C90D" w14:textId="492050C7" w:rsidR="0031733F" w:rsidRPr="0054775B" w:rsidRDefault="0031733F" w:rsidP="0031733F">
            <w:pPr>
              <w:pStyle w:val="2024TABLETEXT"/>
              <w:framePr w:hSpace="0" w:wrap="auto" w:vAnchor="margin" w:yAlign="inline"/>
              <w:suppressOverlap w:val="0"/>
            </w:pPr>
            <w:r w:rsidRPr="0054775B">
              <w:t>Low risk</w:t>
            </w:r>
          </w:p>
        </w:tc>
      </w:tr>
      <w:tr w:rsidR="0031733F" w:rsidRPr="0054775B" w14:paraId="3FF934C2" w14:textId="77777777" w:rsidTr="002F1F6C">
        <w:trPr>
          <w:trHeight w:val="95"/>
        </w:trPr>
        <w:tc>
          <w:tcPr>
            <w:tcW w:w="1833" w:type="dxa"/>
            <w:shd w:val="clear" w:color="auto" w:fill="auto"/>
            <w:vAlign w:val="bottom"/>
          </w:tcPr>
          <w:p w14:paraId="4293ECFC" w14:textId="691639B6" w:rsidR="0031733F" w:rsidRPr="0054775B" w:rsidRDefault="0031733F" w:rsidP="0031733F">
            <w:pPr>
              <w:pStyle w:val="2024TABLEHEADER"/>
              <w:spacing w:before="0" w:after="0"/>
              <w:rPr>
                <w:rFonts w:eastAsiaTheme="minorHAnsi"/>
                <w:b w:val="0"/>
                <w:bCs w:val="0"/>
              </w:rPr>
            </w:pPr>
            <w:r w:rsidRPr="0054775B">
              <w:rPr>
                <w:rFonts w:eastAsiaTheme="minorHAnsi"/>
                <w:b w:val="0"/>
                <w:bCs w:val="0"/>
              </w:rPr>
              <w:t>Troeung 2013</w:t>
            </w:r>
          </w:p>
        </w:tc>
        <w:tc>
          <w:tcPr>
            <w:tcW w:w="1418" w:type="dxa"/>
            <w:shd w:val="clear" w:color="auto" w:fill="auto"/>
          </w:tcPr>
          <w:p w14:paraId="3FF76886" w14:textId="081165BA" w:rsidR="0031733F" w:rsidRPr="0054775B" w:rsidRDefault="0031733F" w:rsidP="0031733F">
            <w:pPr>
              <w:pStyle w:val="2024TABLETEXT"/>
              <w:framePr w:hSpace="0" w:wrap="auto" w:vAnchor="margin" w:yAlign="inline"/>
              <w:suppressOverlap w:val="0"/>
            </w:pPr>
            <w:r w:rsidRPr="0054775B">
              <w:t>Low</w:t>
            </w:r>
          </w:p>
        </w:tc>
        <w:tc>
          <w:tcPr>
            <w:tcW w:w="1701" w:type="dxa"/>
            <w:shd w:val="clear" w:color="auto" w:fill="auto"/>
          </w:tcPr>
          <w:p w14:paraId="1171A284" w14:textId="3228A74D" w:rsidR="0031733F" w:rsidRPr="0054775B" w:rsidRDefault="0031733F" w:rsidP="0031733F">
            <w:pPr>
              <w:pStyle w:val="2024TABLETEXT"/>
              <w:framePr w:hSpace="0" w:wrap="auto" w:vAnchor="margin" w:yAlign="inline"/>
              <w:suppressOverlap w:val="0"/>
            </w:pPr>
            <w:r w:rsidRPr="0054775B">
              <w:t>Unclear</w:t>
            </w:r>
          </w:p>
        </w:tc>
        <w:tc>
          <w:tcPr>
            <w:tcW w:w="1559" w:type="dxa"/>
            <w:shd w:val="clear" w:color="auto" w:fill="auto"/>
          </w:tcPr>
          <w:p w14:paraId="4F746085" w14:textId="0461CE5C" w:rsidR="0031733F" w:rsidRPr="0054775B" w:rsidRDefault="0031733F" w:rsidP="0031733F">
            <w:pPr>
              <w:pStyle w:val="2024TABLETEXT"/>
              <w:framePr w:hSpace="0" w:wrap="auto" w:vAnchor="margin" w:yAlign="inline"/>
              <w:suppressOverlap w:val="0"/>
            </w:pPr>
            <w:r w:rsidRPr="0054775B">
              <w:t>Low</w:t>
            </w:r>
          </w:p>
        </w:tc>
        <w:tc>
          <w:tcPr>
            <w:tcW w:w="1417" w:type="dxa"/>
            <w:shd w:val="clear" w:color="auto" w:fill="auto"/>
          </w:tcPr>
          <w:p w14:paraId="3EA79B7E" w14:textId="3736403E" w:rsidR="0031733F" w:rsidRPr="0054775B" w:rsidRDefault="0031733F" w:rsidP="0031733F">
            <w:pPr>
              <w:pStyle w:val="2024TABLETEXT"/>
              <w:framePr w:hSpace="0" w:wrap="auto" w:vAnchor="margin" w:yAlign="inline"/>
              <w:suppressOverlap w:val="0"/>
            </w:pPr>
            <w:r w:rsidRPr="0054775B">
              <w:t>Low</w:t>
            </w:r>
          </w:p>
        </w:tc>
        <w:tc>
          <w:tcPr>
            <w:tcW w:w="1276" w:type="dxa"/>
            <w:shd w:val="clear" w:color="auto" w:fill="auto"/>
          </w:tcPr>
          <w:p w14:paraId="3F050E0F" w14:textId="374B536E" w:rsidR="0031733F" w:rsidRPr="0054775B" w:rsidRDefault="0031733F" w:rsidP="0031733F">
            <w:pPr>
              <w:pStyle w:val="2024TABLETEXT"/>
              <w:framePr w:hSpace="0" w:wrap="auto" w:vAnchor="margin" w:yAlign="inline"/>
              <w:suppressOverlap w:val="0"/>
            </w:pPr>
            <w:r w:rsidRPr="0054775B">
              <w:t>Low risk</w:t>
            </w:r>
          </w:p>
        </w:tc>
      </w:tr>
      <w:tr w:rsidR="0031733F" w:rsidRPr="0054775B" w14:paraId="7F86D658" w14:textId="77777777" w:rsidTr="002F1F6C">
        <w:trPr>
          <w:trHeight w:val="95"/>
        </w:trPr>
        <w:tc>
          <w:tcPr>
            <w:tcW w:w="1833" w:type="dxa"/>
            <w:shd w:val="clear" w:color="auto" w:fill="auto"/>
            <w:vAlign w:val="bottom"/>
          </w:tcPr>
          <w:p w14:paraId="20FE8A92" w14:textId="5FD24212" w:rsidR="0031733F" w:rsidRPr="0054775B" w:rsidRDefault="0031733F" w:rsidP="0031733F">
            <w:pPr>
              <w:pStyle w:val="2024TABLEHEADER"/>
              <w:spacing w:before="0" w:after="0"/>
              <w:rPr>
                <w:rFonts w:eastAsiaTheme="minorHAnsi"/>
                <w:b w:val="0"/>
                <w:bCs w:val="0"/>
              </w:rPr>
            </w:pPr>
            <w:r w:rsidRPr="0054775B">
              <w:rPr>
                <w:rFonts w:eastAsiaTheme="minorHAnsi"/>
                <w:b w:val="0"/>
                <w:bCs w:val="0"/>
              </w:rPr>
              <w:t>Tsai 2023</w:t>
            </w:r>
          </w:p>
        </w:tc>
        <w:tc>
          <w:tcPr>
            <w:tcW w:w="1418" w:type="dxa"/>
            <w:shd w:val="clear" w:color="auto" w:fill="auto"/>
          </w:tcPr>
          <w:p w14:paraId="6016D409" w14:textId="3CE23D4D" w:rsidR="0031733F" w:rsidRPr="0054775B" w:rsidRDefault="0096047F" w:rsidP="0031733F">
            <w:pPr>
              <w:pStyle w:val="2024TABLETEXT"/>
              <w:framePr w:hSpace="0" w:wrap="auto" w:vAnchor="margin" w:yAlign="inline"/>
              <w:suppressOverlap w:val="0"/>
            </w:pPr>
            <w:r w:rsidRPr="0054775B">
              <w:t>Low</w:t>
            </w:r>
          </w:p>
        </w:tc>
        <w:tc>
          <w:tcPr>
            <w:tcW w:w="1701" w:type="dxa"/>
            <w:shd w:val="clear" w:color="auto" w:fill="auto"/>
          </w:tcPr>
          <w:p w14:paraId="66D144AB" w14:textId="0ED842CD" w:rsidR="0031733F" w:rsidRPr="0054775B" w:rsidRDefault="00E178E5" w:rsidP="0031733F">
            <w:pPr>
              <w:pStyle w:val="2024TABLETEXT"/>
              <w:framePr w:hSpace="0" w:wrap="auto" w:vAnchor="margin" w:yAlign="inline"/>
              <w:suppressOverlap w:val="0"/>
            </w:pPr>
            <w:r w:rsidRPr="0054775B">
              <w:t>Unclear</w:t>
            </w:r>
          </w:p>
        </w:tc>
        <w:tc>
          <w:tcPr>
            <w:tcW w:w="1559" w:type="dxa"/>
            <w:shd w:val="clear" w:color="auto" w:fill="auto"/>
          </w:tcPr>
          <w:p w14:paraId="05444771" w14:textId="7B9F2C31" w:rsidR="0031733F" w:rsidRPr="0054775B" w:rsidRDefault="0096047F" w:rsidP="0031733F">
            <w:pPr>
              <w:pStyle w:val="2024TABLETEXT"/>
              <w:framePr w:hSpace="0" w:wrap="auto" w:vAnchor="margin" w:yAlign="inline"/>
              <w:suppressOverlap w:val="0"/>
            </w:pPr>
            <w:r w:rsidRPr="0054775B">
              <w:t>Unclear</w:t>
            </w:r>
          </w:p>
        </w:tc>
        <w:tc>
          <w:tcPr>
            <w:tcW w:w="1417" w:type="dxa"/>
            <w:shd w:val="clear" w:color="auto" w:fill="auto"/>
          </w:tcPr>
          <w:p w14:paraId="27755C12" w14:textId="0EE2AD2F" w:rsidR="0031733F" w:rsidRPr="0054775B" w:rsidRDefault="0096047F" w:rsidP="0031733F">
            <w:pPr>
              <w:pStyle w:val="2024TABLETEXT"/>
              <w:framePr w:hSpace="0" w:wrap="auto" w:vAnchor="margin" w:yAlign="inline"/>
              <w:suppressOverlap w:val="0"/>
            </w:pPr>
            <w:r w:rsidRPr="0054775B">
              <w:t>Low</w:t>
            </w:r>
          </w:p>
        </w:tc>
        <w:tc>
          <w:tcPr>
            <w:tcW w:w="1276" w:type="dxa"/>
            <w:shd w:val="clear" w:color="auto" w:fill="auto"/>
          </w:tcPr>
          <w:p w14:paraId="5C59E3D9" w14:textId="2D520B43" w:rsidR="0031733F" w:rsidRPr="0054775B" w:rsidRDefault="0096047F" w:rsidP="0031733F">
            <w:pPr>
              <w:pStyle w:val="2024TABLETEXT"/>
              <w:framePr w:hSpace="0" w:wrap="auto" w:vAnchor="margin" w:yAlign="inline"/>
              <w:suppressOverlap w:val="0"/>
            </w:pPr>
            <w:r w:rsidRPr="0054775B">
              <w:t>Low risk</w:t>
            </w:r>
          </w:p>
        </w:tc>
      </w:tr>
      <w:tr w:rsidR="0097465E" w:rsidRPr="0054775B" w14:paraId="74D18B2C" w14:textId="77777777" w:rsidTr="002F1F6C">
        <w:trPr>
          <w:trHeight w:val="95"/>
        </w:trPr>
        <w:tc>
          <w:tcPr>
            <w:tcW w:w="1833" w:type="dxa"/>
            <w:shd w:val="clear" w:color="auto" w:fill="auto"/>
            <w:vAlign w:val="bottom"/>
          </w:tcPr>
          <w:p w14:paraId="1E431787" w14:textId="1C5545FF" w:rsidR="0097465E" w:rsidRPr="0054775B" w:rsidRDefault="0097465E" w:rsidP="0031733F">
            <w:pPr>
              <w:pStyle w:val="2024TABLEHEADER"/>
              <w:spacing w:before="0" w:after="0"/>
              <w:rPr>
                <w:rFonts w:eastAsiaTheme="minorHAnsi"/>
                <w:b w:val="0"/>
                <w:bCs w:val="0"/>
              </w:rPr>
            </w:pPr>
            <w:r>
              <w:rPr>
                <w:rFonts w:eastAsiaTheme="minorHAnsi"/>
                <w:b w:val="0"/>
                <w:bCs w:val="0"/>
              </w:rPr>
              <w:t xml:space="preserve">Tung </w:t>
            </w:r>
            <w:r w:rsidR="008B4E73">
              <w:rPr>
                <w:rFonts w:eastAsiaTheme="minorHAnsi"/>
                <w:b w:val="0"/>
                <w:bCs w:val="0"/>
              </w:rPr>
              <w:t>2023</w:t>
            </w:r>
          </w:p>
        </w:tc>
        <w:tc>
          <w:tcPr>
            <w:tcW w:w="1418" w:type="dxa"/>
            <w:shd w:val="clear" w:color="auto" w:fill="auto"/>
          </w:tcPr>
          <w:p w14:paraId="0EEA4D7E" w14:textId="1E83079E" w:rsidR="0097465E" w:rsidRPr="0054775B" w:rsidRDefault="008652FE" w:rsidP="0031733F">
            <w:pPr>
              <w:pStyle w:val="2024TABLETEXT"/>
              <w:framePr w:hSpace="0" w:wrap="auto" w:vAnchor="margin" w:yAlign="inline"/>
              <w:suppressOverlap w:val="0"/>
            </w:pPr>
            <w:r>
              <w:t>Low</w:t>
            </w:r>
          </w:p>
        </w:tc>
        <w:tc>
          <w:tcPr>
            <w:tcW w:w="1701" w:type="dxa"/>
            <w:shd w:val="clear" w:color="auto" w:fill="auto"/>
          </w:tcPr>
          <w:p w14:paraId="4DAB9E22" w14:textId="5BCF5D5A" w:rsidR="0097465E" w:rsidRPr="0054775B" w:rsidRDefault="008652FE" w:rsidP="0031733F">
            <w:pPr>
              <w:pStyle w:val="2024TABLETEXT"/>
              <w:framePr w:hSpace="0" w:wrap="auto" w:vAnchor="margin" w:yAlign="inline"/>
              <w:suppressOverlap w:val="0"/>
            </w:pPr>
            <w:r>
              <w:t>High</w:t>
            </w:r>
          </w:p>
        </w:tc>
        <w:tc>
          <w:tcPr>
            <w:tcW w:w="1559" w:type="dxa"/>
            <w:shd w:val="clear" w:color="auto" w:fill="auto"/>
          </w:tcPr>
          <w:p w14:paraId="4BDE6381" w14:textId="0B71643D" w:rsidR="0097465E" w:rsidRPr="0054775B" w:rsidRDefault="008652FE" w:rsidP="0031733F">
            <w:pPr>
              <w:pStyle w:val="2024TABLETEXT"/>
              <w:framePr w:hSpace="0" w:wrap="auto" w:vAnchor="margin" w:yAlign="inline"/>
              <w:suppressOverlap w:val="0"/>
            </w:pPr>
            <w:r>
              <w:t>Low</w:t>
            </w:r>
          </w:p>
        </w:tc>
        <w:tc>
          <w:tcPr>
            <w:tcW w:w="1417" w:type="dxa"/>
            <w:shd w:val="clear" w:color="auto" w:fill="auto"/>
          </w:tcPr>
          <w:p w14:paraId="2D9C2DF2" w14:textId="07DBA35E" w:rsidR="0097465E" w:rsidRPr="0054775B" w:rsidRDefault="008652FE" w:rsidP="0031733F">
            <w:pPr>
              <w:pStyle w:val="2024TABLETEXT"/>
              <w:framePr w:hSpace="0" w:wrap="auto" w:vAnchor="margin" w:yAlign="inline"/>
              <w:suppressOverlap w:val="0"/>
            </w:pPr>
            <w:r>
              <w:t>Unclear</w:t>
            </w:r>
          </w:p>
        </w:tc>
        <w:tc>
          <w:tcPr>
            <w:tcW w:w="1276" w:type="dxa"/>
            <w:shd w:val="clear" w:color="auto" w:fill="auto"/>
          </w:tcPr>
          <w:p w14:paraId="5B9B6DD6" w14:textId="4DA37303" w:rsidR="0097465E" w:rsidRPr="0054775B" w:rsidRDefault="008652FE" w:rsidP="0031733F">
            <w:pPr>
              <w:pStyle w:val="2024TABLETEXT"/>
              <w:framePr w:hSpace="0" w:wrap="auto" w:vAnchor="margin" w:yAlign="inline"/>
              <w:suppressOverlap w:val="0"/>
            </w:pPr>
            <w:r>
              <w:t>High risk</w:t>
            </w:r>
          </w:p>
        </w:tc>
      </w:tr>
      <w:tr w:rsidR="0096047F" w:rsidRPr="0054775B" w14:paraId="5E00C6CA" w14:textId="77777777" w:rsidTr="002F1F6C">
        <w:trPr>
          <w:trHeight w:val="95"/>
        </w:trPr>
        <w:tc>
          <w:tcPr>
            <w:tcW w:w="1833" w:type="dxa"/>
            <w:shd w:val="clear" w:color="auto" w:fill="auto"/>
            <w:vAlign w:val="bottom"/>
          </w:tcPr>
          <w:p w14:paraId="14E74BB9" w14:textId="74617D02" w:rsidR="0096047F" w:rsidRPr="0054775B" w:rsidRDefault="0096047F" w:rsidP="0096047F">
            <w:pPr>
              <w:pStyle w:val="2024TABLEHEADER"/>
              <w:spacing w:before="0" w:after="0"/>
              <w:rPr>
                <w:rFonts w:eastAsiaTheme="minorHAnsi"/>
                <w:b w:val="0"/>
                <w:bCs w:val="0"/>
              </w:rPr>
            </w:pPr>
            <w:r w:rsidRPr="0054775B">
              <w:rPr>
                <w:rFonts w:eastAsiaTheme="minorHAnsi"/>
                <w:b w:val="0"/>
                <w:bCs w:val="0"/>
              </w:rPr>
              <w:t>Viswanathan 2020</w:t>
            </w:r>
          </w:p>
        </w:tc>
        <w:tc>
          <w:tcPr>
            <w:tcW w:w="1418" w:type="dxa"/>
            <w:shd w:val="clear" w:color="auto" w:fill="auto"/>
          </w:tcPr>
          <w:p w14:paraId="0850B4AE" w14:textId="24CE3BAC" w:rsidR="0096047F" w:rsidRPr="0054775B" w:rsidRDefault="0096047F" w:rsidP="0096047F">
            <w:pPr>
              <w:pStyle w:val="2024TABLETEXT"/>
              <w:framePr w:hSpace="0" w:wrap="auto" w:vAnchor="margin" w:yAlign="inline"/>
              <w:suppressOverlap w:val="0"/>
            </w:pPr>
            <w:r w:rsidRPr="0054775B">
              <w:t>Low</w:t>
            </w:r>
          </w:p>
        </w:tc>
        <w:tc>
          <w:tcPr>
            <w:tcW w:w="1701" w:type="dxa"/>
            <w:shd w:val="clear" w:color="auto" w:fill="auto"/>
          </w:tcPr>
          <w:p w14:paraId="1B301ABB" w14:textId="19991843" w:rsidR="0096047F" w:rsidRPr="0054775B" w:rsidRDefault="00E178E5" w:rsidP="0096047F">
            <w:pPr>
              <w:pStyle w:val="2024TABLETEXT"/>
              <w:framePr w:hSpace="0" w:wrap="auto" w:vAnchor="margin" w:yAlign="inline"/>
              <w:suppressOverlap w:val="0"/>
            </w:pPr>
            <w:r w:rsidRPr="0054775B">
              <w:t>High</w:t>
            </w:r>
          </w:p>
        </w:tc>
        <w:tc>
          <w:tcPr>
            <w:tcW w:w="1559" w:type="dxa"/>
            <w:shd w:val="clear" w:color="auto" w:fill="auto"/>
          </w:tcPr>
          <w:p w14:paraId="1F7E2F28" w14:textId="5BEA6809" w:rsidR="0096047F" w:rsidRPr="0054775B" w:rsidRDefault="0096047F" w:rsidP="0096047F">
            <w:pPr>
              <w:pStyle w:val="2024TABLETEXT"/>
              <w:framePr w:hSpace="0" w:wrap="auto" w:vAnchor="margin" w:yAlign="inline"/>
              <w:suppressOverlap w:val="0"/>
            </w:pPr>
            <w:r w:rsidRPr="0054775B">
              <w:t>Low</w:t>
            </w:r>
          </w:p>
        </w:tc>
        <w:tc>
          <w:tcPr>
            <w:tcW w:w="1417" w:type="dxa"/>
            <w:shd w:val="clear" w:color="auto" w:fill="auto"/>
          </w:tcPr>
          <w:p w14:paraId="46E3E65A" w14:textId="155D0ED4" w:rsidR="0096047F" w:rsidRPr="0054775B" w:rsidRDefault="00E178E5" w:rsidP="0096047F">
            <w:pPr>
              <w:pStyle w:val="2024TABLETEXT"/>
              <w:framePr w:hSpace="0" w:wrap="auto" w:vAnchor="margin" w:yAlign="inline"/>
              <w:suppressOverlap w:val="0"/>
            </w:pPr>
            <w:r w:rsidRPr="0054775B">
              <w:t>Unclear</w:t>
            </w:r>
          </w:p>
        </w:tc>
        <w:tc>
          <w:tcPr>
            <w:tcW w:w="1276" w:type="dxa"/>
            <w:shd w:val="clear" w:color="auto" w:fill="auto"/>
          </w:tcPr>
          <w:p w14:paraId="3008D5DA" w14:textId="502B883E" w:rsidR="0096047F" w:rsidRPr="0054775B" w:rsidRDefault="00E178E5" w:rsidP="0096047F">
            <w:pPr>
              <w:pStyle w:val="2024TABLETEXT"/>
              <w:framePr w:hSpace="0" w:wrap="auto" w:vAnchor="margin" w:yAlign="inline"/>
              <w:suppressOverlap w:val="0"/>
            </w:pPr>
            <w:r w:rsidRPr="0054775B">
              <w:t xml:space="preserve">High </w:t>
            </w:r>
            <w:r w:rsidR="0096047F" w:rsidRPr="0054775B">
              <w:t>risk</w:t>
            </w:r>
          </w:p>
        </w:tc>
      </w:tr>
      <w:tr w:rsidR="0096047F" w:rsidRPr="0054775B" w14:paraId="62E12CF1" w14:textId="77777777" w:rsidTr="002F1F6C">
        <w:trPr>
          <w:trHeight w:val="95"/>
        </w:trPr>
        <w:tc>
          <w:tcPr>
            <w:tcW w:w="1833" w:type="dxa"/>
            <w:shd w:val="clear" w:color="auto" w:fill="auto"/>
            <w:vAlign w:val="bottom"/>
          </w:tcPr>
          <w:p w14:paraId="657413BB" w14:textId="05BC763A" w:rsidR="0096047F" w:rsidRPr="0054775B" w:rsidRDefault="0096047F" w:rsidP="0096047F">
            <w:pPr>
              <w:pStyle w:val="2024TABLEHEADER"/>
              <w:spacing w:before="0" w:after="0"/>
              <w:rPr>
                <w:rFonts w:eastAsiaTheme="minorHAnsi"/>
                <w:b w:val="0"/>
                <w:bCs w:val="0"/>
              </w:rPr>
            </w:pPr>
            <w:r w:rsidRPr="0054775B">
              <w:rPr>
                <w:rFonts w:eastAsiaTheme="minorHAnsi"/>
                <w:b w:val="0"/>
                <w:bCs w:val="0"/>
              </w:rPr>
              <w:t>Williams 2006</w:t>
            </w:r>
          </w:p>
        </w:tc>
        <w:tc>
          <w:tcPr>
            <w:tcW w:w="1418" w:type="dxa"/>
            <w:shd w:val="clear" w:color="auto" w:fill="auto"/>
          </w:tcPr>
          <w:p w14:paraId="3125E319" w14:textId="3A2999E5" w:rsidR="0096047F" w:rsidRPr="0054775B" w:rsidRDefault="0096047F" w:rsidP="0096047F">
            <w:pPr>
              <w:pStyle w:val="2024TABLETEXT"/>
              <w:framePr w:hSpace="0" w:wrap="auto" w:vAnchor="margin" w:yAlign="inline"/>
              <w:suppressOverlap w:val="0"/>
            </w:pPr>
            <w:r w:rsidRPr="0054775B">
              <w:t>Low</w:t>
            </w:r>
          </w:p>
        </w:tc>
        <w:tc>
          <w:tcPr>
            <w:tcW w:w="1701" w:type="dxa"/>
            <w:shd w:val="clear" w:color="auto" w:fill="auto"/>
          </w:tcPr>
          <w:p w14:paraId="1585FAB8" w14:textId="54215C43" w:rsidR="0096047F" w:rsidRPr="0054775B" w:rsidRDefault="00E178E5" w:rsidP="0096047F">
            <w:pPr>
              <w:pStyle w:val="2024TABLETEXT"/>
              <w:framePr w:hSpace="0" w:wrap="auto" w:vAnchor="margin" w:yAlign="inline"/>
              <w:suppressOverlap w:val="0"/>
            </w:pPr>
            <w:r w:rsidRPr="0054775B">
              <w:t>High</w:t>
            </w:r>
          </w:p>
        </w:tc>
        <w:tc>
          <w:tcPr>
            <w:tcW w:w="1559" w:type="dxa"/>
            <w:shd w:val="clear" w:color="auto" w:fill="auto"/>
          </w:tcPr>
          <w:p w14:paraId="4FF02701" w14:textId="705349A7" w:rsidR="0096047F" w:rsidRPr="0054775B" w:rsidRDefault="0096047F" w:rsidP="0096047F">
            <w:pPr>
              <w:pStyle w:val="2024TABLETEXT"/>
              <w:framePr w:hSpace="0" w:wrap="auto" w:vAnchor="margin" w:yAlign="inline"/>
              <w:suppressOverlap w:val="0"/>
            </w:pPr>
            <w:r w:rsidRPr="0054775B">
              <w:t>Low</w:t>
            </w:r>
          </w:p>
        </w:tc>
        <w:tc>
          <w:tcPr>
            <w:tcW w:w="1417" w:type="dxa"/>
            <w:shd w:val="clear" w:color="auto" w:fill="auto"/>
          </w:tcPr>
          <w:p w14:paraId="4B153A1D" w14:textId="6EEC36B1" w:rsidR="0096047F" w:rsidRPr="0054775B" w:rsidRDefault="00E178E5" w:rsidP="0096047F">
            <w:pPr>
              <w:pStyle w:val="2024TABLETEXT"/>
              <w:framePr w:hSpace="0" w:wrap="auto" w:vAnchor="margin" w:yAlign="inline"/>
              <w:suppressOverlap w:val="0"/>
            </w:pPr>
            <w:r w:rsidRPr="0054775B">
              <w:t>Unclear</w:t>
            </w:r>
          </w:p>
        </w:tc>
        <w:tc>
          <w:tcPr>
            <w:tcW w:w="1276" w:type="dxa"/>
            <w:shd w:val="clear" w:color="auto" w:fill="auto"/>
          </w:tcPr>
          <w:p w14:paraId="086341D5" w14:textId="3BA0CCAB" w:rsidR="0096047F" w:rsidRPr="0054775B" w:rsidRDefault="00E178E5" w:rsidP="0096047F">
            <w:pPr>
              <w:pStyle w:val="2024TABLETEXT"/>
              <w:framePr w:hSpace="0" w:wrap="auto" w:vAnchor="margin" w:yAlign="inline"/>
              <w:suppressOverlap w:val="0"/>
            </w:pPr>
            <w:r w:rsidRPr="0054775B">
              <w:t xml:space="preserve">High </w:t>
            </w:r>
            <w:r w:rsidR="0096047F" w:rsidRPr="0054775B">
              <w:t>risk</w:t>
            </w:r>
          </w:p>
        </w:tc>
      </w:tr>
      <w:tr w:rsidR="0096047F" w:rsidRPr="0054775B" w14:paraId="7FA25D41" w14:textId="77777777" w:rsidTr="002F1F6C">
        <w:trPr>
          <w:trHeight w:val="95"/>
        </w:trPr>
        <w:tc>
          <w:tcPr>
            <w:tcW w:w="1833" w:type="dxa"/>
            <w:shd w:val="clear" w:color="auto" w:fill="auto"/>
            <w:vAlign w:val="bottom"/>
          </w:tcPr>
          <w:p w14:paraId="227F8FE1" w14:textId="4EF50E17" w:rsidR="0096047F" w:rsidRPr="0054775B" w:rsidRDefault="0096047F" w:rsidP="0096047F">
            <w:pPr>
              <w:pStyle w:val="2024TABLEHEADER"/>
              <w:spacing w:before="0" w:after="0"/>
              <w:rPr>
                <w:rFonts w:eastAsiaTheme="minorHAnsi"/>
                <w:b w:val="0"/>
                <w:bCs w:val="0"/>
              </w:rPr>
            </w:pPr>
            <w:r w:rsidRPr="0054775B">
              <w:rPr>
                <w:rFonts w:eastAsiaTheme="minorHAnsi"/>
                <w:b w:val="0"/>
                <w:bCs w:val="0"/>
              </w:rPr>
              <w:t>Xu 2023</w:t>
            </w:r>
          </w:p>
        </w:tc>
        <w:tc>
          <w:tcPr>
            <w:tcW w:w="1418" w:type="dxa"/>
            <w:shd w:val="clear" w:color="auto" w:fill="auto"/>
          </w:tcPr>
          <w:p w14:paraId="12BF66C2" w14:textId="10B747D6" w:rsidR="0096047F" w:rsidRPr="0054775B" w:rsidRDefault="0096047F" w:rsidP="0096047F">
            <w:pPr>
              <w:pStyle w:val="2024TABLETEXT"/>
              <w:framePr w:hSpace="0" w:wrap="auto" w:vAnchor="margin" w:yAlign="inline"/>
              <w:suppressOverlap w:val="0"/>
            </w:pPr>
            <w:r w:rsidRPr="0054775B">
              <w:t>Low</w:t>
            </w:r>
          </w:p>
        </w:tc>
        <w:tc>
          <w:tcPr>
            <w:tcW w:w="1701" w:type="dxa"/>
            <w:shd w:val="clear" w:color="auto" w:fill="auto"/>
          </w:tcPr>
          <w:p w14:paraId="53D5E6E9" w14:textId="4F1DBE7A" w:rsidR="0096047F" w:rsidRPr="0054775B" w:rsidRDefault="00E178E5" w:rsidP="0096047F">
            <w:pPr>
              <w:pStyle w:val="2024TABLETEXT"/>
              <w:framePr w:hSpace="0" w:wrap="auto" w:vAnchor="margin" w:yAlign="inline"/>
              <w:suppressOverlap w:val="0"/>
            </w:pPr>
            <w:r w:rsidRPr="0054775B">
              <w:t>Unclear</w:t>
            </w:r>
          </w:p>
        </w:tc>
        <w:tc>
          <w:tcPr>
            <w:tcW w:w="1559" w:type="dxa"/>
            <w:shd w:val="clear" w:color="auto" w:fill="auto"/>
          </w:tcPr>
          <w:p w14:paraId="50084898" w14:textId="0897DE21" w:rsidR="0096047F" w:rsidRPr="0054775B" w:rsidRDefault="0096047F" w:rsidP="0096047F">
            <w:pPr>
              <w:pStyle w:val="2024TABLETEXT"/>
              <w:framePr w:hSpace="0" w:wrap="auto" w:vAnchor="margin" w:yAlign="inline"/>
              <w:suppressOverlap w:val="0"/>
            </w:pPr>
            <w:r w:rsidRPr="0054775B">
              <w:t>Low</w:t>
            </w:r>
          </w:p>
        </w:tc>
        <w:tc>
          <w:tcPr>
            <w:tcW w:w="1417" w:type="dxa"/>
            <w:shd w:val="clear" w:color="auto" w:fill="auto"/>
          </w:tcPr>
          <w:p w14:paraId="68D5C1CA" w14:textId="0350627C" w:rsidR="0096047F" w:rsidRPr="0054775B" w:rsidRDefault="00E178E5" w:rsidP="0096047F">
            <w:pPr>
              <w:pStyle w:val="2024TABLETEXT"/>
              <w:framePr w:hSpace="0" w:wrap="auto" w:vAnchor="margin" w:yAlign="inline"/>
              <w:suppressOverlap w:val="0"/>
            </w:pPr>
            <w:r w:rsidRPr="0054775B">
              <w:t>Unclear</w:t>
            </w:r>
          </w:p>
        </w:tc>
        <w:tc>
          <w:tcPr>
            <w:tcW w:w="1276" w:type="dxa"/>
            <w:shd w:val="clear" w:color="auto" w:fill="auto"/>
          </w:tcPr>
          <w:p w14:paraId="6B7842AA" w14:textId="61A0AE71" w:rsidR="0096047F" w:rsidRPr="0054775B" w:rsidRDefault="00E178E5" w:rsidP="0096047F">
            <w:pPr>
              <w:pStyle w:val="2024TABLETEXT"/>
              <w:framePr w:hSpace="0" w:wrap="auto" w:vAnchor="margin" w:yAlign="inline"/>
              <w:suppressOverlap w:val="0"/>
            </w:pPr>
            <w:r w:rsidRPr="0054775B">
              <w:t>Unclear</w:t>
            </w:r>
            <w:r w:rsidRPr="0054775B" w:rsidDel="00500A72">
              <w:t xml:space="preserve"> </w:t>
            </w:r>
            <w:r w:rsidR="0096047F" w:rsidRPr="0054775B">
              <w:t>risk</w:t>
            </w:r>
          </w:p>
        </w:tc>
      </w:tr>
      <w:tr w:rsidR="0096047F" w:rsidRPr="0054775B" w14:paraId="1086BDF4" w14:textId="77777777" w:rsidTr="002F1F6C">
        <w:trPr>
          <w:trHeight w:val="95"/>
        </w:trPr>
        <w:tc>
          <w:tcPr>
            <w:tcW w:w="1833" w:type="dxa"/>
            <w:shd w:val="clear" w:color="auto" w:fill="auto"/>
            <w:vAlign w:val="bottom"/>
          </w:tcPr>
          <w:p w14:paraId="342B9BAF" w14:textId="35371EA9" w:rsidR="0096047F" w:rsidRPr="0054775B" w:rsidRDefault="0096047F" w:rsidP="0096047F">
            <w:pPr>
              <w:pStyle w:val="2024TABLEHEADER"/>
              <w:spacing w:before="0" w:after="0"/>
              <w:rPr>
                <w:rFonts w:eastAsiaTheme="minorHAnsi"/>
                <w:b w:val="0"/>
                <w:bCs w:val="0"/>
              </w:rPr>
            </w:pPr>
            <w:r w:rsidRPr="0054775B">
              <w:rPr>
                <w:rFonts w:eastAsiaTheme="minorHAnsi"/>
                <w:b w:val="0"/>
                <w:bCs w:val="0"/>
              </w:rPr>
              <w:t>Zhang 2019</w:t>
            </w:r>
          </w:p>
        </w:tc>
        <w:tc>
          <w:tcPr>
            <w:tcW w:w="1418" w:type="dxa"/>
            <w:shd w:val="clear" w:color="auto" w:fill="auto"/>
          </w:tcPr>
          <w:p w14:paraId="080055C1" w14:textId="59A78A24" w:rsidR="0096047F" w:rsidRPr="0054775B" w:rsidRDefault="0096047F" w:rsidP="0096047F">
            <w:pPr>
              <w:pStyle w:val="2024TABLETEXT"/>
              <w:framePr w:hSpace="0" w:wrap="auto" w:vAnchor="margin" w:yAlign="inline"/>
              <w:suppressOverlap w:val="0"/>
            </w:pPr>
            <w:r w:rsidRPr="0054775B">
              <w:t>Low</w:t>
            </w:r>
          </w:p>
        </w:tc>
        <w:tc>
          <w:tcPr>
            <w:tcW w:w="1701" w:type="dxa"/>
            <w:shd w:val="clear" w:color="auto" w:fill="auto"/>
          </w:tcPr>
          <w:p w14:paraId="0FE6840A" w14:textId="0B6B6724" w:rsidR="0096047F" w:rsidRPr="0054775B" w:rsidRDefault="0096047F" w:rsidP="0096047F">
            <w:pPr>
              <w:pStyle w:val="2024TABLETEXT"/>
              <w:framePr w:hSpace="0" w:wrap="auto" w:vAnchor="margin" w:yAlign="inline"/>
              <w:suppressOverlap w:val="0"/>
            </w:pPr>
            <w:r w:rsidRPr="0054775B">
              <w:t>Low</w:t>
            </w:r>
          </w:p>
        </w:tc>
        <w:tc>
          <w:tcPr>
            <w:tcW w:w="1559" w:type="dxa"/>
            <w:shd w:val="clear" w:color="auto" w:fill="auto"/>
          </w:tcPr>
          <w:p w14:paraId="19642C95" w14:textId="32607E4F" w:rsidR="0096047F" w:rsidRPr="0054775B" w:rsidRDefault="0096047F" w:rsidP="0096047F">
            <w:pPr>
              <w:pStyle w:val="2024TABLETEXT"/>
              <w:framePr w:hSpace="0" w:wrap="auto" w:vAnchor="margin" w:yAlign="inline"/>
              <w:suppressOverlap w:val="0"/>
            </w:pPr>
            <w:r w:rsidRPr="0054775B">
              <w:t>Low</w:t>
            </w:r>
          </w:p>
        </w:tc>
        <w:tc>
          <w:tcPr>
            <w:tcW w:w="1417" w:type="dxa"/>
            <w:shd w:val="clear" w:color="auto" w:fill="auto"/>
          </w:tcPr>
          <w:p w14:paraId="330F0567" w14:textId="4A05CF56" w:rsidR="0096047F" w:rsidRPr="0054775B" w:rsidRDefault="00E178E5" w:rsidP="0096047F">
            <w:pPr>
              <w:pStyle w:val="2024TABLETEXT"/>
              <w:framePr w:hSpace="0" w:wrap="auto" w:vAnchor="margin" w:yAlign="inline"/>
              <w:suppressOverlap w:val="0"/>
            </w:pPr>
            <w:r w:rsidRPr="0054775B">
              <w:t>Unclear</w:t>
            </w:r>
          </w:p>
        </w:tc>
        <w:tc>
          <w:tcPr>
            <w:tcW w:w="1276" w:type="dxa"/>
            <w:shd w:val="clear" w:color="auto" w:fill="auto"/>
          </w:tcPr>
          <w:p w14:paraId="624F1FE0" w14:textId="6802CF2E" w:rsidR="0096047F" w:rsidRPr="0054775B" w:rsidRDefault="0096047F" w:rsidP="0096047F">
            <w:pPr>
              <w:pStyle w:val="2024TABLETEXT"/>
              <w:framePr w:hSpace="0" w:wrap="auto" w:vAnchor="margin" w:yAlign="inline"/>
              <w:suppressOverlap w:val="0"/>
            </w:pPr>
            <w:r w:rsidRPr="0054775B">
              <w:t>Low risk</w:t>
            </w:r>
          </w:p>
        </w:tc>
      </w:tr>
      <w:tr w:rsidR="0096047F" w:rsidRPr="0054775B" w14:paraId="35F2F3D8" w14:textId="77777777" w:rsidTr="002F1F6C">
        <w:trPr>
          <w:trHeight w:val="95"/>
        </w:trPr>
        <w:tc>
          <w:tcPr>
            <w:tcW w:w="1833" w:type="dxa"/>
            <w:shd w:val="clear" w:color="auto" w:fill="auto"/>
            <w:vAlign w:val="bottom"/>
          </w:tcPr>
          <w:p w14:paraId="421B4AC5" w14:textId="79EFC5EE" w:rsidR="0096047F" w:rsidRPr="0054775B" w:rsidRDefault="0096047F" w:rsidP="0096047F">
            <w:pPr>
              <w:pStyle w:val="2024TABLEHEADER"/>
              <w:spacing w:before="0" w:after="0"/>
              <w:rPr>
                <w:rFonts w:eastAsiaTheme="minorHAnsi"/>
                <w:b w:val="0"/>
                <w:bCs w:val="0"/>
              </w:rPr>
            </w:pPr>
            <w:r w:rsidRPr="0054775B">
              <w:rPr>
                <w:rFonts w:eastAsiaTheme="minorHAnsi"/>
                <w:b w:val="0"/>
                <w:bCs w:val="0"/>
              </w:rPr>
              <w:t>Zhang 2020</w:t>
            </w:r>
          </w:p>
        </w:tc>
        <w:tc>
          <w:tcPr>
            <w:tcW w:w="1418" w:type="dxa"/>
            <w:shd w:val="clear" w:color="auto" w:fill="auto"/>
          </w:tcPr>
          <w:p w14:paraId="2C103E8F" w14:textId="4ED2F3CC" w:rsidR="0096047F" w:rsidRPr="0054775B" w:rsidRDefault="0096047F" w:rsidP="0096047F">
            <w:pPr>
              <w:pStyle w:val="2024TABLETEXT"/>
              <w:framePr w:hSpace="0" w:wrap="auto" w:vAnchor="margin" w:yAlign="inline"/>
              <w:suppressOverlap w:val="0"/>
            </w:pPr>
            <w:r w:rsidRPr="0054775B">
              <w:t>Low</w:t>
            </w:r>
          </w:p>
        </w:tc>
        <w:tc>
          <w:tcPr>
            <w:tcW w:w="1701" w:type="dxa"/>
            <w:shd w:val="clear" w:color="auto" w:fill="auto"/>
          </w:tcPr>
          <w:p w14:paraId="063CC95F" w14:textId="0DDFBC05" w:rsidR="0096047F" w:rsidRPr="0054775B" w:rsidRDefault="0096047F" w:rsidP="0096047F">
            <w:pPr>
              <w:pStyle w:val="2024TABLETEXT"/>
              <w:framePr w:hSpace="0" w:wrap="auto" w:vAnchor="margin" w:yAlign="inline"/>
              <w:suppressOverlap w:val="0"/>
            </w:pPr>
            <w:r w:rsidRPr="0054775B">
              <w:t>Low</w:t>
            </w:r>
          </w:p>
        </w:tc>
        <w:tc>
          <w:tcPr>
            <w:tcW w:w="1559" w:type="dxa"/>
            <w:shd w:val="clear" w:color="auto" w:fill="auto"/>
          </w:tcPr>
          <w:p w14:paraId="6505F7AF" w14:textId="5B3CB64D" w:rsidR="0096047F" w:rsidRPr="0054775B" w:rsidRDefault="0096047F" w:rsidP="0096047F">
            <w:pPr>
              <w:pStyle w:val="2024TABLETEXT"/>
              <w:framePr w:hSpace="0" w:wrap="auto" w:vAnchor="margin" w:yAlign="inline"/>
              <w:suppressOverlap w:val="0"/>
            </w:pPr>
            <w:r w:rsidRPr="0054775B">
              <w:t>Low</w:t>
            </w:r>
          </w:p>
        </w:tc>
        <w:tc>
          <w:tcPr>
            <w:tcW w:w="1417" w:type="dxa"/>
            <w:shd w:val="clear" w:color="auto" w:fill="auto"/>
          </w:tcPr>
          <w:p w14:paraId="30FBDAED" w14:textId="432A8170" w:rsidR="0096047F" w:rsidRPr="0054775B" w:rsidRDefault="0096047F" w:rsidP="0096047F">
            <w:pPr>
              <w:pStyle w:val="2024TABLETEXT"/>
              <w:framePr w:hSpace="0" w:wrap="auto" w:vAnchor="margin" w:yAlign="inline"/>
              <w:suppressOverlap w:val="0"/>
            </w:pPr>
            <w:r w:rsidRPr="0054775B">
              <w:t>Low</w:t>
            </w:r>
          </w:p>
        </w:tc>
        <w:tc>
          <w:tcPr>
            <w:tcW w:w="1276" w:type="dxa"/>
            <w:shd w:val="clear" w:color="auto" w:fill="auto"/>
          </w:tcPr>
          <w:p w14:paraId="490A9495" w14:textId="36DAF7BC" w:rsidR="0096047F" w:rsidRPr="0054775B" w:rsidRDefault="0096047F" w:rsidP="0096047F">
            <w:pPr>
              <w:pStyle w:val="2024TABLETEXT"/>
              <w:framePr w:hSpace="0" w:wrap="auto" w:vAnchor="margin" w:yAlign="inline"/>
              <w:suppressOverlap w:val="0"/>
            </w:pPr>
            <w:r w:rsidRPr="0054775B">
              <w:t>Low risk</w:t>
            </w:r>
          </w:p>
        </w:tc>
      </w:tr>
    </w:tbl>
    <w:p w14:paraId="0FDD4812" w14:textId="50DD1C52" w:rsidR="008308E9" w:rsidRPr="0054775B" w:rsidRDefault="008308E9" w:rsidP="009E6F7F">
      <w:pPr>
        <w:pStyle w:val="2024TABLECAPTION"/>
        <w:rPr>
          <w:rFonts w:ascii="Aptos" w:hAnsi="Aptos"/>
        </w:rPr>
      </w:pPr>
    </w:p>
    <w:p w14:paraId="50DCE3A9" w14:textId="77777777" w:rsidR="000F5E0E" w:rsidRPr="0054775B" w:rsidRDefault="000F5E0E" w:rsidP="009E6F7F">
      <w:pPr>
        <w:pStyle w:val="2024HEADER3"/>
        <w:rPr>
          <w:rFonts w:ascii="Aptos" w:hAnsi="Aptos"/>
        </w:rPr>
      </w:pPr>
      <w:r w:rsidRPr="0054775B">
        <w:rPr>
          <w:rFonts w:ascii="Aptos" w:hAnsi="Aptos"/>
        </w:rPr>
        <w:t>Results</w:t>
      </w:r>
    </w:p>
    <w:p w14:paraId="45C435D0" w14:textId="31718B42" w:rsidR="00542DF8" w:rsidRPr="0054775B" w:rsidRDefault="00542DF8" w:rsidP="009E6F7F">
      <w:r w:rsidRPr="0054775B">
        <w:t xml:space="preserve">Evidence from the lowest risk of bias, relevant, and/or comprehensive review was chosen for each outcome. Preferred contributing reviews for each population and intervention combination are listed in the </w:t>
      </w:r>
      <w:r w:rsidR="00694F90" w:rsidRPr="0054775B">
        <w:t>below table</w:t>
      </w:r>
      <w:r w:rsidRPr="0054775B">
        <w:t xml:space="preserve">. </w:t>
      </w:r>
    </w:p>
    <w:p w14:paraId="1351388B" w14:textId="1A355546" w:rsidR="00542DF8" w:rsidRPr="0054775B" w:rsidRDefault="00542DF8" w:rsidP="009760CB">
      <w:pPr>
        <w:pStyle w:val="2024TABLECAPTION"/>
        <w:rPr>
          <w:rFonts w:ascii="Aptos" w:hAnsi="Aptos"/>
        </w:rPr>
      </w:pPr>
      <w:bookmarkStart w:id="85" w:name="_Ref161089330"/>
      <w:bookmarkStart w:id="86" w:name="_Toc185261598"/>
      <w:r w:rsidRPr="0054775B">
        <w:rPr>
          <w:rFonts w:ascii="Aptos" w:hAnsi="Aptos"/>
        </w:rPr>
        <w:t xml:space="preserve">Table </w:t>
      </w:r>
      <w:r w:rsidRPr="0054775B">
        <w:rPr>
          <w:rFonts w:ascii="Aptos" w:hAnsi="Aptos"/>
        </w:rPr>
        <w:fldChar w:fldCharType="begin"/>
      </w:r>
      <w:r w:rsidRPr="0054775B">
        <w:rPr>
          <w:rFonts w:ascii="Aptos" w:hAnsi="Aptos"/>
        </w:rPr>
        <w:instrText>SEQ Table \* ARABIC</w:instrText>
      </w:r>
      <w:r w:rsidRPr="0054775B">
        <w:rPr>
          <w:rFonts w:ascii="Aptos" w:hAnsi="Aptos"/>
        </w:rPr>
        <w:fldChar w:fldCharType="separate"/>
      </w:r>
      <w:r w:rsidR="00651E04">
        <w:rPr>
          <w:rFonts w:ascii="Aptos" w:hAnsi="Aptos"/>
          <w:noProof/>
        </w:rPr>
        <w:t>20</w:t>
      </w:r>
      <w:r w:rsidRPr="0054775B">
        <w:rPr>
          <w:rFonts w:ascii="Aptos" w:hAnsi="Aptos"/>
        </w:rPr>
        <w:fldChar w:fldCharType="end"/>
      </w:r>
      <w:bookmarkEnd w:id="85"/>
      <w:r w:rsidRPr="0054775B">
        <w:rPr>
          <w:rFonts w:ascii="Aptos" w:hAnsi="Aptos"/>
        </w:rPr>
        <w:t xml:space="preserve">. </w:t>
      </w:r>
      <w:r w:rsidR="00334EDA" w:rsidRPr="0054775B">
        <w:rPr>
          <w:rFonts w:ascii="Aptos" w:hAnsi="Aptos"/>
        </w:rPr>
        <w:t xml:space="preserve">Contributing </w:t>
      </w:r>
      <w:r w:rsidRPr="0054775B">
        <w:rPr>
          <w:rFonts w:ascii="Aptos" w:hAnsi="Aptos"/>
        </w:rPr>
        <w:t>reviews for each population and intervention/co-intervention combination – Depression (including post-natal), Omega-3</w:t>
      </w:r>
      <w:r w:rsidR="00AE2DE0">
        <w:rPr>
          <w:rFonts w:ascii="Aptos" w:hAnsi="Aptos"/>
        </w:rPr>
        <w:t xml:space="preserve"> </w:t>
      </w:r>
      <w:r w:rsidR="00AE2DE0">
        <w:t>fatty acids</w:t>
      </w:r>
      <w:r w:rsidRPr="0054775B">
        <w:rPr>
          <w:rFonts w:ascii="Aptos" w:hAnsi="Aptos"/>
        </w:rPr>
        <w:t>.</w:t>
      </w:r>
      <w:bookmarkEnd w:id="86"/>
    </w:p>
    <w:tbl>
      <w:tblPr>
        <w:tblStyle w:val="TableGrid"/>
        <w:tblW w:w="0" w:type="auto"/>
        <w:tblLook w:val="04A0" w:firstRow="1" w:lastRow="0" w:firstColumn="1" w:lastColumn="0" w:noHBand="0" w:noVBand="1"/>
      </w:tblPr>
      <w:tblGrid>
        <w:gridCol w:w="3571"/>
        <w:gridCol w:w="2945"/>
        <w:gridCol w:w="2704"/>
      </w:tblGrid>
      <w:tr w:rsidR="00542DF8" w:rsidRPr="0054775B" w14:paraId="2E831E1A" w14:textId="3A623E29" w:rsidTr="0010057D">
        <w:trPr>
          <w:trHeight w:val="77"/>
        </w:trPr>
        <w:tc>
          <w:tcPr>
            <w:tcW w:w="3571" w:type="dxa"/>
            <w:shd w:val="clear" w:color="auto" w:fill="D9D9D9" w:themeFill="background1" w:themeFillShade="D9"/>
          </w:tcPr>
          <w:p w14:paraId="2DF2E704" w14:textId="77777777" w:rsidR="00542DF8" w:rsidRPr="0054775B" w:rsidRDefault="00542DF8" w:rsidP="00515FE7">
            <w:pPr>
              <w:pStyle w:val="2024TABLEHEADER"/>
            </w:pPr>
          </w:p>
        </w:tc>
        <w:tc>
          <w:tcPr>
            <w:tcW w:w="2945" w:type="dxa"/>
            <w:shd w:val="clear" w:color="auto" w:fill="D9D9D9" w:themeFill="background1" w:themeFillShade="D9"/>
          </w:tcPr>
          <w:p w14:paraId="5A9558F9" w14:textId="7BECDFB8" w:rsidR="00542DF8" w:rsidRPr="0054775B" w:rsidRDefault="00542DF8" w:rsidP="00515FE7">
            <w:pPr>
              <w:pStyle w:val="2024TABLEHEADER"/>
            </w:pPr>
            <w:r w:rsidRPr="0054775B">
              <w:t>With depression (including post-natal)</w:t>
            </w:r>
          </w:p>
        </w:tc>
        <w:tc>
          <w:tcPr>
            <w:tcW w:w="2704" w:type="dxa"/>
            <w:shd w:val="clear" w:color="auto" w:fill="D9D9D9" w:themeFill="background1" w:themeFillShade="D9"/>
          </w:tcPr>
          <w:p w14:paraId="0EA231B6" w14:textId="2E8E42D7" w:rsidR="0010057D" w:rsidRPr="0054775B" w:rsidRDefault="0010057D" w:rsidP="00515FE7">
            <w:pPr>
              <w:pStyle w:val="2024TABLEHEADER"/>
            </w:pPr>
            <w:r w:rsidRPr="0054775B">
              <w:t>At risk of depression (including post-natal)</w:t>
            </w:r>
          </w:p>
        </w:tc>
      </w:tr>
      <w:tr w:rsidR="00542DF8" w:rsidRPr="0054775B" w14:paraId="3ABD694C" w14:textId="7D38074F" w:rsidTr="0010057D">
        <w:trPr>
          <w:trHeight w:val="77"/>
        </w:trPr>
        <w:tc>
          <w:tcPr>
            <w:tcW w:w="3571" w:type="dxa"/>
            <w:shd w:val="clear" w:color="auto" w:fill="D9D9D9" w:themeFill="background1" w:themeFillShade="D9"/>
          </w:tcPr>
          <w:p w14:paraId="77269685" w14:textId="2CBA677F" w:rsidR="00542DF8" w:rsidRPr="0054775B" w:rsidRDefault="00542DF8" w:rsidP="00515FE7">
            <w:pPr>
              <w:pStyle w:val="2024TABLEHEADER"/>
              <w:rPr>
                <w:rFonts w:eastAsiaTheme="minorHAnsi"/>
                <w:color w:val="000000" w:themeColor="text1"/>
                <w:lang w:eastAsia="en-US"/>
              </w:rPr>
            </w:pPr>
            <w:r w:rsidRPr="0054775B">
              <w:t>Omega-3</w:t>
            </w:r>
            <w:r w:rsidR="00AE2DE0">
              <w:t xml:space="preserve"> fatty acids</w:t>
            </w:r>
            <w:r w:rsidRPr="0054775B">
              <w:t xml:space="preserve"> VS placebo/inactive control</w:t>
            </w:r>
          </w:p>
        </w:tc>
        <w:tc>
          <w:tcPr>
            <w:tcW w:w="2945" w:type="dxa"/>
          </w:tcPr>
          <w:p w14:paraId="14072391" w14:textId="77777777" w:rsidR="0010057D" w:rsidRPr="0054775B" w:rsidRDefault="0010057D" w:rsidP="0010057D">
            <w:pPr>
              <w:pStyle w:val="2024TABLEHEADER"/>
              <w:rPr>
                <w:rFonts w:eastAsiaTheme="minorHAnsi"/>
                <w:b w:val="0"/>
                <w:bCs w:val="0"/>
              </w:rPr>
            </w:pPr>
            <w:r w:rsidRPr="0054775B">
              <w:rPr>
                <w:rFonts w:eastAsiaTheme="minorHAnsi"/>
                <w:b w:val="0"/>
                <w:bCs w:val="0"/>
              </w:rPr>
              <w:t>Appleton 2021</w:t>
            </w:r>
          </w:p>
          <w:p w14:paraId="70EC2FA4" w14:textId="53030BAB" w:rsidR="0010057D" w:rsidRPr="0054775B" w:rsidRDefault="0010057D" w:rsidP="0010057D">
            <w:pPr>
              <w:pStyle w:val="2024TABLEHEADER"/>
              <w:rPr>
                <w:rFonts w:eastAsiaTheme="minorHAnsi"/>
                <w:b w:val="0"/>
                <w:bCs w:val="0"/>
              </w:rPr>
            </w:pPr>
            <w:r w:rsidRPr="0054775B">
              <w:rPr>
                <w:rFonts w:eastAsiaTheme="minorHAnsi"/>
                <w:b w:val="0"/>
                <w:bCs w:val="0"/>
              </w:rPr>
              <w:t>Zhang 2019</w:t>
            </w:r>
          </w:p>
          <w:p w14:paraId="6D824C7E" w14:textId="60E3008F" w:rsidR="00542DF8" w:rsidRPr="0054775B" w:rsidRDefault="0010057D" w:rsidP="00515FE7">
            <w:pPr>
              <w:pStyle w:val="2024TABLEHEADER"/>
              <w:rPr>
                <w:rFonts w:eastAsiaTheme="minorHAnsi"/>
                <w:b w:val="0"/>
              </w:rPr>
            </w:pPr>
            <w:r w:rsidRPr="0054775B">
              <w:rPr>
                <w:rFonts w:eastAsiaTheme="minorHAnsi"/>
                <w:b w:val="0"/>
                <w:bCs w:val="0"/>
              </w:rPr>
              <w:t>Suradom 2021</w:t>
            </w:r>
          </w:p>
        </w:tc>
        <w:tc>
          <w:tcPr>
            <w:tcW w:w="2704" w:type="dxa"/>
          </w:tcPr>
          <w:p w14:paraId="74578FD9" w14:textId="0D4695BC" w:rsidR="0010057D" w:rsidRPr="0054775B" w:rsidRDefault="0010057D" w:rsidP="0010057D">
            <w:pPr>
              <w:pStyle w:val="2024TABLEHEADER"/>
              <w:rPr>
                <w:rFonts w:eastAsiaTheme="minorHAnsi"/>
                <w:b w:val="0"/>
                <w:bCs w:val="0"/>
              </w:rPr>
            </w:pPr>
            <w:r w:rsidRPr="0054775B">
              <w:rPr>
                <w:rFonts w:eastAsiaTheme="minorHAnsi"/>
                <w:b w:val="0"/>
                <w:bCs w:val="0"/>
              </w:rPr>
              <w:t>Suradom 2021</w:t>
            </w:r>
          </w:p>
        </w:tc>
      </w:tr>
      <w:tr w:rsidR="00542DF8" w:rsidRPr="0054775B" w14:paraId="7359F368" w14:textId="3ADF1E64" w:rsidTr="0010057D">
        <w:trPr>
          <w:trHeight w:val="77"/>
        </w:trPr>
        <w:tc>
          <w:tcPr>
            <w:tcW w:w="3571" w:type="dxa"/>
            <w:shd w:val="clear" w:color="auto" w:fill="D9D9D9" w:themeFill="background1" w:themeFillShade="D9"/>
          </w:tcPr>
          <w:p w14:paraId="0F7D5544" w14:textId="769DEAA9" w:rsidR="00542DF8" w:rsidRPr="0054775B" w:rsidRDefault="00542DF8" w:rsidP="00515FE7">
            <w:pPr>
              <w:pStyle w:val="2024TABLEHEADER"/>
            </w:pPr>
            <w:r w:rsidRPr="0054775B">
              <w:t>Omega-3</w:t>
            </w:r>
            <w:r w:rsidR="00AE2DE0">
              <w:t xml:space="preserve"> fatty acids</w:t>
            </w:r>
            <w:r w:rsidRPr="0054775B">
              <w:t xml:space="preserve"> + naturopathy co-intervention VS placebo/inactive control</w:t>
            </w:r>
          </w:p>
        </w:tc>
        <w:tc>
          <w:tcPr>
            <w:tcW w:w="2945" w:type="dxa"/>
          </w:tcPr>
          <w:p w14:paraId="563CBE36" w14:textId="0E3F6BD2" w:rsidR="00542DF8" w:rsidRPr="0054775B" w:rsidRDefault="0010057D" w:rsidP="00515FE7">
            <w:pPr>
              <w:pStyle w:val="2024TABLEHEADER"/>
              <w:rPr>
                <w:rFonts w:eastAsiaTheme="minorHAnsi"/>
                <w:b w:val="0"/>
              </w:rPr>
            </w:pPr>
            <w:r w:rsidRPr="0054775B">
              <w:rPr>
                <w:rFonts w:eastAsiaTheme="minorHAnsi"/>
                <w:b w:val="0"/>
                <w:bCs w:val="0"/>
              </w:rPr>
              <w:t>-</w:t>
            </w:r>
          </w:p>
        </w:tc>
        <w:tc>
          <w:tcPr>
            <w:tcW w:w="2704" w:type="dxa"/>
          </w:tcPr>
          <w:p w14:paraId="7D6FADE4" w14:textId="32181D80" w:rsidR="0010057D" w:rsidRPr="0054775B" w:rsidRDefault="0010057D" w:rsidP="00515FE7">
            <w:pPr>
              <w:pStyle w:val="2024TABLEHEADER"/>
              <w:rPr>
                <w:rFonts w:eastAsiaTheme="minorHAnsi"/>
                <w:b w:val="0"/>
                <w:bCs w:val="0"/>
              </w:rPr>
            </w:pPr>
            <w:r w:rsidRPr="0054775B">
              <w:rPr>
                <w:rFonts w:eastAsiaTheme="minorHAnsi"/>
                <w:b w:val="0"/>
                <w:bCs w:val="0"/>
              </w:rPr>
              <w:t>-</w:t>
            </w:r>
          </w:p>
        </w:tc>
      </w:tr>
    </w:tbl>
    <w:p w14:paraId="7ED6912C" w14:textId="13938125" w:rsidR="00AC0078" w:rsidRPr="0054775B" w:rsidRDefault="00542DF8" w:rsidP="009760CB">
      <w:pPr>
        <w:pStyle w:val="2024TABLEFOOTER"/>
      </w:pPr>
      <w:r w:rsidRPr="0054775B">
        <w:t xml:space="preserve"> </w:t>
      </w:r>
    </w:p>
    <w:p w14:paraId="6441EDC9" w14:textId="522A053B" w:rsidR="00250DEE" w:rsidRPr="0054775B" w:rsidRDefault="001F78EE" w:rsidP="0054775B">
      <w:r w:rsidRPr="0054775B">
        <w:t xml:space="preserve">Appleton </w:t>
      </w:r>
      <w:r w:rsidR="0054775B" w:rsidRPr="0054775B">
        <w:t>et al.</w:t>
      </w:r>
      <w:r w:rsidRPr="0054775B">
        <w:t xml:space="preserve"> </w:t>
      </w:r>
      <w:r w:rsidR="00AE7D93" w:rsidRPr="0054775B">
        <w:t>(2021)</w:t>
      </w:r>
      <w:r w:rsidRPr="0054775B">
        <w:t xml:space="preserve"> conducted an updated Cochrane review of evidence for omega-3 fatty acids for treatment of depression in adults</w:t>
      </w:r>
      <w:r w:rsidR="00C27BAC" w:rsidRPr="0054775B">
        <w:t xml:space="preserve"> </w:t>
      </w:r>
      <w:r w:rsidR="00A61385">
        <w:rPr>
          <w:noProof/>
        </w:rPr>
        <w:t>(115)</w:t>
      </w:r>
      <w:r w:rsidRPr="0054775B">
        <w:t xml:space="preserve">. Directly aligning with </w:t>
      </w:r>
      <w:r w:rsidR="00F07177" w:rsidRPr="0054775B">
        <w:t xml:space="preserve">the </w:t>
      </w:r>
      <w:r w:rsidR="00912F03" w:rsidRPr="0054775B">
        <w:t>overview</w:t>
      </w:r>
      <w:r w:rsidR="00F07177" w:rsidRPr="0054775B">
        <w:t>’s PICO</w:t>
      </w:r>
      <w:r w:rsidRPr="0054775B">
        <w:t xml:space="preserve"> and providing the most recent </w:t>
      </w:r>
      <w:r w:rsidR="000A5A4E">
        <w:t xml:space="preserve">and </w:t>
      </w:r>
      <w:r w:rsidRPr="0054775B">
        <w:t>comprehensive summary of data</w:t>
      </w:r>
      <w:r w:rsidR="00DD6A8D">
        <w:t xml:space="preserve"> (</w:t>
      </w:r>
      <w:r w:rsidR="00DD6A8D" w:rsidRPr="0054775B">
        <w:t>meta-analysis of 33 studies</w:t>
      </w:r>
      <w:r w:rsidR="00DD6A8D">
        <w:t xml:space="preserve">, </w:t>
      </w:r>
      <w:r w:rsidR="00DD6A8D" w:rsidRPr="0054775B">
        <w:t>1</w:t>
      </w:r>
      <w:r w:rsidR="00DD6A8D">
        <w:t>,</w:t>
      </w:r>
      <w:r w:rsidR="00DD6A8D" w:rsidRPr="0054775B">
        <w:t>848 participants)</w:t>
      </w:r>
      <w:r w:rsidRPr="0054775B">
        <w:t xml:space="preserve">, this was chosen as the preferred review. To supplement these findings, as </w:t>
      </w:r>
      <w:r w:rsidRPr="0054775B">
        <w:lastRenderedPageBreak/>
        <w:t xml:space="preserve">Appleton </w:t>
      </w:r>
      <w:r w:rsidR="00AE7D93" w:rsidRPr="0054775B">
        <w:t>et al.</w:t>
      </w:r>
      <w:r w:rsidR="0054775B" w:rsidRPr="0054775B">
        <w:t xml:space="preserve"> (</w:t>
      </w:r>
      <w:r w:rsidRPr="0054775B">
        <w:t>2021</w:t>
      </w:r>
      <w:r w:rsidR="0054775B" w:rsidRPr="0054775B">
        <w:t>)</w:t>
      </w:r>
      <w:r w:rsidRPr="0054775B">
        <w:t xml:space="preserve"> was conducted for adults only, Zhang </w:t>
      </w:r>
      <w:r w:rsidR="00AE7D93" w:rsidRPr="0054775B">
        <w:t>et al</w:t>
      </w:r>
      <w:r w:rsidR="0054775B" w:rsidRPr="0054775B">
        <w:t>. (2019)</w:t>
      </w:r>
      <w:r w:rsidRPr="0054775B">
        <w:t xml:space="preserve"> </w:t>
      </w:r>
      <w:r w:rsidR="00A61385">
        <w:rPr>
          <w:noProof/>
        </w:rPr>
        <w:t>(116)</w:t>
      </w:r>
      <w:r w:rsidR="007518E3">
        <w:t xml:space="preserve"> was also included (</w:t>
      </w:r>
      <w:r w:rsidRPr="0054775B">
        <w:t xml:space="preserve">the most recent </w:t>
      </w:r>
      <w:r w:rsidR="003C2AC9">
        <w:t>review</w:t>
      </w:r>
      <w:r w:rsidR="003C2AC9" w:rsidRPr="0054775B">
        <w:t xml:space="preserve"> </w:t>
      </w:r>
      <w:r w:rsidRPr="0054775B">
        <w:t xml:space="preserve">examining </w:t>
      </w:r>
      <w:r w:rsidR="00250DEE" w:rsidRPr="0054775B">
        <w:t>the PICO of interest specific for children</w:t>
      </w:r>
      <w:r w:rsidR="007518E3">
        <w:t>)</w:t>
      </w:r>
      <w:r w:rsidR="00250DEE" w:rsidRPr="0054775B">
        <w:t xml:space="preserve">. Suradom </w:t>
      </w:r>
      <w:r w:rsidR="008D4370" w:rsidRPr="0054775B">
        <w:t>et al.</w:t>
      </w:r>
      <w:r w:rsidR="00250DEE" w:rsidRPr="0054775B">
        <w:t xml:space="preserve"> </w:t>
      </w:r>
      <w:r w:rsidR="0054775B" w:rsidRPr="0054775B">
        <w:t>(</w:t>
      </w:r>
      <w:r w:rsidR="00250DEE" w:rsidRPr="0054775B">
        <w:t>2021</w:t>
      </w:r>
      <w:r w:rsidR="0054775B" w:rsidRPr="0054775B">
        <w:t>)</w:t>
      </w:r>
      <w:r w:rsidR="00250DEE" w:rsidRPr="0054775B">
        <w:t xml:space="preserve"> provided analysis of omega-3</w:t>
      </w:r>
      <w:r w:rsidR="00AE2DE0">
        <w:t xml:space="preserve"> fatty acids</w:t>
      </w:r>
      <w:r w:rsidR="00250DEE" w:rsidRPr="0054775B">
        <w:t xml:space="preserve"> for depression-related outcomes in those with perinatal depression and those at risk of perinatal depression</w:t>
      </w:r>
      <w:r w:rsidR="00AC686E" w:rsidRPr="0054775B">
        <w:t xml:space="preserve"> </w:t>
      </w:r>
      <w:r w:rsidR="00A61385">
        <w:rPr>
          <w:noProof/>
        </w:rPr>
        <w:t>(99)</w:t>
      </w:r>
      <w:r w:rsidR="00250DEE" w:rsidRPr="0054775B">
        <w:t xml:space="preserve">. </w:t>
      </w:r>
    </w:p>
    <w:p w14:paraId="76A546F6" w14:textId="4B46DA91" w:rsidR="00505B1B" w:rsidRPr="0054775B" w:rsidRDefault="00505B1B" w:rsidP="001D087E">
      <w:pPr>
        <w:pStyle w:val="2024HEADER3"/>
        <w:numPr>
          <w:ilvl w:val="0"/>
          <w:numId w:val="0"/>
        </w:numPr>
        <w:ind w:left="710"/>
        <w:rPr>
          <w:rFonts w:ascii="Aptos" w:hAnsi="Aptos"/>
        </w:rPr>
        <w:sectPr w:rsidR="00505B1B" w:rsidRPr="0054775B" w:rsidSect="006A72DC">
          <w:pgSz w:w="11910" w:h="16840"/>
          <w:pgMar w:top="1356" w:right="1340" w:bottom="280" w:left="1340" w:header="720" w:footer="720" w:gutter="0"/>
          <w:cols w:space="720"/>
        </w:sectPr>
      </w:pPr>
    </w:p>
    <w:p w14:paraId="7BA11F93" w14:textId="77777777" w:rsidR="001E7981" w:rsidRDefault="001E7981" w:rsidP="006B7B65">
      <w:pPr>
        <w:pStyle w:val="2024HEADER3"/>
        <w:tabs>
          <w:tab w:val="left" w:pos="3969"/>
        </w:tabs>
        <w:rPr>
          <w:rFonts w:ascii="Aptos" w:hAnsi="Aptos"/>
        </w:rPr>
      </w:pPr>
      <w:r w:rsidRPr="0054775B">
        <w:rPr>
          <w:rFonts w:ascii="Aptos" w:hAnsi="Aptos"/>
        </w:rPr>
        <w:lastRenderedPageBreak/>
        <w:t>Summary of findings and evidence statements</w:t>
      </w:r>
    </w:p>
    <w:p w14:paraId="7F7F73FC" w14:textId="33FFBCBC" w:rsidR="00505B1B" w:rsidRPr="0054775B" w:rsidRDefault="00505B1B" w:rsidP="009760CB">
      <w:pPr>
        <w:pStyle w:val="2024TABLECAPTION"/>
        <w:rPr>
          <w:rFonts w:ascii="Aptos" w:hAnsi="Aptos"/>
        </w:rPr>
      </w:pPr>
      <w:bookmarkStart w:id="87" w:name="_Toc185261599"/>
      <w:r w:rsidRPr="0054775B">
        <w:rPr>
          <w:rFonts w:ascii="Aptos" w:hAnsi="Aptos"/>
        </w:rPr>
        <w:t xml:space="preserve">Table </w:t>
      </w:r>
      <w:r w:rsidRPr="0054775B">
        <w:rPr>
          <w:rFonts w:ascii="Aptos" w:hAnsi="Aptos"/>
        </w:rPr>
        <w:fldChar w:fldCharType="begin"/>
      </w:r>
      <w:r w:rsidRPr="0054775B">
        <w:rPr>
          <w:rFonts w:ascii="Aptos" w:hAnsi="Aptos"/>
        </w:rPr>
        <w:instrText>SEQ Table \* ARABIC</w:instrText>
      </w:r>
      <w:r w:rsidRPr="0054775B">
        <w:rPr>
          <w:rFonts w:ascii="Aptos" w:hAnsi="Aptos"/>
        </w:rPr>
        <w:fldChar w:fldCharType="separate"/>
      </w:r>
      <w:r w:rsidR="00651E04">
        <w:rPr>
          <w:rFonts w:ascii="Aptos" w:hAnsi="Aptos"/>
          <w:noProof/>
        </w:rPr>
        <w:t>21</w:t>
      </w:r>
      <w:r w:rsidRPr="0054775B">
        <w:rPr>
          <w:rFonts w:ascii="Aptos" w:hAnsi="Aptos"/>
        </w:rPr>
        <w:fldChar w:fldCharType="end"/>
      </w:r>
      <w:r w:rsidRPr="0054775B">
        <w:rPr>
          <w:rFonts w:ascii="Aptos" w:hAnsi="Aptos"/>
        </w:rPr>
        <w:t xml:space="preserve">. Omega-3 </w:t>
      </w:r>
      <w:r w:rsidR="00AE2DE0">
        <w:t xml:space="preserve">fatty acids </w:t>
      </w:r>
      <w:r w:rsidRPr="0054775B">
        <w:rPr>
          <w:rFonts w:ascii="Aptos" w:hAnsi="Aptos"/>
        </w:rPr>
        <w:t>compared to placebo for depression (including postnatal)</w:t>
      </w:r>
      <w:bookmarkEnd w:id="87"/>
    </w:p>
    <w:tbl>
      <w:tblPr>
        <w:tblpPr w:leftFromText="180" w:rightFromText="180" w:vertAnchor="text" w:tblpY="1"/>
        <w:tblOverlap w:val="never"/>
        <w:tblW w:w="4802" w:type="pct"/>
        <w:tblLayout w:type="fixed"/>
        <w:tblCellMar>
          <w:top w:w="28" w:type="dxa"/>
          <w:left w:w="57" w:type="dxa"/>
          <w:bottom w:w="28" w:type="dxa"/>
          <w:right w:w="28" w:type="dxa"/>
        </w:tblCellMar>
        <w:tblLook w:val="04A0" w:firstRow="1" w:lastRow="0" w:firstColumn="1" w:lastColumn="0" w:noHBand="0" w:noVBand="1"/>
      </w:tblPr>
      <w:tblGrid>
        <w:gridCol w:w="861"/>
        <w:gridCol w:w="3217"/>
        <w:gridCol w:w="1262"/>
        <w:gridCol w:w="1262"/>
        <w:gridCol w:w="1265"/>
        <w:gridCol w:w="1405"/>
        <w:gridCol w:w="1405"/>
        <w:gridCol w:w="1825"/>
        <w:gridCol w:w="2100"/>
      </w:tblGrid>
      <w:tr w:rsidR="00505B1B" w:rsidRPr="0054775B" w14:paraId="53803FB3" w14:textId="77777777" w:rsidTr="006B7B65">
        <w:trPr>
          <w:cantSplit/>
        </w:trPr>
        <w:tc>
          <w:tcPr>
            <w:tcW w:w="5000" w:type="pct"/>
            <w:gridSpan w:val="9"/>
            <w:tcBorders>
              <w:top w:val="single" w:sz="12" w:space="0" w:color="000000"/>
              <w:left w:val="nil"/>
              <w:bottom w:val="single" w:sz="12" w:space="0" w:color="000000"/>
              <w:right w:val="nil"/>
            </w:tcBorders>
          </w:tcPr>
          <w:p w14:paraId="57918C66" w14:textId="4590F03F" w:rsidR="00505B1B" w:rsidRPr="0054775B" w:rsidRDefault="00505B1B" w:rsidP="000B76FE">
            <w:pPr>
              <w:pStyle w:val="2024TABLETEXT"/>
              <w:framePr w:hSpace="0" w:wrap="auto" w:vAnchor="margin" w:yAlign="inline"/>
              <w:suppressOverlap w:val="0"/>
              <w:rPr>
                <w:rStyle w:val="Strong"/>
              </w:rPr>
            </w:pPr>
            <w:r w:rsidRPr="0054775B">
              <w:rPr>
                <w:rStyle w:val="Strong"/>
                <w:b w:val="0"/>
                <w:bCs w:val="0"/>
              </w:rPr>
              <w:t>Patient or population:</w:t>
            </w:r>
            <w:r w:rsidRPr="0054775B">
              <w:rPr>
                <w:rStyle w:val="Strong"/>
              </w:rPr>
              <w:t xml:space="preserve"> Depression (including postnatal)</w:t>
            </w:r>
          </w:p>
          <w:p w14:paraId="05C3F6A8" w14:textId="097F714B" w:rsidR="00505B1B" w:rsidRPr="0054775B" w:rsidRDefault="00505B1B" w:rsidP="000B76FE">
            <w:pPr>
              <w:pStyle w:val="2024TABLETEXT"/>
              <w:framePr w:hSpace="0" w:wrap="auto" w:vAnchor="margin" w:yAlign="inline"/>
              <w:suppressOverlap w:val="0"/>
              <w:rPr>
                <w:rStyle w:val="Strong"/>
              </w:rPr>
            </w:pPr>
            <w:r w:rsidRPr="0054775B">
              <w:rPr>
                <w:rStyle w:val="Strong"/>
                <w:b w:val="0"/>
                <w:bCs w:val="0"/>
              </w:rPr>
              <w:t>Intervention:</w:t>
            </w:r>
            <w:r w:rsidRPr="0054775B">
              <w:rPr>
                <w:rStyle w:val="Strong"/>
              </w:rPr>
              <w:t xml:space="preserve"> Omega-3</w:t>
            </w:r>
            <w:r w:rsidR="00AE2DE0">
              <w:rPr>
                <w:rStyle w:val="Strong"/>
              </w:rPr>
              <w:t xml:space="preserve"> </w:t>
            </w:r>
            <w:r w:rsidR="00AE2DE0">
              <w:t xml:space="preserve"> fatty acids</w:t>
            </w:r>
          </w:p>
          <w:p w14:paraId="49DA3717" w14:textId="77777777" w:rsidR="00505B1B" w:rsidRPr="0054775B" w:rsidRDefault="00505B1B" w:rsidP="000B76FE">
            <w:pPr>
              <w:pStyle w:val="2024TABLETEXT"/>
              <w:framePr w:hSpace="0" w:wrap="auto" w:vAnchor="margin" w:yAlign="inline"/>
              <w:suppressOverlap w:val="0"/>
            </w:pPr>
            <w:r w:rsidRPr="0054775B">
              <w:rPr>
                <w:rStyle w:val="Strong"/>
                <w:b w:val="0"/>
                <w:bCs w:val="0"/>
              </w:rPr>
              <w:t>Comparison:</w:t>
            </w:r>
            <w:r w:rsidRPr="0054775B">
              <w:rPr>
                <w:rStyle w:val="Strong"/>
              </w:rPr>
              <w:t xml:space="preserve"> Placebo</w:t>
            </w:r>
          </w:p>
        </w:tc>
      </w:tr>
      <w:tr w:rsidR="00E43F58" w:rsidRPr="0054775B" w14:paraId="4201762E" w14:textId="77777777" w:rsidTr="006B7B65">
        <w:trPr>
          <w:cantSplit/>
          <w:trHeight w:val="385"/>
        </w:trPr>
        <w:tc>
          <w:tcPr>
            <w:tcW w:w="295" w:type="pct"/>
            <w:vMerge w:val="restart"/>
            <w:tcBorders>
              <w:right w:val="single" w:sz="6" w:space="0" w:color="EFEFEF"/>
            </w:tcBorders>
            <w:shd w:val="clear" w:color="auto" w:fill="FFE599" w:themeFill="accent4" w:themeFillTint="66"/>
            <w:vAlign w:val="bottom"/>
          </w:tcPr>
          <w:p w14:paraId="7A18A7C4" w14:textId="77777777" w:rsidR="00505B1B" w:rsidRPr="0054775B" w:rsidRDefault="00505B1B" w:rsidP="000B76FE">
            <w:pPr>
              <w:pStyle w:val="2024TABLEHEADER"/>
            </w:pPr>
            <w:r w:rsidRPr="0054775B">
              <w:t>NTWC Rating*</w:t>
            </w:r>
          </w:p>
        </w:tc>
        <w:tc>
          <w:tcPr>
            <w:tcW w:w="1102" w:type="pct"/>
            <w:vMerge w:val="restart"/>
            <w:tcBorders>
              <w:right w:val="single" w:sz="6" w:space="0" w:color="EFEFEF"/>
            </w:tcBorders>
            <w:shd w:val="clear" w:color="auto" w:fill="FFE599" w:themeFill="accent4" w:themeFillTint="66"/>
            <w:vAlign w:val="bottom"/>
            <w:hideMark/>
          </w:tcPr>
          <w:p w14:paraId="1EE90011" w14:textId="77777777" w:rsidR="00505B1B" w:rsidRPr="0054775B" w:rsidRDefault="00505B1B" w:rsidP="000B76FE">
            <w:pPr>
              <w:pStyle w:val="2024TABLEHEADER"/>
            </w:pPr>
            <w:r w:rsidRPr="0054775B">
              <w:t>Outcomes</w:t>
            </w:r>
          </w:p>
        </w:tc>
        <w:tc>
          <w:tcPr>
            <w:tcW w:w="432" w:type="pct"/>
            <w:vMerge w:val="restart"/>
            <w:shd w:val="clear" w:color="auto" w:fill="FFF2CC" w:themeFill="accent4" w:themeFillTint="33"/>
            <w:vAlign w:val="bottom"/>
          </w:tcPr>
          <w:p w14:paraId="6BB45B5F" w14:textId="77777777" w:rsidR="00505B1B" w:rsidRPr="0054775B" w:rsidRDefault="00505B1B" w:rsidP="000B76FE">
            <w:pPr>
              <w:pStyle w:val="2024TABLEHEADER"/>
            </w:pPr>
            <w:r w:rsidRPr="0054775B">
              <w:t>Contributing review</w:t>
            </w:r>
          </w:p>
        </w:tc>
        <w:tc>
          <w:tcPr>
            <w:tcW w:w="865" w:type="pct"/>
            <w:gridSpan w:val="2"/>
            <w:tcBorders>
              <w:bottom w:val="single" w:sz="4" w:space="0" w:color="auto"/>
            </w:tcBorders>
            <w:shd w:val="clear" w:color="auto" w:fill="E0E0E0"/>
            <w:vAlign w:val="bottom"/>
          </w:tcPr>
          <w:p w14:paraId="14169D8C" w14:textId="19E67415" w:rsidR="00970FA5" w:rsidRPr="0054775B" w:rsidRDefault="00761AFF" w:rsidP="00970FA5">
            <w:pPr>
              <w:pStyle w:val="2024TABLEHEADER"/>
            </w:pPr>
            <w:r w:rsidRPr="0054775B">
              <w:t>Absolute Effects</w:t>
            </w:r>
          </w:p>
        </w:tc>
        <w:tc>
          <w:tcPr>
            <w:tcW w:w="481" w:type="pct"/>
            <w:vMerge w:val="restart"/>
            <w:tcBorders>
              <w:top w:val="single" w:sz="6" w:space="0" w:color="EFEFEF"/>
              <w:right w:val="single" w:sz="6" w:space="0" w:color="EFEFEF"/>
            </w:tcBorders>
            <w:shd w:val="clear" w:color="auto" w:fill="E0E0E0"/>
            <w:vAlign w:val="bottom"/>
          </w:tcPr>
          <w:p w14:paraId="01224B7E" w14:textId="7873F8A4" w:rsidR="00505B1B" w:rsidRPr="0054775B" w:rsidRDefault="00505B1B" w:rsidP="000B76FE">
            <w:pPr>
              <w:pStyle w:val="2024TABLEHEADER"/>
            </w:pPr>
            <w:r w:rsidRPr="0054775B">
              <w:t>Relative effect</w:t>
            </w:r>
            <w:r w:rsidRPr="0054775B">
              <w:br/>
              <w:t>(95% CI)</w:t>
            </w:r>
          </w:p>
        </w:tc>
        <w:tc>
          <w:tcPr>
            <w:tcW w:w="481" w:type="pct"/>
            <w:vMerge w:val="restart"/>
            <w:tcBorders>
              <w:right w:val="single" w:sz="6" w:space="0" w:color="EFEFEF"/>
            </w:tcBorders>
            <w:shd w:val="clear" w:color="auto" w:fill="FFE599" w:themeFill="accent4" w:themeFillTint="66"/>
            <w:vAlign w:val="bottom"/>
            <w:hideMark/>
          </w:tcPr>
          <w:p w14:paraId="1BB6DD8B" w14:textId="77777777" w:rsidR="00505B1B" w:rsidRPr="0054775B" w:rsidRDefault="00505B1B" w:rsidP="000B76FE">
            <w:pPr>
              <w:pStyle w:val="2024TABLEHEADER"/>
            </w:pPr>
            <w:r w:rsidRPr="0054775B">
              <w:t>№ of participants</w:t>
            </w:r>
            <w:r w:rsidRPr="0054775B">
              <w:br/>
              <w:t>(studies)</w:t>
            </w:r>
          </w:p>
        </w:tc>
        <w:tc>
          <w:tcPr>
            <w:tcW w:w="625" w:type="pct"/>
            <w:vMerge w:val="restart"/>
            <w:tcBorders>
              <w:right w:val="single" w:sz="6" w:space="0" w:color="EFEFEF"/>
            </w:tcBorders>
            <w:shd w:val="clear" w:color="auto" w:fill="FFE599" w:themeFill="accent4" w:themeFillTint="66"/>
            <w:vAlign w:val="bottom"/>
            <w:hideMark/>
          </w:tcPr>
          <w:p w14:paraId="515DDCE3" w14:textId="77777777" w:rsidR="00505B1B" w:rsidRPr="0054775B" w:rsidRDefault="00505B1B" w:rsidP="000B76FE">
            <w:pPr>
              <w:pStyle w:val="2024TABLEHEADER"/>
            </w:pPr>
            <w:r w:rsidRPr="0054775B">
              <w:t>Certainty of the evidence</w:t>
            </w:r>
            <w:r w:rsidRPr="0054775B">
              <w:br/>
              <w:t>(GRADE)</w:t>
            </w:r>
          </w:p>
        </w:tc>
        <w:tc>
          <w:tcPr>
            <w:tcW w:w="719" w:type="pct"/>
            <w:vMerge w:val="restart"/>
            <w:tcBorders>
              <w:right w:val="single" w:sz="6" w:space="0" w:color="EFEFEF"/>
            </w:tcBorders>
            <w:shd w:val="clear" w:color="auto" w:fill="FFE599" w:themeFill="accent4" w:themeFillTint="66"/>
            <w:vAlign w:val="bottom"/>
            <w:hideMark/>
          </w:tcPr>
          <w:p w14:paraId="18EFC912" w14:textId="77777777" w:rsidR="00505B1B" w:rsidRPr="0054775B" w:rsidRDefault="00505B1B" w:rsidP="000B76FE">
            <w:pPr>
              <w:pStyle w:val="2024TABLEHEADER"/>
            </w:pPr>
            <w:r w:rsidRPr="0054775B">
              <w:t>Evidence statement</w:t>
            </w:r>
          </w:p>
        </w:tc>
      </w:tr>
      <w:tr w:rsidR="00E43F58" w:rsidRPr="0054775B" w14:paraId="7B2410D2" w14:textId="77777777" w:rsidTr="006B7B65">
        <w:trPr>
          <w:cantSplit/>
          <w:trHeight w:val="385"/>
        </w:trPr>
        <w:tc>
          <w:tcPr>
            <w:tcW w:w="295" w:type="pct"/>
            <w:vMerge/>
            <w:tcBorders>
              <w:top w:val="single" w:sz="4" w:space="0" w:color="auto"/>
              <w:right w:val="single" w:sz="6" w:space="0" w:color="EFEFEF"/>
            </w:tcBorders>
            <w:shd w:val="clear" w:color="auto" w:fill="FFE599" w:themeFill="accent4" w:themeFillTint="66"/>
            <w:vAlign w:val="bottom"/>
          </w:tcPr>
          <w:p w14:paraId="5FAA90BC" w14:textId="77777777" w:rsidR="00970FA5" w:rsidRPr="0054775B" w:rsidRDefault="00970FA5" w:rsidP="00970FA5">
            <w:pPr>
              <w:pStyle w:val="2024TABLEHEADER"/>
            </w:pPr>
          </w:p>
        </w:tc>
        <w:tc>
          <w:tcPr>
            <w:tcW w:w="1102" w:type="pct"/>
            <w:vMerge/>
            <w:tcBorders>
              <w:top w:val="single" w:sz="4" w:space="0" w:color="auto"/>
              <w:right w:val="single" w:sz="6" w:space="0" w:color="EFEFEF"/>
            </w:tcBorders>
            <w:shd w:val="clear" w:color="auto" w:fill="FFE599" w:themeFill="accent4" w:themeFillTint="66"/>
            <w:vAlign w:val="bottom"/>
          </w:tcPr>
          <w:p w14:paraId="2D7F6CFE" w14:textId="77777777" w:rsidR="00970FA5" w:rsidRPr="0054775B" w:rsidRDefault="00970FA5" w:rsidP="00970FA5">
            <w:pPr>
              <w:pStyle w:val="2024TABLEHEADER"/>
            </w:pPr>
          </w:p>
        </w:tc>
        <w:tc>
          <w:tcPr>
            <w:tcW w:w="432" w:type="pct"/>
            <w:vMerge/>
            <w:shd w:val="clear" w:color="auto" w:fill="FFF2CC" w:themeFill="accent4" w:themeFillTint="33"/>
            <w:vAlign w:val="bottom"/>
          </w:tcPr>
          <w:p w14:paraId="0C8506F2" w14:textId="77777777" w:rsidR="00970FA5" w:rsidRPr="0054775B" w:rsidRDefault="00970FA5" w:rsidP="00970FA5">
            <w:pPr>
              <w:pStyle w:val="2024TABLEHEADER"/>
            </w:pPr>
          </w:p>
        </w:tc>
        <w:tc>
          <w:tcPr>
            <w:tcW w:w="432" w:type="pct"/>
            <w:tcBorders>
              <w:top w:val="single" w:sz="4" w:space="0" w:color="auto"/>
            </w:tcBorders>
            <w:shd w:val="clear" w:color="auto" w:fill="E0E0E0"/>
            <w:vAlign w:val="bottom"/>
          </w:tcPr>
          <w:p w14:paraId="0861FC64" w14:textId="52838015" w:rsidR="00970FA5" w:rsidRPr="0054775B" w:rsidRDefault="00970FA5" w:rsidP="00970FA5">
            <w:pPr>
              <w:pStyle w:val="2024TABLEHEADER"/>
            </w:pPr>
            <w:r w:rsidRPr="0054775B">
              <w:t>Comparison</w:t>
            </w:r>
          </w:p>
        </w:tc>
        <w:tc>
          <w:tcPr>
            <w:tcW w:w="433" w:type="pct"/>
            <w:tcBorders>
              <w:top w:val="single" w:sz="4" w:space="0" w:color="auto"/>
            </w:tcBorders>
            <w:shd w:val="clear" w:color="auto" w:fill="E0E0E0"/>
            <w:vAlign w:val="bottom"/>
          </w:tcPr>
          <w:p w14:paraId="66682E01" w14:textId="19D58C95" w:rsidR="00970FA5" w:rsidRPr="0054775B" w:rsidRDefault="00970FA5" w:rsidP="00970FA5">
            <w:pPr>
              <w:pStyle w:val="2024TABLEHEADER"/>
            </w:pPr>
            <w:r w:rsidRPr="0054775B">
              <w:t>Intervention</w:t>
            </w:r>
          </w:p>
        </w:tc>
        <w:tc>
          <w:tcPr>
            <w:tcW w:w="481" w:type="pct"/>
            <w:vMerge/>
            <w:tcBorders>
              <w:right w:val="single" w:sz="6" w:space="0" w:color="EFEFEF"/>
            </w:tcBorders>
            <w:shd w:val="clear" w:color="auto" w:fill="E0E0E0"/>
            <w:vAlign w:val="bottom"/>
          </w:tcPr>
          <w:p w14:paraId="45B9D021" w14:textId="77777777" w:rsidR="00970FA5" w:rsidRPr="0054775B" w:rsidRDefault="00970FA5" w:rsidP="00970FA5">
            <w:pPr>
              <w:pStyle w:val="2024TABLEHEADER"/>
            </w:pPr>
          </w:p>
        </w:tc>
        <w:tc>
          <w:tcPr>
            <w:tcW w:w="481" w:type="pct"/>
            <w:vMerge/>
            <w:tcBorders>
              <w:right w:val="single" w:sz="6" w:space="0" w:color="EFEFEF"/>
            </w:tcBorders>
            <w:shd w:val="clear" w:color="auto" w:fill="FFE599" w:themeFill="accent4" w:themeFillTint="66"/>
            <w:vAlign w:val="bottom"/>
          </w:tcPr>
          <w:p w14:paraId="04724DD2" w14:textId="77777777" w:rsidR="00970FA5" w:rsidRPr="0054775B" w:rsidRDefault="00970FA5" w:rsidP="00970FA5">
            <w:pPr>
              <w:pStyle w:val="2024TABLEHEADER"/>
            </w:pPr>
          </w:p>
        </w:tc>
        <w:tc>
          <w:tcPr>
            <w:tcW w:w="625" w:type="pct"/>
            <w:vMerge/>
            <w:tcBorders>
              <w:right w:val="single" w:sz="6" w:space="0" w:color="EFEFEF"/>
            </w:tcBorders>
            <w:shd w:val="clear" w:color="auto" w:fill="FFE599" w:themeFill="accent4" w:themeFillTint="66"/>
            <w:vAlign w:val="bottom"/>
          </w:tcPr>
          <w:p w14:paraId="30201DDF" w14:textId="77777777" w:rsidR="00970FA5" w:rsidRPr="0054775B" w:rsidRDefault="00970FA5" w:rsidP="00970FA5">
            <w:pPr>
              <w:pStyle w:val="2024TABLEHEADER"/>
            </w:pPr>
          </w:p>
        </w:tc>
        <w:tc>
          <w:tcPr>
            <w:tcW w:w="719" w:type="pct"/>
            <w:vMerge/>
            <w:tcBorders>
              <w:right w:val="single" w:sz="6" w:space="0" w:color="EFEFEF"/>
            </w:tcBorders>
            <w:shd w:val="clear" w:color="auto" w:fill="FFE599" w:themeFill="accent4" w:themeFillTint="66"/>
            <w:vAlign w:val="bottom"/>
          </w:tcPr>
          <w:p w14:paraId="5B26D0C6" w14:textId="77777777" w:rsidR="00970FA5" w:rsidRPr="0054775B" w:rsidRDefault="00970FA5" w:rsidP="00970FA5">
            <w:pPr>
              <w:pStyle w:val="2024TABLEHEADER"/>
            </w:pPr>
          </w:p>
        </w:tc>
      </w:tr>
      <w:tr w:rsidR="006858E8" w:rsidRPr="0054775B" w14:paraId="084C6105" w14:textId="77777777" w:rsidTr="00A90830">
        <w:trPr>
          <w:cantSplit/>
        </w:trPr>
        <w:tc>
          <w:tcPr>
            <w:tcW w:w="295" w:type="pct"/>
            <w:vMerge w:val="restart"/>
            <w:tcBorders>
              <w:top w:val="single" w:sz="6" w:space="0" w:color="000000"/>
              <w:left w:val="nil"/>
              <w:right w:val="nil"/>
            </w:tcBorders>
            <w:vAlign w:val="center"/>
          </w:tcPr>
          <w:p w14:paraId="01ECDC69" w14:textId="75CE8881" w:rsidR="00505B1B" w:rsidRPr="0054775B" w:rsidRDefault="00505B1B" w:rsidP="00761AFF">
            <w:pPr>
              <w:pStyle w:val="2024TABLETEXT"/>
              <w:framePr w:hSpace="0" w:wrap="auto" w:vAnchor="margin" w:yAlign="inline"/>
              <w:suppressOverlap w:val="0"/>
              <w:jc w:val="center"/>
            </w:pPr>
            <w:r w:rsidRPr="0054775B">
              <w:t>9</w:t>
            </w:r>
          </w:p>
        </w:tc>
        <w:tc>
          <w:tcPr>
            <w:tcW w:w="4705" w:type="pct"/>
            <w:gridSpan w:val="8"/>
            <w:tcBorders>
              <w:top w:val="single" w:sz="6" w:space="0" w:color="000000"/>
              <w:left w:val="nil"/>
              <w:bottom w:val="single" w:sz="6" w:space="0" w:color="000000"/>
              <w:right w:val="nil"/>
            </w:tcBorders>
            <w:vAlign w:val="center"/>
          </w:tcPr>
          <w:p w14:paraId="3E1D622E" w14:textId="2EBED867" w:rsidR="00505B1B" w:rsidRPr="0054775B" w:rsidRDefault="00761AFF" w:rsidP="000B76FE">
            <w:pPr>
              <w:pStyle w:val="2024TABLETEXT"/>
              <w:framePr w:hSpace="0" w:wrap="auto" w:vAnchor="margin" w:yAlign="inline"/>
              <w:suppressOverlap w:val="0"/>
            </w:pPr>
            <w:r w:rsidRPr="0054775B">
              <w:rPr>
                <w:b/>
                <w:bCs/>
              </w:rPr>
              <w:t>Depression-related emotional functioning/mental health burden</w:t>
            </w:r>
          </w:p>
        </w:tc>
      </w:tr>
      <w:tr w:rsidR="00350370" w:rsidRPr="0054775B" w14:paraId="1D9FADB5" w14:textId="77777777" w:rsidTr="00350370">
        <w:trPr>
          <w:cantSplit/>
        </w:trPr>
        <w:tc>
          <w:tcPr>
            <w:tcW w:w="295" w:type="pct"/>
            <w:vMerge/>
            <w:tcBorders>
              <w:left w:val="nil"/>
              <w:right w:val="nil"/>
            </w:tcBorders>
            <w:vAlign w:val="center"/>
          </w:tcPr>
          <w:p w14:paraId="14BD41C0" w14:textId="77777777" w:rsidR="00350370" w:rsidRPr="0054775B" w:rsidRDefault="00350370" w:rsidP="00106E55">
            <w:pPr>
              <w:pStyle w:val="2024TABLETEXT"/>
              <w:framePr w:hSpace="0" w:wrap="auto" w:vAnchor="margin" w:yAlign="inline"/>
              <w:suppressOverlap w:val="0"/>
              <w:jc w:val="center"/>
            </w:pPr>
          </w:p>
        </w:tc>
        <w:tc>
          <w:tcPr>
            <w:tcW w:w="1102" w:type="pct"/>
            <w:tcBorders>
              <w:top w:val="single" w:sz="6" w:space="0" w:color="000000"/>
              <w:left w:val="nil"/>
              <w:bottom w:val="single" w:sz="6" w:space="0" w:color="000000"/>
              <w:right w:val="nil"/>
            </w:tcBorders>
            <w:vAlign w:val="center"/>
          </w:tcPr>
          <w:p w14:paraId="7DCBA6EF" w14:textId="77777777" w:rsidR="00350370" w:rsidRPr="0054775B" w:rsidRDefault="00350370" w:rsidP="00106E55">
            <w:pPr>
              <w:pStyle w:val="2024TABLETEXT"/>
              <w:framePr w:hSpace="0" w:wrap="auto" w:vAnchor="margin" w:yAlign="inline"/>
              <w:spacing w:after="120"/>
              <w:ind w:left="363"/>
              <w:suppressOverlap w:val="0"/>
              <w:rPr>
                <w:b/>
                <w:bCs/>
              </w:rPr>
            </w:pPr>
            <w:r w:rsidRPr="0054775B">
              <w:rPr>
                <w:b/>
                <w:bCs/>
              </w:rPr>
              <w:t>Depressive symptomology (continuous)</w:t>
            </w:r>
          </w:p>
          <w:p w14:paraId="6813C88B" w14:textId="77777777" w:rsidR="00350370" w:rsidRPr="0054775B" w:rsidRDefault="00350370" w:rsidP="00106E55">
            <w:pPr>
              <w:pStyle w:val="2024TABLETEXT"/>
              <w:framePr w:hSpace="0" w:wrap="auto" w:vAnchor="margin" w:yAlign="inline"/>
              <w:ind w:left="639"/>
              <w:suppressOverlap w:val="0"/>
              <w:rPr>
                <w:b/>
                <w:bCs/>
              </w:rPr>
            </w:pPr>
            <w:r w:rsidRPr="0054775B">
              <w:rPr>
                <w:b/>
                <w:bCs/>
              </w:rPr>
              <w:t xml:space="preserve">Population: </w:t>
            </w:r>
            <w:r w:rsidRPr="0054775B">
              <w:t>Adults</w:t>
            </w:r>
          </w:p>
          <w:p w14:paraId="258312FC" w14:textId="02F40FEE" w:rsidR="00350370" w:rsidRPr="0054775B" w:rsidRDefault="00350370" w:rsidP="00106E55">
            <w:pPr>
              <w:pStyle w:val="2024TABLETEXT"/>
              <w:framePr w:hSpace="0" w:wrap="auto" w:vAnchor="margin" w:yAlign="inline"/>
              <w:ind w:left="639"/>
              <w:suppressOverlap w:val="0"/>
            </w:pPr>
            <w:r w:rsidRPr="0054775B">
              <w:rPr>
                <w:b/>
                <w:bCs/>
              </w:rPr>
              <w:t>Dose:</w:t>
            </w:r>
            <w:r w:rsidRPr="0054775B">
              <w:t xml:space="preserve"> Range of EPA, DHA or EPA/DHA combination supplements</w:t>
            </w:r>
          </w:p>
          <w:p w14:paraId="2DAFF5C1" w14:textId="1E816780" w:rsidR="00350370" w:rsidRPr="0054775B" w:rsidRDefault="00350370" w:rsidP="00106E55">
            <w:pPr>
              <w:pStyle w:val="2024TABLETEXT"/>
              <w:framePr w:hSpace="0" w:wrap="auto" w:vAnchor="margin" w:yAlign="inline"/>
              <w:ind w:left="639"/>
              <w:suppressOverlap w:val="0"/>
            </w:pPr>
            <w:r w:rsidRPr="0054775B">
              <w:rPr>
                <w:b/>
                <w:bCs/>
              </w:rPr>
              <w:t>Assessed with:</w:t>
            </w:r>
            <w:r w:rsidRPr="0054775B">
              <w:t xml:space="preserve"> HDRS, MADRS, BDI, GDS (higher scores indicate greater symptomology)</w:t>
            </w:r>
          </w:p>
          <w:p w14:paraId="3B9022BD" w14:textId="42E8BF18" w:rsidR="00350370" w:rsidRPr="0054775B" w:rsidRDefault="00350370" w:rsidP="00106E55">
            <w:pPr>
              <w:pStyle w:val="2024TABLETEXT"/>
              <w:framePr w:hSpace="0" w:wrap="auto" w:vAnchor="margin" w:yAlign="inline"/>
              <w:ind w:left="639"/>
              <w:suppressOverlap w:val="0"/>
            </w:pPr>
            <w:r w:rsidRPr="0054775B">
              <w:rPr>
                <w:b/>
                <w:bCs/>
                <w:color w:val="000000" w:themeColor="text1"/>
              </w:rPr>
              <w:t xml:space="preserve">Follow up: </w:t>
            </w:r>
            <w:r w:rsidRPr="0054775B">
              <w:rPr>
                <w:color w:val="000000" w:themeColor="text1"/>
              </w:rPr>
              <w:t>4-</w:t>
            </w:r>
            <w:r w:rsidRPr="0054775B">
              <w:t>16 weeks</w:t>
            </w:r>
          </w:p>
        </w:tc>
        <w:tc>
          <w:tcPr>
            <w:tcW w:w="432" w:type="pct"/>
            <w:tcBorders>
              <w:top w:val="single" w:sz="6" w:space="0" w:color="000000"/>
              <w:left w:val="nil"/>
              <w:bottom w:val="single" w:sz="6" w:space="0" w:color="000000"/>
              <w:right w:val="nil"/>
            </w:tcBorders>
            <w:vAlign w:val="center"/>
          </w:tcPr>
          <w:p w14:paraId="23918B26" w14:textId="7D9A84E3" w:rsidR="00350370" w:rsidRPr="0054775B" w:rsidRDefault="00350370" w:rsidP="00106E55">
            <w:pPr>
              <w:pStyle w:val="2024TABLETEXT"/>
              <w:framePr w:hSpace="0" w:wrap="auto" w:vAnchor="margin" w:yAlign="inline"/>
              <w:suppressOverlap w:val="0"/>
            </w:pPr>
            <w:r w:rsidRPr="0054775B">
              <w:t>Appleton 2021</w:t>
            </w:r>
          </w:p>
        </w:tc>
        <w:tc>
          <w:tcPr>
            <w:tcW w:w="432" w:type="pct"/>
            <w:tcBorders>
              <w:top w:val="single" w:sz="6" w:space="0" w:color="000000"/>
              <w:left w:val="nil"/>
              <w:bottom w:val="single" w:sz="6" w:space="0" w:color="000000"/>
              <w:right w:val="nil"/>
            </w:tcBorders>
            <w:vAlign w:val="center"/>
          </w:tcPr>
          <w:p w14:paraId="3756C816" w14:textId="16C00BE2" w:rsidR="00350370" w:rsidRPr="0054775B" w:rsidDel="00350370" w:rsidRDefault="00350370" w:rsidP="00350370">
            <w:pPr>
              <w:pStyle w:val="2024TABLETEXT"/>
              <w:framePr w:hSpace="0" w:wrap="auto" w:vAnchor="margin" w:yAlign="inline"/>
              <w:suppressOverlap w:val="0"/>
            </w:pPr>
          </w:p>
        </w:tc>
        <w:tc>
          <w:tcPr>
            <w:tcW w:w="433" w:type="pct"/>
            <w:tcBorders>
              <w:top w:val="single" w:sz="6" w:space="0" w:color="000000"/>
              <w:left w:val="nil"/>
              <w:bottom w:val="single" w:sz="6" w:space="0" w:color="000000"/>
              <w:right w:val="nil"/>
            </w:tcBorders>
            <w:vAlign w:val="center"/>
          </w:tcPr>
          <w:p w14:paraId="57E2AC8A" w14:textId="2D9AEF52" w:rsidR="00350370" w:rsidRPr="0054775B" w:rsidRDefault="00350370" w:rsidP="00350370">
            <w:pPr>
              <w:pStyle w:val="2024TABLETEXT"/>
              <w:framePr w:hSpace="0" w:wrap="auto" w:vAnchor="margin" w:yAlign="inline"/>
              <w:suppressOverlap w:val="0"/>
            </w:pPr>
            <w:r w:rsidRPr="001428E8">
              <w:t>M</w:t>
            </w:r>
            <w:r>
              <w:t xml:space="preserve">ean HDRS score was equivalent to </w:t>
            </w:r>
            <w:r w:rsidRPr="008F7EFC">
              <w:t>2.5 (</w:t>
            </w:r>
            <w:r>
              <w:t xml:space="preserve">95% CI </w:t>
            </w:r>
            <w:r w:rsidRPr="008F7EFC">
              <w:t xml:space="preserve">1.0 </w:t>
            </w:r>
            <w:r w:rsidRPr="0054775B">
              <w:t>−</w:t>
            </w:r>
            <w:r>
              <w:t xml:space="preserve"> </w:t>
            </w:r>
            <w:r w:rsidRPr="008F7EFC">
              <w:t>4.0</w:t>
            </w:r>
            <w:r>
              <w:t>)</w:t>
            </w:r>
            <w:r w:rsidRPr="001428E8">
              <w:t xml:space="preserve"> lower</w:t>
            </w:r>
            <w:r>
              <w:t xml:space="preserve"> </w:t>
            </w:r>
            <w:r w:rsidRPr="00182CC5">
              <w:t>in the intervention group</w:t>
            </w:r>
          </w:p>
        </w:tc>
        <w:tc>
          <w:tcPr>
            <w:tcW w:w="481" w:type="pct"/>
            <w:tcBorders>
              <w:top w:val="single" w:sz="6" w:space="0" w:color="000000"/>
              <w:left w:val="nil"/>
              <w:bottom w:val="single" w:sz="6" w:space="0" w:color="000000"/>
              <w:right w:val="nil"/>
            </w:tcBorders>
            <w:shd w:val="clear" w:color="auto" w:fill="auto"/>
            <w:vAlign w:val="center"/>
          </w:tcPr>
          <w:p w14:paraId="2193E628" w14:textId="26215CA6" w:rsidR="00350370" w:rsidRPr="0054775B" w:rsidRDefault="00350370" w:rsidP="00134ABD">
            <w:pPr>
              <w:pStyle w:val="2024TABLETEXT"/>
              <w:framePr w:hSpace="0" w:wrap="auto" w:vAnchor="margin" w:yAlign="inline"/>
              <w:suppressOverlap w:val="0"/>
            </w:pPr>
            <w:r w:rsidRPr="0054775B">
              <w:t>SMD = −0.40 (−0.64 to −0.16)</w:t>
            </w:r>
            <w:r>
              <w:t>^</w:t>
            </w:r>
          </w:p>
        </w:tc>
        <w:tc>
          <w:tcPr>
            <w:tcW w:w="481" w:type="pct"/>
            <w:tcBorders>
              <w:top w:val="single" w:sz="6" w:space="0" w:color="000000"/>
              <w:left w:val="nil"/>
              <w:bottom w:val="single" w:sz="6" w:space="0" w:color="000000"/>
              <w:right w:val="nil"/>
            </w:tcBorders>
            <w:vAlign w:val="center"/>
          </w:tcPr>
          <w:p w14:paraId="41F14C98" w14:textId="5430C079" w:rsidR="00350370" w:rsidRPr="0054775B" w:rsidRDefault="00350370" w:rsidP="00106E55">
            <w:pPr>
              <w:pStyle w:val="2024TABLETEXT"/>
              <w:framePr w:hSpace="0" w:wrap="auto" w:vAnchor="margin" w:yAlign="inline"/>
              <w:suppressOverlap w:val="0"/>
            </w:pPr>
            <w:r w:rsidRPr="0054775B">
              <w:t>1848 (33)</w:t>
            </w:r>
          </w:p>
        </w:tc>
        <w:tc>
          <w:tcPr>
            <w:tcW w:w="625" w:type="pct"/>
            <w:tcBorders>
              <w:top w:val="single" w:sz="6" w:space="0" w:color="000000"/>
              <w:left w:val="nil"/>
              <w:bottom w:val="single" w:sz="6" w:space="0" w:color="000000"/>
              <w:right w:val="nil"/>
            </w:tcBorders>
            <w:vAlign w:val="center"/>
          </w:tcPr>
          <w:p w14:paraId="611448AC" w14:textId="6859A77F" w:rsidR="00350370" w:rsidRPr="0054775B" w:rsidRDefault="00350370" w:rsidP="00106E55">
            <w:pPr>
              <w:pStyle w:val="2024TABLETEXT"/>
              <w:framePr w:hSpace="0" w:wrap="auto" w:vAnchor="margin" w:yAlign="inline"/>
              <w:suppressOverlap w:val="0"/>
            </w:pPr>
            <w:r w:rsidRPr="0054775B">
              <w:rPr>
                <w:rFonts w:ascii="Cambria Math" w:hAnsi="Cambria Math" w:cs="Cambria Math"/>
                <w:sz w:val="22"/>
                <w:szCs w:val="22"/>
              </w:rPr>
              <w:t>⨁</w:t>
            </w:r>
            <w:r w:rsidRPr="0054775B">
              <w:rPr>
                <w:rFonts w:ascii="Segoe UI Symbol" w:hAnsi="Segoe UI Symbol" w:cs="Segoe UI Symbol"/>
              </w:rPr>
              <w:t>◯◯◯</w:t>
            </w:r>
            <w:r w:rsidRPr="0054775B">
              <w:br/>
              <w:t>VERY LOW</w:t>
            </w:r>
            <w:r w:rsidRPr="0054775B">
              <w:rPr>
                <w:rStyle w:val="FootnoteReference"/>
              </w:rPr>
              <w:t xml:space="preserve"> a</w:t>
            </w:r>
          </w:p>
        </w:tc>
        <w:tc>
          <w:tcPr>
            <w:tcW w:w="719" w:type="pct"/>
            <w:tcBorders>
              <w:top w:val="single" w:sz="6" w:space="0" w:color="000000"/>
              <w:left w:val="nil"/>
              <w:bottom w:val="single" w:sz="6" w:space="0" w:color="000000"/>
              <w:right w:val="nil"/>
            </w:tcBorders>
            <w:vAlign w:val="center"/>
          </w:tcPr>
          <w:p w14:paraId="6234C613" w14:textId="2D5B7D38" w:rsidR="00350370" w:rsidRPr="0054775B" w:rsidRDefault="00350370" w:rsidP="00106E55">
            <w:pPr>
              <w:pStyle w:val="2024TABLETEXT"/>
              <w:framePr w:hSpace="0" w:wrap="auto" w:vAnchor="margin" w:yAlign="inline"/>
              <w:suppressOverlap w:val="0"/>
            </w:pPr>
            <w:r w:rsidRPr="0054775B">
              <w:t xml:space="preserve">The evidence is very uncertain about the effect of omega-3 </w:t>
            </w:r>
            <w:r w:rsidR="00AE2DE0">
              <w:t xml:space="preserve">fatty acids </w:t>
            </w:r>
            <w:r w:rsidRPr="0054775B">
              <w:t>on depression-related emotional functioning/mental health burden for adults with depression.</w:t>
            </w:r>
          </w:p>
        </w:tc>
      </w:tr>
      <w:tr w:rsidR="0026711C" w:rsidRPr="0054775B" w14:paraId="698F1345" w14:textId="77777777" w:rsidTr="00A90830">
        <w:trPr>
          <w:cantSplit/>
        </w:trPr>
        <w:tc>
          <w:tcPr>
            <w:tcW w:w="295" w:type="pct"/>
            <w:vMerge/>
            <w:tcBorders>
              <w:left w:val="nil"/>
              <w:right w:val="nil"/>
            </w:tcBorders>
            <w:vAlign w:val="center"/>
          </w:tcPr>
          <w:p w14:paraId="19E476F2" w14:textId="77777777" w:rsidR="00261375" w:rsidRPr="0054775B" w:rsidRDefault="00261375" w:rsidP="00261375">
            <w:pPr>
              <w:pStyle w:val="2024TABLETEXT"/>
              <w:framePr w:hSpace="0" w:wrap="auto" w:vAnchor="margin" w:yAlign="inline"/>
              <w:suppressOverlap w:val="0"/>
              <w:jc w:val="center"/>
            </w:pPr>
          </w:p>
        </w:tc>
        <w:tc>
          <w:tcPr>
            <w:tcW w:w="1102" w:type="pct"/>
            <w:tcBorders>
              <w:top w:val="single" w:sz="6" w:space="0" w:color="000000"/>
              <w:left w:val="nil"/>
              <w:bottom w:val="single" w:sz="6" w:space="0" w:color="000000"/>
              <w:right w:val="nil"/>
            </w:tcBorders>
            <w:vAlign w:val="center"/>
          </w:tcPr>
          <w:p w14:paraId="3D5F8655" w14:textId="77777777" w:rsidR="00261375" w:rsidRPr="0054775B" w:rsidRDefault="00261375" w:rsidP="00261375">
            <w:pPr>
              <w:pStyle w:val="2024TABLETEXT"/>
              <w:framePr w:hSpace="0" w:wrap="auto" w:vAnchor="margin" w:yAlign="inline"/>
              <w:spacing w:after="120"/>
              <w:ind w:left="363"/>
              <w:suppressOverlap w:val="0"/>
              <w:rPr>
                <w:b/>
                <w:bCs/>
              </w:rPr>
            </w:pPr>
            <w:r w:rsidRPr="0054775B">
              <w:rPr>
                <w:b/>
                <w:bCs/>
              </w:rPr>
              <w:t>Depressive symptomology (continuous)</w:t>
            </w:r>
          </w:p>
          <w:p w14:paraId="619A0AA2" w14:textId="558477BD" w:rsidR="00261375" w:rsidRPr="0054775B" w:rsidRDefault="00261375" w:rsidP="00261375">
            <w:pPr>
              <w:pStyle w:val="2024TABLETEXT"/>
              <w:framePr w:hSpace="0" w:wrap="auto" w:vAnchor="margin" w:yAlign="inline"/>
              <w:ind w:left="639"/>
              <w:suppressOverlap w:val="0"/>
              <w:rPr>
                <w:b/>
                <w:bCs/>
              </w:rPr>
            </w:pPr>
            <w:r w:rsidRPr="0054775B">
              <w:rPr>
                <w:b/>
                <w:bCs/>
              </w:rPr>
              <w:t xml:space="preserve">Population: </w:t>
            </w:r>
            <w:r w:rsidRPr="0054775B">
              <w:t>Children</w:t>
            </w:r>
          </w:p>
          <w:p w14:paraId="14B12CBE" w14:textId="276A81E8" w:rsidR="00261375" w:rsidRPr="0054775B" w:rsidRDefault="00261375" w:rsidP="00261375">
            <w:pPr>
              <w:pStyle w:val="2024TABLETEXT"/>
              <w:framePr w:hSpace="0" w:wrap="auto" w:vAnchor="margin" w:yAlign="inline"/>
              <w:ind w:left="639"/>
              <w:suppressOverlap w:val="0"/>
            </w:pPr>
            <w:r w:rsidRPr="0054775B">
              <w:rPr>
                <w:b/>
                <w:bCs/>
              </w:rPr>
              <w:t>Dose:</w:t>
            </w:r>
            <w:r w:rsidRPr="0054775B">
              <w:t xml:space="preserve"> Omega-3</w:t>
            </w:r>
            <w:r w:rsidR="00AE2DE0">
              <w:t xml:space="preserve"> fatty acids</w:t>
            </w:r>
            <w:r w:rsidRPr="0054775B">
              <w:t>, 1-3.4g daily</w:t>
            </w:r>
          </w:p>
          <w:p w14:paraId="6C0E41E6" w14:textId="432280F6" w:rsidR="00261375" w:rsidRPr="0054775B" w:rsidRDefault="00261375" w:rsidP="00261375">
            <w:pPr>
              <w:pStyle w:val="2024TABLETEXT"/>
              <w:framePr w:hSpace="0" w:wrap="auto" w:vAnchor="margin" w:yAlign="inline"/>
              <w:ind w:left="639"/>
              <w:suppressOverlap w:val="0"/>
            </w:pPr>
            <w:r w:rsidRPr="0054775B">
              <w:rPr>
                <w:b/>
                <w:bCs/>
              </w:rPr>
              <w:t>Assessed with:</w:t>
            </w:r>
            <w:r w:rsidRPr="0054775B">
              <w:t xml:space="preserve"> CDRS, CDRS-R, CDI</w:t>
            </w:r>
          </w:p>
          <w:p w14:paraId="6CB3CFB1" w14:textId="774ED736" w:rsidR="00261375" w:rsidRPr="0054775B" w:rsidRDefault="00261375" w:rsidP="00261375">
            <w:pPr>
              <w:pStyle w:val="2024TABLETEXT"/>
              <w:framePr w:hSpace="0" w:wrap="auto" w:vAnchor="margin" w:yAlign="inline"/>
              <w:ind w:left="639"/>
              <w:suppressOverlap w:val="0"/>
            </w:pPr>
            <w:r w:rsidRPr="0054775B">
              <w:rPr>
                <w:b/>
                <w:bCs/>
                <w:color w:val="000000" w:themeColor="text1"/>
              </w:rPr>
              <w:t xml:space="preserve">Follow up: </w:t>
            </w:r>
            <w:r w:rsidRPr="0054775B">
              <w:rPr>
                <w:color w:val="000000" w:themeColor="text1"/>
              </w:rPr>
              <w:t>10-</w:t>
            </w:r>
            <w:r w:rsidRPr="0054775B">
              <w:t>16 weeks</w:t>
            </w:r>
          </w:p>
        </w:tc>
        <w:tc>
          <w:tcPr>
            <w:tcW w:w="432" w:type="pct"/>
            <w:tcBorders>
              <w:top w:val="single" w:sz="6" w:space="0" w:color="000000"/>
              <w:left w:val="nil"/>
              <w:bottom w:val="single" w:sz="6" w:space="0" w:color="000000"/>
              <w:right w:val="nil"/>
            </w:tcBorders>
            <w:vAlign w:val="center"/>
          </w:tcPr>
          <w:p w14:paraId="4933B8D4" w14:textId="41601782" w:rsidR="00261375" w:rsidRPr="0054775B" w:rsidRDefault="00261375" w:rsidP="00261375">
            <w:pPr>
              <w:pStyle w:val="2024TABLETEXT"/>
              <w:framePr w:hSpace="0" w:wrap="auto" w:vAnchor="margin" w:yAlign="inline"/>
              <w:suppressOverlap w:val="0"/>
            </w:pPr>
            <w:r w:rsidRPr="0054775B">
              <w:t>Zhang 2019</w:t>
            </w:r>
          </w:p>
        </w:tc>
        <w:tc>
          <w:tcPr>
            <w:tcW w:w="432" w:type="pct"/>
            <w:tcBorders>
              <w:top w:val="single" w:sz="6" w:space="0" w:color="000000"/>
              <w:left w:val="nil"/>
              <w:bottom w:val="single" w:sz="6" w:space="0" w:color="000000"/>
              <w:right w:val="nil"/>
            </w:tcBorders>
            <w:vAlign w:val="center"/>
          </w:tcPr>
          <w:p w14:paraId="0B2DCA52" w14:textId="5583D2C0" w:rsidR="00261375" w:rsidRPr="0054775B" w:rsidRDefault="00261375" w:rsidP="00261375">
            <w:pPr>
              <w:pStyle w:val="2024TABLETEXT"/>
              <w:framePr w:hSpace="0" w:wrap="auto" w:vAnchor="margin" w:yAlign="inline"/>
              <w:suppressOverlap w:val="0"/>
            </w:pPr>
            <w:r w:rsidRPr="0054775B">
              <w:t>-</w:t>
            </w:r>
          </w:p>
        </w:tc>
        <w:tc>
          <w:tcPr>
            <w:tcW w:w="433" w:type="pct"/>
            <w:tcBorders>
              <w:top w:val="single" w:sz="6" w:space="0" w:color="000000"/>
              <w:left w:val="nil"/>
              <w:bottom w:val="single" w:sz="6" w:space="0" w:color="000000"/>
              <w:right w:val="nil"/>
            </w:tcBorders>
            <w:vAlign w:val="center"/>
          </w:tcPr>
          <w:p w14:paraId="566BEFD5" w14:textId="3D38EDC9" w:rsidR="00261375" w:rsidRPr="0054775B" w:rsidRDefault="00261375" w:rsidP="00261375">
            <w:pPr>
              <w:pStyle w:val="2024TABLETEXT"/>
              <w:framePr w:hSpace="0" w:wrap="auto" w:vAnchor="margin" w:yAlign="inline"/>
              <w:suppressOverlap w:val="0"/>
            </w:pPr>
            <w:r w:rsidRPr="0054775B">
              <w:t>-</w:t>
            </w:r>
          </w:p>
        </w:tc>
        <w:tc>
          <w:tcPr>
            <w:tcW w:w="481" w:type="pct"/>
            <w:tcBorders>
              <w:top w:val="single" w:sz="6" w:space="0" w:color="000000"/>
              <w:left w:val="nil"/>
              <w:bottom w:val="single" w:sz="6" w:space="0" w:color="000000"/>
              <w:right w:val="nil"/>
            </w:tcBorders>
            <w:shd w:val="clear" w:color="auto" w:fill="auto"/>
            <w:vAlign w:val="center"/>
          </w:tcPr>
          <w:p w14:paraId="60467CB3" w14:textId="36186192" w:rsidR="00261375" w:rsidRPr="0054775B" w:rsidRDefault="00261375" w:rsidP="00261375">
            <w:pPr>
              <w:pStyle w:val="2024TABLETEXT"/>
              <w:framePr w:hSpace="0" w:wrap="auto" w:vAnchor="margin" w:yAlign="inline"/>
              <w:suppressOverlap w:val="0"/>
            </w:pPr>
            <w:r w:rsidRPr="0054775B">
              <w:t>SMD = −0.12 (−0.53, 0.30)</w:t>
            </w:r>
            <w:r>
              <w:t>^</w:t>
            </w:r>
          </w:p>
        </w:tc>
        <w:tc>
          <w:tcPr>
            <w:tcW w:w="481" w:type="pct"/>
            <w:tcBorders>
              <w:top w:val="single" w:sz="6" w:space="0" w:color="000000"/>
              <w:left w:val="nil"/>
              <w:bottom w:val="single" w:sz="6" w:space="0" w:color="000000"/>
              <w:right w:val="nil"/>
            </w:tcBorders>
            <w:vAlign w:val="center"/>
          </w:tcPr>
          <w:p w14:paraId="0B2AB726" w14:textId="74C5689E" w:rsidR="00261375" w:rsidRPr="0054775B" w:rsidRDefault="00261375" w:rsidP="00261375">
            <w:pPr>
              <w:pStyle w:val="2024TABLETEXT"/>
              <w:framePr w:hSpace="0" w:wrap="auto" w:vAnchor="margin" w:yAlign="inline"/>
              <w:suppressOverlap w:val="0"/>
            </w:pPr>
            <w:r w:rsidRPr="0054775B">
              <w:t>153 (4)</w:t>
            </w:r>
          </w:p>
        </w:tc>
        <w:tc>
          <w:tcPr>
            <w:tcW w:w="625" w:type="pct"/>
            <w:tcBorders>
              <w:top w:val="single" w:sz="6" w:space="0" w:color="000000"/>
              <w:left w:val="nil"/>
              <w:bottom w:val="single" w:sz="6" w:space="0" w:color="000000"/>
              <w:right w:val="nil"/>
            </w:tcBorders>
            <w:vAlign w:val="center"/>
          </w:tcPr>
          <w:p w14:paraId="00C0D14D" w14:textId="735B8AF5" w:rsidR="00261375" w:rsidRPr="0054775B" w:rsidRDefault="00261375" w:rsidP="00261375">
            <w:pPr>
              <w:pStyle w:val="2024TABLETEXT"/>
              <w:framePr w:hSpace="0" w:wrap="auto" w:vAnchor="margin" w:yAlign="inline"/>
              <w:suppressOverlap w:val="0"/>
            </w:pPr>
            <w:r w:rsidRPr="0054775B">
              <w:rPr>
                <w:rFonts w:ascii="Cambria Math" w:hAnsi="Cambria Math" w:cs="Cambria Math"/>
                <w:sz w:val="22"/>
                <w:szCs w:val="22"/>
              </w:rPr>
              <w:t>⨁</w:t>
            </w:r>
            <w:r w:rsidRPr="0054775B">
              <w:rPr>
                <w:rFonts w:ascii="Segoe UI Symbol" w:hAnsi="Segoe UI Symbol" w:cs="Segoe UI Symbol"/>
              </w:rPr>
              <w:t>◯◯◯</w:t>
            </w:r>
            <w:r w:rsidRPr="0054775B">
              <w:br/>
            </w:r>
            <w:r>
              <w:t xml:space="preserve">VERY </w:t>
            </w:r>
            <w:r w:rsidRPr="0054775B">
              <w:t>LOW</w:t>
            </w:r>
            <w:r w:rsidRPr="0054775B">
              <w:rPr>
                <w:rStyle w:val="FootnoteReference"/>
              </w:rPr>
              <w:t xml:space="preserve"> b</w:t>
            </w:r>
          </w:p>
        </w:tc>
        <w:tc>
          <w:tcPr>
            <w:tcW w:w="719" w:type="pct"/>
            <w:tcBorders>
              <w:top w:val="single" w:sz="6" w:space="0" w:color="000000"/>
              <w:left w:val="nil"/>
              <w:bottom w:val="single" w:sz="6" w:space="0" w:color="000000"/>
              <w:right w:val="nil"/>
            </w:tcBorders>
            <w:vAlign w:val="center"/>
          </w:tcPr>
          <w:p w14:paraId="002A15B3" w14:textId="6BFB4552" w:rsidR="00261375" w:rsidRPr="0054775B" w:rsidRDefault="00261375" w:rsidP="00261375">
            <w:pPr>
              <w:pStyle w:val="2024TABLETEXT"/>
              <w:framePr w:hSpace="0" w:wrap="auto" w:vAnchor="margin" w:yAlign="inline"/>
              <w:suppressOverlap w:val="0"/>
            </w:pPr>
            <w:r w:rsidRPr="0054775B">
              <w:t xml:space="preserve">The evidence is very uncertain about the effect of omega-3 </w:t>
            </w:r>
            <w:r w:rsidR="00AE2DE0">
              <w:t xml:space="preserve">fatty acids </w:t>
            </w:r>
            <w:r w:rsidRPr="0054775B">
              <w:t xml:space="preserve">on depression-related emotional functioning/mental health burden for </w:t>
            </w:r>
            <w:r>
              <w:t>children</w:t>
            </w:r>
            <w:r w:rsidRPr="0054775B">
              <w:t xml:space="preserve"> with depression.</w:t>
            </w:r>
          </w:p>
        </w:tc>
      </w:tr>
      <w:tr w:rsidR="004A7390" w:rsidRPr="0054775B" w14:paraId="269BE185" w14:textId="77777777" w:rsidTr="00A90830">
        <w:trPr>
          <w:cantSplit/>
        </w:trPr>
        <w:tc>
          <w:tcPr>
            <w:tcW w:w="295" w:type="pct"/>
            <w:vMerge/>
            <w:tcBorders>
              <w:left w:val="nil"/>
              <w:bottom w:val="single" w:sz="6" w:space="0" w:color="000000"/>
              <w:right w:val="nil"/>
            </w:tcBorders>
            <w:vAlign w:val="center"/>
          </w:tcPr>
          <w:p w14:paraId="521C8178" w14:textId="77777777" w:rsidR="00261375" w:rsidRPr="0054775B" w:rsidRDefault="00261375" w:rsidP="00261375">
            <w:pPr>
              <w:pStyle w:val="2024TABLETEXT"/>
              <w:framePr w:hSpace="0" w:wrap="auto" w:vAnchor="margin" w:yAlign="inline"/>
              <w:suppressOverlap w:val="0"/>
              <w:jc w:val="center"/>
            </w:pPr>
          </w:p>
        </w:tc>
        <w:tc>
          <w:tcPr>
            <w:tcW w:w="1102" w:type="pct"/>
            <w:tcBorders>
              <w:top w:val="single" w:sz="6" w:space="0" w:color="000000"/>
              <w:left w:val="nil"/>
              <w:bottom w:val="single" w:sz="6" w:space="0" w:color="000000"/>
              <w:right w:val="nil"/>
            </w:tcBorders>
            <w:vAlign w:val="center"/>
          </w:tcPr>
          <w:p w14:paraId="079A48A3" w14:textId="77777777" w:rsidR="00261375" w:rsidRPr="0054775B" w:rsidRDefault="00261375" w:rsidP="00261375">
            <w:pPr>
              <w:pStyle w:val="2024TABLETEXT"/>
              <w:framePr w:hSpace="0" w:wrap="auto" w:vAnchor="margin" w:yAlign="inline"/>
              <w:spacing w:after="120"/>
              <w:ind w:left="363"/>
              <w:suppressOverlap w:val="0"/>
              <w:rPr>
                <w:b/>
                <w:bCs/>
              </w:rPr>
            </w:pPr>
            <w:r w:rsidRPr="0054775B">
              <w:rPr>
                <w:b/>
                <w:bCs/>
              </w:rPr>
              <w:t>Depressive symptomology (continuous)</w:t>
            </w:r>
          </w:p>
          <w:p w14:paraId="608ACBC9" w14:textId="1755035C" w:rsidR="00261375" w:rsidRPr="0054775B" w:rsidRDefault="00261375" w:rsidP="00261375">
            <w:pPr>
              <w:pStyle w:val="2024TABLETEXT"/>
              <w:framePr w:hSpace="0" w:wrap="auto" w:vAnchor="margin" w:yAlign="inline"/>
              <w:ind w:left="639"/>
              <w:suppressOverlap w:val="0"/>
              <w:rPr>
                <w:b/>
                <w:bCs/>
              </w:rPr>
            </w:pPr>
            <w:r w:rsidRPr="0054775B">
              <w:rPr>
                <w:b/>
                <w:bCs/>
              </w:rPr>
              <w:t xml:space="preserve">Condition: </w:t>
            </w:r>
            <w:r w:rsidRPr="0054775B">
              <w:t>Perinatal depression</w:t>
            </w:r>
          </w:p>
          <w:p w14:paraId="44E14EE9" w14:textId="36A89124" w:rsidR="00261375" w:rsidRPr="0054775B" w:rsidRDefault="00261375" w:rsidP="00261375">
            <w:pPr>
              <w:pStyle w:val="2024TABLETEXT"/>
              <w:framePr w:hSpace="0" w:wrap="auto" w:vAnchor="margin" w:yAlign="inline"/>
              <w:ind w:left="639"/>
              <w:suppressOverlap w:val="0"/>
            </w:pPr>
            <w:r w:rsidRPr="0054775B">
              <w:rPr>
                <w:b/>
                <w:bCs/>
              </w:rPr>
              <w:t>Dose:</w:t>
            </w:r>
            <w:r w:rsidRPr="0054775B">
              <w:t xml:space="preserve"> Combination DHA + EPA (609-1638mg DHA, 414-2200mg EPA)</w:t>
            </w:r>
          </w:p>
          <w:p w14:paraId="0943F852" w14:textId="4FD289EC" w:rsidR="00261375" w:rsidRPr="0054775B" w:rsidRDefault="00261375" w:rsidP="00261375">
            <w:pPr>
              <w:pStyle w:val="2024TABLETEXT"/>
              <w:framePr w:hSpace="0" w:wrap="auto" w:vAnchor="margin" w:yAlign="inline"/>
              <w:ind w:left="639"/>
              <w:suppressOverlap w:val="0"/>
            </w:pPr>
            <w:r w:rsidRPr="0054775B">
              <w:rPr>
                <w:b/>
                <w:bCs/>
              </w:rPr>
              <w:t>Assessed with:</w:t>
            </w:r>
            <w:r w:rsidRPr="0054775B">
              <w:t xml:space="preserve"> EPDS, HAMD,</w:t>
            </w:r>
          </w:p>
          <w:p w14:paraId="5B94DA7A" w14:textId="4AC406E2" w:rsidR="00261375" w:rsidRPr="0054775B" w:rsidRDefault="00261375" w:rsidP="00261375">
            <w:pPr>
              <w:pStyle w:val="2024TABLETEXT"/>
              <w:framePr w:hSpace="0" w:wrap="auto" w:vAnchor="margin" w:yAlign="inline"/>
              <w:ind w:left="639"/>
              <w:suppressOverlap w:val="0"/>
            </w:pPr>
            <w:r w:rsidRPr="0054775B">
              <w:t>CGI, MADRS, BDI, MINI</w:t>
            </w:r>
          </w:p>
          <w:p w14:paraId="2A9FC6AA" w14:textId="6C8C408A" w:rsidR="00261375" w:rsidRPr="0054775B" w:rsidRDefault="00261375" w:rsidP="00261375">
            <w:pPr>
              <w:pStyle w:val="2024TABLETEXT"/>
              <w:framePr w:hSpace="0" w:wrap="auto" w:vAnchor="margin" w:yAlign="inline"/>
              <w:ind w:left="639"/>
              <w:suppressOverlap w:val="0"/>
              <w:rPr>
                <w:b/>
                <w:bCs/>
              </w:rPr>
            </w:pPr>
            <w:r w:rsidRPr="0054775B">
              <w:rPr>
                <w:b/>
                <w:bCs/>
                <w:color w:val="000000" w:themeColor="text1"/>
              </w:rPr>
              <w:t xml:space="preserve">Follow up: </w:t>
            </w:r>
            <w:r w:rsidRPr="0054775B">
              <w:rPr>
                <w:color w:val="000000" w:themeColor="text1"/>
              </w:rPr>
              <w:t>6-12 weeks</w:t>
            </w:r>
          </w:p>
        </w:tc>
        <w:tc>
          <w:tcPr>
            <w:tcW w:w="432" w:type="pct"/>
            <w:tcBorders>
              <w:top w:val="single" w:sz="6" w:space="0" w:color="000000"/>
              <w:left w:val="nil"/>
              <w:bottom w:val="single" w:sz="6" w:space="0" w:color="000000"/>
              <w:right w:val="nil"/>
            </w:tcBorders>
            <w:vAlign w:val="center"/>
          </w:tcPr>
          <w:p w14:paraId="4E953B14" w14:textId="2E4EB405" w:rsidR="00261375" w:rsidRPr="0054775B" w:rsidRDefault="00261375" w:rsidP="00261375">
            <w:pPr>
              <w:pStyle w:val="2024TABLETEXT"/>
              <w:framePr w:hSpace="0" w:wrap="auto" w:vAnchor="margin" w:yAlign="inline"/>
              <w:suppressOverlap w:val="0"/>
            </w:pPr>
            <w:r w:rsidRPr="0054775B">
              <w:t>Suradom 2021</w:t>
            </w:r>
          </w:p>
        </w:tc>
        <w:tc>
          <w:tcPr>
            <w:tcW w:w="432" w:type="pct"/>
            <w:tcBorders>
              <w:top w:val="single" w:sz="6" w:space="0" w:color="000000"/>
              <w:left w:val="nil"/>
              <w:bottom w:val="single" w:sz="6" w:space="0" w:color="000000"/>
              <w:right w:val="nil"/>
            </w:tcBorders>
            <w:vAlign w:val="center"/>
          </w:tcPr>
          <w:p w14:paraId="4E084781" w14:textId="2D45B1D4" w:rsidR="00261375" w:rsidRPr="0054775B" w:rsidRDefault="00261375" w:rsidP="00261375">
            <w:pPr>
              <w:pStyle w:val="2024TABLETEXT"/>
              <w:framePr w:hSpace="0" w:wrap="auto" w:vAnchor="margin" w:yAlign="inline"/>
              <w:suppressOverlap w:val="0"/>
            </w:pPr>
            <w:r w:rsidRPr="0054775B">
              <w:t>-</w:t>
            </w:r>
          </w:p>
        </w:tc>
        <w:tc>
          <w:tcPr>
            <w:tcW w:w="433" w:type="pct"/>
            <w:tcBorders>
              <w:top w:val="single" w:sz="6" w:space="0" w:color="000000"/>
              <w:left w:val="nil"/>
              <w:bottom w:val="single" w:sz="6" w:space="0" w:color="000000"/>
              <w:right w:val="nil"/>
            </w:tcBorders>
            <w:vAlign w:val="center"/>
          </w:tcPr>
          <w:p w14:paraId="2EAC0684" w14:textId="65C3EE1A" w:rsidR="00261375" w:rsidRPr="0054775B" w:rsidRDefault="00261375" w:rsidP="00261375">
            <w:pPr>
              <w:pStyle w:val="2024TABLETEXT"/>
              <w:framePr w:hSpace="0" w:wrap="auto" w:vAnchor="margin" w:yAlign="inline"/>
              <w:suppressOverlap w:val="0"/>
            </w:pPr>
            <w:r w:rsidRPr="0054775B">
              <w:t>-</w:t>
            </w:r>
          </w:p>
        </w:tc>
        <w:tc>
          <w:tcPr>
            <w:tcW w:w="481" w:type="pct"/>
            <w:tcBorders>
              <w:top w:val="single" w:sz="6" w:space="0" w:color="000000"/>
              <w:left w:val="nil"/>
              <w:bottom w:val="single" w:sz="6" w:space="0" w:color="000000"/>
              <w:right w:val="nil"/>
            </w:tcBorders>
            <w:shd w:val="clear" w:color="auto" w:fill="auto"/>
            <w:vAlign w:val="center"/>
          </w:tcPr>
          <w:p w14:paraId="1882C9F3" w14:textId="0ECBB64E" w:rsidR="00261375" w:rsidRPr="0054775B" w:rsidRDefault="00261375" w:rsidP="00261375">
            <w:pPr>
              <w:pStyle w:val="2024TABLETEXT"/>
              <w:framePr w:hSpace="0" w:wrap="auto" w:vAnchor="margin" w:yAlign="inline"/>
              <w:suppressOverlap w:val="0"/>
            </w:pPr>
            <w:r w:rsidRPr="0054775B">
              <w:t>SMD = −0.14 (−0.55 to 0.27)</w:t>
            </w:r>
            <w:r>
              <w:t>^</w:t>
            </w:r>
          </w:p>
        </w:tc>
        <w:tc>
          <w:tcPr>
            <w:tcW w:w="481" w:type="pct"/>
            <w:tcBorders>
              <w:top w:val="single" w:sz="6" w:space="0" w:color="000000"/>
              <w:left w:val="nil"/>
              <w:bottom w:val="single" w:sz="6" w:space="0" w:color="000000"/>
              <w:right w:val="nil"/>
            </w:tcBorders>
            <w:vAlign w:val="center"/>
          </w:tcPr>
          <w:p w14:paraId="6C8A3A81" w14:textId="1D29B481" w:rsidR="00261375" w:rsidRPr="0054775B" w:rsidRDefault="00261375" w:rsidP="00261375">
            <w:pPr>
              <w:pStyle w:val="2024TABLETEXT"/>
              <w:framePr w:hSpace="0" w:wrap="auto" w:vAnchor="margin" w:yAlign="inline"/>
              <w:suppressOverlap w:val="0"/>
            </w:pPr>
            <w:r w:rsidRPr="0054775B">
              <w:t>141 (4)</w:t>
            </w:r>
          </w:p>
        </w:tc>
        <w:tc>
          <w:tcPr>
            <w:tcW w:w="625" w:type="pct"/>
            <w:tcBorders>
              <w:top w:val="single" w:sz="6" w:space="0" w:color="000000"/>
              <w:left w:val="nil"/>
              <w:bottom w:val="single" w:sz="6" w:space="0" w:color="000000"/>
              <w:right w:val="nil"/>
            </w:tcBorders>
            <w:vAlign w:val="center"/>
          </w:tcPr>
          <w:p w14:paraId="0DF34ECB" w14:textId="4A77934F" w:rsidR="00261375" w:rsidRPr="0054775B" w:rsidRDefault="00261375" w:rsidP="00261375">
            <w:pPr>
              <w:pStyle w:val="2024TABLETEXT"/>
              <w:framePr w:hSpace="0" w:wrap="auto" w:vAnchor="margin" w:yAlign="inline"/>
              <w:suppressOverlap w:val="0"/>
              <w:rPr>
                <w:rFonts w:cs="Cambria Math"/>
                <w:sz w:val="22"/>
                <w:szCs w:val="22"/>
              </w:rPr>
            </w:pPr>
            <w:r w:rsidRPr="0054775B">
              <w:rPr>
                <w:rFonts w:ascii="Cambria Math" w:hAnsi="Cambria Math" w:cs="Cambria Math"/>
                <w:sz w:val="22"/>
                <w:szCs w:val="22"/>
              </w:rPr>
              <w:t>⨁</w:t>
            </w:r>
            <w:r w:rsidRPr="0054775B">
              <w:rPr>
                <w:rFonts w:ascii="Segoe UI Symbol" w:hAnsi="Segoe UI Symbol" w:cs="Segoe UI Symbol"/>
              </w:rPr>
              <w:t>◯◯◯</w:t>
            </w:r>
            <w:r w:rsidRPr="0054775B">
              <w:br/>
            </w:r>
            <w:r>
              <w:t xml:space="preserve">VERY </w:t>
            </w:r>
            <w:r w:rsidRPr="0054775B">
              <w:t>LOW</w:t>
            </w:r>
            <w:r w:rsidRPr="0054775B">
              <w:rPr>
                <w:rStyle w:val="FootnoteReference"/>
              </w:rPr>
              <w:t xml:space="preserve"> </w:t>
            </w:r>
            <w:r w:rsidRPr="002D4130">
              <w:rPr>
                <w:vertAlign w:val="superscript"/>
              </w:rPr>
              <w:t>c</w:t>
            </w:r>
          </w:p>
        </w:tc>
        <w:tc>
          <w:tcPr>
            <w:tcW w:w="719" w:type="pct"/>
            <w:tcBorders>
              <w:top w:val="single" w:sz="6" w:space="0" w:color="000000"/>
              <w:left w:val="nil"/>
              <w:bottom w:val="single" w:sz="6" w:space="0" w:color="000000"/>
              <w:right w:val="nil"/>
            </w:tcBorders>
            <w:vAlign w:val="center"/>
          </w:tcPr>
          <w:p w14:paraId="4A2272D3" w14:textId="2BDD873A" w:rsidR="00261375" w:rsidRPr="0054775B" w:rsidRDefault="00261375" w:rsidP="00261375">
            <w:pPr>
              <w:pStyle w:val="2024TABLETEXT"/>
              <w:framePr w:hSpace="0" w:wrap="auto" w:vAnchor="margin" w:yAlign="inline"/>
              <w:suppressOverlap w:val="0"/>
            </w:pPr>
            <w:r w:rsidRPr="0054775B">
              <w:t xml:space="preserve">The evidence is very uncertain about the effect of omega-3 </w:t>
            </w:r>
            <w:r w:rsidR="00AE2DE0">
              <w:t xml:space="preserve">fatty acids </w:t>
            </w:r>
            <w:r w:rsidRPr="0054775B">
              <w:t xml:space="preserve">on depression-related emotional functioning/mental health burden for adults with </w:t>
            </w:r>
            <w:r w:rsidR="00810DD2">
              <w:t xml:space="preserve">perinatal </w:t>
            </w:r>
            <w:r w:rsidRPr="0054775B">
              <w:t>depression.</w:t>
            </w:r>
          </w:p>
        </w:tc>
      </w:tr>
      <w:tr w:rsidR="00106E55" w:rsidRPr="0054775B" w14:paraId="55646B95" w14:textId="77777777" w:rsidTr="00A90830">
        <w:trPr>
          <w:cantSplit/>
          <w:trHeight w:val="115"/>
        </w:trPr>
        <w:tc>
          <w:tcPr>
            <w:tcW w:w="295" w:type="pct"/>
            <w:vMerge w:val="restart"/>
            <w:tcBorders>
              <w:top w:val="single" w:sz="6" w:space="0" w:color="000000"/>
              <w:left w:val="nil"/>
              <w:right w:val="nil"/>
            </w:tcBorders>
            <w:vAlign w:val="center"/>
          </w:tcPr>
          <w:p w14:paraId="7532BC47" w14:textId="28D3E312" w:rsidR="00106E55" w:rsidRPr="0054775B" w:rsidRDefault="00106E55" w:rsidP="00106E55">
            <w:pPr>
              <w:pStyle w:val="2024TABLETEXT"/>
              <w:framePr w:hSpace="0" w:wrap="auto" w:vAnchor="margin" w:yAlign="inline"/>
              <w:suppressOverlap w:val="0"/>
              <w:jc w:val="center"/>
            </w:pPr>
            <w:r w:rsidRPr="0054775B">
              <w:lastRenderedPageBreak/>
              <w:t>9</w:t>
            </w:r>
          </w:p>
        </w:tc>
        <w:tc>
          <w:tcPr>
            <w:tcW w:w="4705" w:type="pct"/>
            <w:gridSpan w:val="8"/>
            <w:tcBorders>
              <w:top w:val="single" w:sz="6" w:space="0" w:color="000000"/>
              <w:left w:val="nil"/>
              <w:bottom w:val="single" w:sz="6" w:space="0" w:color="000000"/>
              <w:right w:val="nil"/>
            </w:tcBorders>
            <w:vAlign w:val="center"/>
          </w:tcPr>
          <w:p w14:paraId="6863BD5C" w14:textId="03B8A1C1" w:rsidR="00106E55" w:rsidRPr="0054775B" w:rsidRDefault="00106E55" w:rsidP="00106E55">
            <w:pPr>
              <w:pStyle w:val="2024TABLETEXT"/>
              <w:framePr w:hSpace="0" w:wrap="auto" w:vAnchor="margin" w:yAlign="inline"/>
              <w:suppressOverlap w:val="0"/>
            </w:pPr>
            <w:r w:rsidRPr="0054775B">
              <w:rPr>
                <w:b/>
                <w:bCs/>
              </w:rPr>
              <w:t>Improvement in clinical levels of depression (including post-natal depression)</w:t>
            </w:r>
          </w:p>
        </w:tc>
      </w:tr>
      <w:tr w:rsidR="0026711C" w:rsidRPr="0054775B" w14:paraId="50950B7C" w14:textId="77777777" w:rsidTr="00A90830">
        <w:trPr>
          <w:cantSplit/>
          <w:trHeight w:val="115"/>
        </w:trPr>
        <w:tc>
          <w:tcPr>
            <w:tcW w:w="295" w:type="pct"/>
            <w:vMerge/>
            <w:tcBorders>
              <w:left w:val="nil"/>
              <w:right w:val="nil"/>
            </w:tcBorders>
            <w:vAlign w:val="center"/>
          </w:tcPr>
          <w:p w14:paraId="4130EEA9" w14:textId="77777777" w:rsidR="00C5276E" w:rsidRPr="0054775B" w:rsidRDefault="00C5276E" w:rsidP="00C5276E">
            <w:pPr>
              <w:pStyle w:val="2024TABLETEXT"/>
              <w:framePr w:hSpace="0" w:wrap="auto" w:vAnchor="margin" w:yAlign="inline"/>
              <w:suppressOverlap w:val="0"/>
              <w:jc w:val="center"/>
            </w:pPr>
          </w:p>
        </w:tc>
        <w:tc>
          <w:tcPr>
            <w:tcW w:w="1102" w:type="pct"/>
            <w:tcBorders>
              <w:top w:val="single" w:sz="6" w:space="0" w:color="000000"/>
              <w:left w:val="nil"/>
              <w:bottom w:val="single" w:sz="6" w:space="0" w:color="000000"/>
              <w:right w:val="nil"/>
            </w:tcBorders>
            <w:vAlign w:val="center"/>
          </w:tcPr>
          <w:p w14:paraId="00E6772E" w14:textId="155DAE07" w:rsidR="00C5276E" w:rsidRPr="0054775B" w:rsidRDefault="00C5276E" w:rsidP="00C5276E">
            <w:pPr>
              <w:pStyle w:val="2024TABLETEXT"/>
              <w:framePr w:hSpace="0" w:wrap="auto" w:vAnchor="margin" w:yAlign="inline"/>
              <w:spacing w:after="120"/>
              <w:ind w:left="363"/>
              <w:suppressOverlap w:val="0"/>
              <w:rPr>
                <w:b/>
                <w:bCs/>
              </w:rPr>
            </w:pPr>
            <w:r w:rsidRPr="0054775B">
              <w:rPr>
                <w:b/>
                <w:bCs/>
              </w:rPr>
              <w:t>Reemission (dichotomous, defined as an end point score within the “no/low” depression on corresponding scale)</w:t>
            </w:r>
          </w:p>
          <w:p w14:paraId="337446F8" w14:textId="77777777" w:rsidR="00C5276E" w:rsidRPr="0054775B" w:rsidRDefault="00C5276E" w:rsidP="00C5276E">
            <w:pPr>
              <w:pStyle w:val="2024TABLETEXT"/>
              <w:framePr w:hSpace="0" w:wrap="auto" w:vAnchor="margin" w:yAlign="inline"/>
              <w:ind w:left="639"/>
              <w:suppressOverlap w:val="0"/>
              <w:rPr>
                <w:b/>
                <w:bCs/>
              </w:rPr>
            </w:pPr>
            <w:r w:rsidRPr="0054775B">
              <w:rPr>
                <w:b/>
                <w:bCs/>
              </w:rPr>
              <w:t xml:space="preserve">Population: </w:t>
            </w:r>
            <w:r w:rsidRPr="0054775B">
              <w:t>Adults</w:t>
            </w:r>
          </w:p>
          <w:p w14:paraId="424AE44B" w14:textId="77777777" w:rsidR="00C5276E" w:rsidRPr="0054775B" w:rsidRDefault="00C5276E" w:rsidP="00C5276E">
            <w:pPr>
              <w:pStyle w:val="2024TABLETEXT"/>
              <w:framePr w:hSpace="0" w:wrap="auto" w:vAnchor="margin" w:yAlign="inline"/>
              <w:ind w:left="639"/>
              <w:suppressOverlap w:val="0"/>
              <w:rPr>
                <w:b/>
                <w:bCs/>
              </w:rPr>
            </w:pPr>
            <w:r w:rsidRPr="0054775B">
              <w:rPr>
                <w:b/>
                <w:bCs/>
              </w:rPr>
              <w:t>Dose:</w:t>
            </w:r>
            <w:r w:rsidRPr="0054775B">
              <w:t xml:space="preserve">  Range of EPA, DHA or EPA/DHA combination supplements</w:t>
            </w:r>
            <w:r w:rsidRPr="0054775B">
              <w:rPr>
                <w:b/>
                <w:bCs/>
              </w:rPr>
              <w:t xml:space="preserve"> </w:t>
            </w:r>
          </w:p>
          <w:p w14:paraId="3B9246D4" w14:textId="78E2F2E3" w:rsidR="00C5276E" w:rsidRPr="0054775B" w:rsidRDefault="00C5276E" w:rsidP="00C5276E">
            <w:pPr>
              <w:pStyle w:val="2024TABLETEXT"/>
              <w:framePr w:hSpace="0" w:wrap="auto" w:vAnchor="margin" w:yAlign="inline"/>
              <w:ind w:left="639"/>
              <w:suppressOverlap w:val="0"/>
            </w:pPr>
            <w:r w:rsidRPr="0054775B">
              <w:rPr>
                <w:b/>
                <w:bCs/>
              </w:rPr>
              <w:t>Assessed with:</w:t>
            </w:r>
            <w:r w:rsidRPr="0054775B">
              <w:t xml:space="preserve"> HDRS, MADRS, BDI, GDS</w:t>
            </w:r>
          </w:p>
          <w:p w14:paraId="0D40AC27" w14:textId="44A9A7AC" w:rsidR="00C5276E" w:rsidRPr="0054775B" w:rsidRDefault="00C5276E" w:rsidP="00C5276E">
            <w:pPr>
              <w:pStyle w:val="2024TABLETEXT"/>
              <w:framePr w:hSpace="0" w:wrap="auto" w:vAnchor="margin" w:yAlign="inline"/>
              <w:ind w:left="639"/>
              <w:suppressOverlap w:val="0"/>
            </w:pPr>
            <w:r w:rsidRPr="0054775B">
              <w:rPr>
                <w:b/>
                <w:bCs/>
                <w:color w:val="000000" w:themeColor="text1"/>
              </w:rPr>
              <w:t xml:space="preserve">Follow up: </w:t>
            </w:r>
            <w:r w:rsidRPr="0054775B">
              <w:rPr>
                <w:color w:val="000000" w:themeColor="text1"/>
              </w:rPr>
              <w:t>4-</w:t>
            </w:r>
            <w:r w:rsidRPr="0054775B">
              <w:t>16 weeks</w:t>
            </w:r>
          </w:p>
        </w:tc>
        <w:tc>
          <w:tcPr>
            <w:tcW w:w="432" w:type="pct"/>
            <w:tcBorders>
              <w:top w:val="single" w:sz="6" w:space="0" w:color="000000"/>
              <w:left w:val="nil"/>
              <w:bottom w:val="single" w:sz="6" w:space="0" w:color="000000"/>
              <w:right w:val="nil"/>
            </w:tcBorders>
            <w:vAlign w:val="center"/>
          </w:tcPr>
          <w:p w14:paraId="05191715" w14:textId="7B85D7D2" w:rsidR="00C5276E" w:rsidRPr="0054775B" w:rsidRDefault="00C5276E" w:rsidP="00C5276E">
            <w:pPr>
              <w:pStyle w:val="2024TABLETEXT"/>
              <w:framePr w:hSpace="0" w:wrap="auto" w:vAnchor="margin" w:yAlign="inline"/>
              <w:suppressOverlap w:val="0"/>
            </w:pPr>
            <w:r w:rsidRPr="0054775B">
              <w:t>Appleton 2021</w:t>
            </w:r>
          </w:p>
        </w:tc>
        <w:tc>
          <w:tcPr>
            <w:tcW w:w="432" w:type="pct"/>
            <w:tcBorders>
              <w:top w:val="single" w:sz="6" w:space="0" w:color="000000"/>
              <w:left w:val="nil"/>
              <w:bottom w:val="single" w:sz="6" w:space="0" w:color="000000"/>
              <w:right w:val="nil"/>
            </w:tcBorders>
            <w:vAlign w:val="center"/>
          </w:tcPr>
          <w:p w14:paraId="5F8DC181" w14:textId="77777777" w:rsidR="00C5276E" w:rsidRDefault="00C5276E" w:rsidP="00C5276E">
            <w:pPr>
              <w:pStyle w:val="2024TABLETEXT"/>
              <w:framePr w:hSpace="0" w:wrap="auto" w:vAnchor="margin" w:yAlign="inline"/>
              <w:suppressOverlap w:val="0"/>
            </w:pPr>
          </w:p>
          <w:p w14:paraId="2FB9C3E2" w14:textId="1625CB11" w:rsidR="00C5276E" w:rsidRPr="0054775B" w:rsidRDefault="00C5276E" w:rsidP="00C5276E">
            <w:pPr>
              <w:pStyle w:val="2024TABLETEXT"/>
              <w:framePr w:hSpace="0" w:wrap="auto" w:vAnchor="margin" w:yAlign="inline"/>
              <w:suppressOverlap w:val="0"/>
            </w:pPr>
            <w:r w:rsidRPr="0054775B">
              <w:t>329 per 1000</w:t>
            </w:r>
          </w:p>
        </w:tc>
        <w:tc>
          <w:tcPr>
            <w:tcW w:w="433" w:type="pct"/>
            <w:tcBorders>
              <w:top w:val="single" w:sz="6" w:space="0" w:color="000000"/>
              <w:left w:val="nil"/>
              <w:bottom w:val="single" w:sz="6" w:space="0" w:color="000000"/>
              <w:right w:val="nil"/>
            </w:tcBorders>
            <w:vAlign w:val="center"/>
          </w:tcPr>
          <w:p w14:paraId="70C23A60" w14:textId="4C47771E" w:rsidR="00C5276E" w:rsidRPr="0054775B" w:rsidRDefault="00C5276E" w:rsidP="00C5276E">
            <w:pPr>
              <w:pStyle w:val="2024TABLETEXT"/>
              <w:framePr w:hSpace="0" w:wrap="auto" w:vAnchor="margin" w:yAlign="inline"/>
              <w:suppressOverlap w:val="0"/>
            </w:pPr>
            <w:r w:rsidRPr="007516F2">
              <w:t>27 more per 1000 (95%CI: 63 fewer to 128 more)</w:t>
            </w:r>
          </w:p>
        </w:tc>
        <w:tc>
          <w:tcPr>
            <w:tcW w:w="481" w:type="pct"/>
            <w:tcBorders>
              <w:top w:val="single" w:sz="6" w:space="0" w:color="000000"/>
              <w:left w:val="nil"/>
              <w:bottom w:val="single" w:sz="6" w:space="0" w:color="000000"/>
              <w:right w:val="nil"/>
            </w:tcBorders>
            <w:shd w:val="clear" w:color="auto" w:fill="auto"/>
            <w:vAlign w:val="center"/>
          </w:tcPr>
          <w:p w14:paraId="48C00323" w14:textId="77777777" w:rsidR="00C5276E" w:rsidRPr="0054775B" w:rsidRDefault="00C5276E" w:rsidP="00C5276E">
            <w:pPr>
              <w:pStyle w:val="2024TABLETEXT"/>
              <w:framePr w:hSpace="0" w:wrap="auto" w:vAnchor="margin" w:yAlign="inline"/>
              <w:suppressOverlap w:val="0"/>
            </w:pPr>
            <w:r w:rsidRPr="0054775B">
              <w:t xml:space="preserve">OR 1.13 </w:t>
            </w:r>
          </w:p>
          <w:p w14:paraId="2E973BF9" w14:textId="2E93A788" w:rsidR="00C5276E" w:rsidRPr="0054775B" w:rsidRDefault="00C5276E" w:rsidP="00C5276E">
            <w:pPr>
              <w:pStyle w:val="2024TABLETEXT"/>
              <w:framePr w:hSpace="0" w:wrap="auto" w:vAnchor="margin" w:yAlign="inline"/>
              <w:suppressOverlap w:val="0"/>
            </w:pPr>
            <w:r w:rsidRPr="0054775B">
              <w:t>(0.74 to 1.72)</w:t>
            </w:r>
            <w:r>
              <w:t>#</w:t>
            </w:r>
          </w:p>
        </w:tc>
        <w:tc>
          <w:tcPr>
            <w:tcW w:w="481" w:type="pct"/>
            <w:tcBorders>
              <w:top w:val="single" w:sz="6" w:space="0" w:color="000000"/>
              <w:left w:val="nil"/>
              <w:bottom w:val="single" w:sz="6" w:space="0" w:color="000000"/>
              <w:right w:val="nil"/>
            </w:tcBorders>
            <w:vAlign w:val="center"/>
          </w:tcPr>
          <w:p w14:paraId="7AE493E6" w14:textId="6C60F011" w:rsidR="00C5276E" w:rsidRPr="0054775B" w:rsidRDefault="00C5276E" w:rsidP="00C5276E">
            <w:pPr>
              <w:pStyle w:val="2024TABLETEXT"/>
              <w:framePr w:hSpace="0" w:wrap="auto" w:vAnchor="margin" w:yAlign="inline"/>
              <w:suppressOverlap w:val="0"/>
            </w:pPr>
            <w:r w:rsidRPr="0054775B">
              <w:t>609 (8)</w:t>
            </w:r>
          </w:p>
        </w:tc>
        <w:tc>
          <w:tcPr>
            <w:tcW w:w="625" w:type="pct"/>
            <w:tcBorders>
              <w:top w:val="single" w:sz="6" w:space="0" w:color="000000"/>
              <w:left w:val="nil"/>
              <w:bottom w:val="single" w:sz="6" w:space="0" w:color="000000"/>
              <w:right w:val="nil"/>
            </w:tcBorders>
            <w:vAlign w:val="center"/>
          </w:tcPr>
          <w:p w14:paraId="2E0AD398" w14:textId="4BD039C0" w:rsidR="00C5276E" w:rsidRPr="0054775B" w:rsidRDefault="00C5276E" w:rsidP="00C5276E">
            <w:pPr>
              <w:pStyle w:val="2024TABLETEXT"/>
              <w:framePr w:hSpace="0" w:wrap="auto" w:vAnchor="margin" w:yAlign="inline"/>
              <w:suppressOverlap w:val="0"/>
            </w:pPr>
            <w:r w:rsidRPr="0054775B">
              <w:rPr>
                <w:rFonts w:ascii="Cambria Math" w:hAnsi="Cambria Math" w:cs="Cambria Math"/>
                <w:sz w:val="22"/>
                <w:szCs w:val="22"/>
              </w:rPr>
              <w:t>⨁</w:t>
            </w:r>
            <w:r w:rsidR="00B11E1F" w:rsidRPr="0054775B">
              <w:rPr>
                <w:rFonts w:ascii="Cambria Math" w:hAnsi="Cambria Math" w:cs="Cambria Math"/>
                <w:sz w:val="22"/>
                <w:szCs w:val="22"/>
              </w:rPr>
              <w:t>⨁</w:t>
            </w:r>
            <w:r w:rsidRPr="0054775B">
              <w:rPr>
                <w:rFonts w:ascii="Segoe UI Symbol" w:hAnsi="Segoe UI Symbol" w:cs="Segoe UI Symbol"/>
              </w:rPr>
              <w:t>◯◯</w:t>
            </w:r>
            <w:r w:rsidRPr="0054775B">
              <w:br/>
              <w:t>LOW</w:t>
            </w:r>
            <w:r w:rsidRPr="0054775B">
              <w:rPr>
                <w:rStyle w:val="FootnoteReference"/>
              </w:rPr>
              <w:t xml:space="preserve"> </w:t>
            </w:r>
            <w:r w:rsidRPr="002D4130">
              <w:rPr>
                <w:vertAlign w:val="superscript"/>
              </w:rPr>
              <w:t>d</w:t>
            </w:r>
          </w:p>
        </w:tc>
        <w:tc>
          <w:tcPr>
            <w:tcW w:w="719" w:type="pct"/>
            <w:tcBorders>
              <w:top w:val="single" w:sz="6" w:space="0" w:color="000000"/>
              <w:left w:val="nil"/>
              <w:bottom w:val="single" w:sz="6" w:space="0" w:color="000000"/>
              <w:right w:val="nil"/>
            </w:tcBorders>
            <w:vAlign w:val="center"/>
          </w:tcPr>
          <w:p w14:paraId="70643D6A" w14:textId="5CAA9C7A" w:rsidR="00C5276E" w:rsidRPr="0054775B" w:rsidRDefault="00116E6D" w:rsidP="00C5276E">
            <w:pPr>
              <w:pStyle w:val="2024TABLETEXT"/>
              <w:framePr w:hSpace="0" w:wrap="auto" w:vAnchor="margin" w:yAlign="inline"/>
              <w:suppressOverlap w:val="0"/>
            </w:pPr>
            <w:r>
              <w:t>Omega-3</w:t>
            </w:r>
            <w:r w:rsidR="00AE3138">
              <w:t xml:space="preserve"> fatty acids </w:t>
            </w:r>
            <w:r w:rsidRPr="0054775B">
              <w:t xml:space="preserve"> </w:t>
            </w:r>
            <w:r>
              <w:t>may</w:t>
            </w:r>
            <w:r w:rsidRPr="0054775B">
              <w:t xml:space="preserve"> result in</w:t>
            </w:r>
            <w:r w:rsidRPr="0054775B" w:rsidDel="008A62ED">
              <w:t xml:space="preserve"> </w:t>
            </w:r>
            <w:r>
              <w:t xml:space="preserve">little to no </w:t>
            </w:r>
            <w:r w:rsidRPr="0054775B">
              <w:t xml:space="preserve">improvement in </w:t>
            </w:r>
            <w:r>
              <w:t>remission (as a dichotomous outcome)</w:t>
            </w:r>
            <w:r w:rsidRPr="0054775B">
              <w:t xml:space="preserve"> for </w:t>
            </w:r>
            <w:r>
              <w:t>people with depression.</w:t>
            </w:r>
          </w:p>
        </w:tc>
      </w:tr>
      <w:tr w:rsidR="0026711C" w:rsidRPr="0054775B" w14:paraId="517F75D7" w14:textId="77777777" w:rsidTr="00A90830">
        <w:trPr>
          <w:cantSplit/>
          <w:trHeight w:val="115"/>
        </w:trPr>
        <w:tc>
          <w:tcPr>
            <w:tcW w:w="295" w:type="pct"/>
            <w:vMerge/>
            <w:tcBorders>
              <w:left w:val="nil"/>
              <w:right w:val="nil"/>
            </w:tcBorders>
            <w:vAlign w:val="center"/>
          </w:tcPr>
          <w:p w14:paraId="7541D614" w14:textId="77777777" w:rsidR="00116E6D" w:rsidRPr="0054775B" w:rsidRDefault="00116E6D" w:rsidP="00116E6D">
            <w:pPr>
              <w:pStyle w:val="2024TABLETEXT"/>
              <w:framePr w:hSpace="0" w:wrap="auto" w:vAnchor="margin" w:yAlign="inline"/>
              <w:suppressOverlap w:val="0"/>
              <w:jc w:val="center"/>
            </w:pPr>
          </w:p>
        </w:tc>
        <w:tc>
          <w:tcPr>
            <w:tcW w:w="1102" w:type="pct"/>
            <w:tcBorders>
              <w:top w:val="single" w:sz="6" w:space="0" w:color="000000"/>
              <w:left w:val="nil"/>
              <w:bottom w:val="single" w:sz="6" w:space="0" w:color="000000"/>
              <w:right w:val="nil"/>
            </w:tcBorders>
            <w:vAlign w:val="center"/>
          </w:tcPr>
          <w:p w14:paraId="376B0C89" w14:textId="77777777" w:rsidR="00116E6D" w:rsidRPr="0054775B" w:rsidRDefault="00116E6D" w:rsidP="00116E6D">
            <w:pPr>
              <w:pStyle w:val="2024TABLETEXT"/>
              <w:framePr w:hSpace="0" w:wrap="auto" w:vAnchor="margin" w:yAlign="inline"/>
              <w:spacing w:after="120"/>
              <w:ind w:left="363"/>
              <w:suppressOverlap w:val="0"/>
              <w:rPr>
                <w:b/>
                <w:bCs/>
              </w:rPr>
            </w:pPr>
            <w:r w:rsidRPr="0054775B">
              <w:rPr>
                <w:b/>
                <w:bCs/>
              </w:rPr>
              <w:t>Response (dichotomous, defined as a 50% improvement in depression scale score)</w:t>
            </w:r>
          </w:p>
          <w:p w14:paraId="2C8EC340" w14:textId="77777777" w:rsidR="00116E6D" w:rsidRPr="0054775B" w:rsidRDefault="00116E6D" w:rsidP="00116E6D">
            <w:pPr>
              <w:pStyle w:val="2024TABLETEXT"/>
              <w:framePr w:hSpace="0" w:wrap="auto" w:vAnchor="margin" w:yAlign="inline"/>
              <w:ind w:left="639"/>
              <w:suppressOverlap w:val="0"/>
              <w:rPr>
                <w:b/>
                <w:bCs/>
              </w:rPr>
            </w:pPr>
            <w:r w:rsidRPr="0054775B">
              <w:rPr>
                <w:b/>
                <w:bCs/>
              </w:rPr>
              <w:t xml:space="preserve">Population: </w:t>
            </w:r>
            <w:r w:rsidRPr="0054775B">
              <w:t>Adults</w:t>
            </w:r>
          </w:p>
          <w:p w14:paraId="20CCC268" w14:textId="77777777" w:rsidR="00116E6D" w:rsidRPr="0054775B" w:rsidRDefault="00116E6D" w:rsidP="00116E6D">
            <w:pPr>
              <w:pStyle w:val="2024TABLETEXT"/>
              <w:framePr w:hSpace="0" w:wrap="auto" w:vAnchor="margin" w:yAlign="inline"/>
              <w:ind w:left="639"/>
              <w:suppressOverlap w:val="0"/>
              <w:rPr>
                <w:b/>
                <w:bCs/>
              </w:rPr>
            </w:pPr>
            <w:r w:rsidRPr="0054775B">
              <w:rPr>
                <w:b/>
                <w:bCs/>
              </w:rPr>
              <w:t>Dose:</w:t>
            </w:r>
            <w:r w:rsidRPr="0054775B">
              <w:t xml:space="preserve"> Range of EPA, DHA or EPA/DHA combination supplements</w:t>
            </w:r>
            <w:r w:rsidRPr="0054775B">
              <w:rPr>
                <w:b/>
                <w:bCs/>
              </w:rPr>
              <w:t xml:space="preserve"> </w:t>
            </w:r>
          </w:p>
          <w:p w14:paraId="6A4AD311" w14:textId="1276F6B3" w:rsidR="00116E6D" w:rsidRPr="0054775B" w:rsidRDefault="00116E6D" w:rsidP="00116E6D">
            <w:pPr>
              <w:pStyle w:val="2024TABLETEXT"/>
              <w:framePr w:hSpace="0" w:wrap="auto" w:vAnchor="margin" w:yAlign="inline"/>
              <w:ind w:left="639"/>
              <w:suppressOverlap w:val="0"/>
              <w:rPr>
                <w:b/>
              </w:rPr>
            </w:pPr>
            <w:r w:rsidRPr="0054775B">
              <w:rPr>
                <w:b/>
                <w:bCs/>
              </w:rPr>
              <w:t>Assessed with:</w:t>
            </w:r>
            <w:r w:rsidRPr="0054775B">
              <w:t xml:space="preserve"> HDRS, MADRS, BDI, GDS</w:t>
            </w:r>
          </w:p>
          <w:p w14:paraId="79BEC1F6" w14:textId="5390115C" w:rsidR="00116E6D" w:rsidRPr="0054775B" w:rsidRDefault="00116E6D" w:rsidP="00116E6D">
            <w:pPr>
              <w:pStyle w:val="2024TABLETEXT"/>
              <w:framePr w:hSpace="0" w:wrap="auto" w:vAnchor="margin" w:yAlign="inline"/>
              <w:ind w:left="639"/>
              <w:suppressOverlap w:val="0"/>
              <w:rPr>
                <w:b/>
                <w:bCs/>
              </w:rPr>
            </w:pPr>
            <w:r w:rsidRPr="0054775B">
              <w:rPr>
                <w:b/>
              </w:rPr>
              <w:t xml:space="preserve">Follow up: </w:t>
            </w:r>
            <w:r w:rsidRPr="0054775B">
              <w:t>4-16 weeks</w:t>
            </w:r>
          </w:p>
        </w:tc>
        <w:tc>
          <w:tcPr>
            <w:tcW w:w="432" w:type="pct"/>
            <w:tcBorders>
              <w:top w:val="single" w:sz="6" w:space="0" w:color="000000"/>
              <w:left w:val="nil"/>
              <w:bottom w:val="single" w:sz="6" w:space="0" w:color="000000"/>
              <w:right w:val="nil"/>
            </w:tcBorders>
            <w:vAlign w:val="center"/>
          </w:tcPr>
          <w:p w14:paraId="2623EE95" w14:textId="58F6DC9F" w:rsidR="00116E6D" w:rsidRPr="0054775B" w:rsidRDefault="00116E6D" w:rsidP="00116E6D">
            <w:pPr>
              <w:pStyle w:val="2024TABLETEXT"/>
              <w:framePr w:hSpace="0" w:wrap="auto" w:vAnchor="margin" w:yAlign="inline"/>
              <w:suppressOverlap w:val="0"/>
            </w:pPr>
            <w:r w:rsidRPr="0054775B">
              <w:t>Appleton 2021</w:t>
            </w:r>
          </w:p>
        </w:tc>
        <w:tc>
          <w:tcPr>
            <w:tcW w:w="432" w:type="pct"/>
            <w:tcBorders>
              <w:top w:val="single" w:sz="6" w:space="0" w:color="000000"/>
              <w:left w:val="nil"/>
              <w:bottom w:val="single" w:sz="6" w:space="0" w:color="000000"/>
              <w:right w:val="nil"/>
            </w:tcBorders>
            <w:vAlign w:val="center"/>
          </w:tcPr>
          <w:p w14:paraId="5FA86437" w14:textId="77777777" w:rsidR="00116E6D" w:rsidRDefault="00116E6D" w:rsidP="00116E6D">
            <w:pPr>
              <w:pStyle w:val="2024TABLETEXT"/>
              <w:framePr w:hSpace="0" w:wrap="auto" w:vAnchor="margin" w:yAlign="inline"/>
              <w:suppressOverlap w:val="0"/>
            </w:pPr>
          </w:p>
          <w:p w14:paraId="4B84997A" w14:textId="593A62A3" w:rsidR="00116E6D" w:rsidRPr="0054775B" w:rsidRDefault="00116E6D" w:rsidP="00116E6D">
            <w:pPr>
              <w:pStyle w:val="2024TABLETEXT"/>
              <w:framePr w:hSpace="0" w:wrap="auto" w:vAnchor="margin" w:yAlign="inline"/>
              <w:suppressOverlap w:val="0"/>
            </w:pPr>
            <w:r w:rsidRPr="0054775B">
              <w:t>445 per 1000</w:t>
            </w:r>
            <w:r>
              <w:t>#</w:t>
            </w:r>
          </w:p>
        </w:tc>
        <w:tc>
          <w:tcPr>
            <w:tcW w:w="433" w:type="pct"/>
            <w:tcBorders>
              <w:top w:val="single" w:sz="6" w:space="0" w:color="000000"/>
              <w:left w:val="nil"/>
              <w:bottom w:val="single" w:sz="6" w:space="0" w:color="000000"/>
              <w:right w:val="nil"/>
            </w:tcBorders>
            <w:vAlign w:val="center"/>
          </w:tcPr>
          <w:p w14:paraId="3900C4DF" w14:textId="7E43D265" w:rsidR="00116E6D" w:rsidRPr="0054775B" w:rsidRDefault="00116E6D" w:rsidP="00116E6D">
            <w:pPr>
              <w:pStyle w:val="2024TABLETEXT"/>
              <w:framePr w:hSpace="0" w:wrap="auto" w:vAnchor="margin" w:yAlign="inline"/>
              <w:suppressOverlap w:val="0"/>
            </w:pPr>
            <w:r w:rsidRPr="008F7EFC">
              <w:t xml:space="preserve">45 more per 1000 (95% CI: 58 fewer to 144 more) </w:t>
            </w:r>
          </w:p>
        </w:tc>
        <w:tc>
          <w:tcPr>
            <w:tcW w:w="481" w:type="pct"/>
            <w:tcBorders>
              <w:top w:val="single" w:sz="6" w:space="0" w:color="000000"/>
              <w:left w:val="nil"/>
              <w:bottom w:val="single" w:sz="6" w:space="0" w:color="000000"/>
              <w:right w:val="nil"/>
            </w:tcBorders>
            <w:shd w:val="clear" w:color="auto" w:fill="auto"/>
            <w:vAlign w:val="center"/>
          </w:tcPr>
          <w:p w14:paraId="6BDE68BB" w14:textId="77777777" w:rsidR="00116E6D" w:rsidRPr="0054775B" w:rsidRDefault="00116E6D" w:rsidP="00116E6D">
            <w:pPr>
              <w:pStyle w:val="2024TABLETEXT"/>
              <w:framePr w:hSpace="0" w:wrap="auto" w:vAnchor="margin" w:yAlign="inline"/>
              <w:suppressOverlap w:val="0"/>
            </w:pPr>
            <w:r w:rsidRPr="0054775B">
              <w:t xml:space="preserve">OR 1.20 </w:t>
            </w:r>
          </w:p>
          <w:p w14:paraId="6D8D79E6" w14:textId="195ED9D3" w:rsidR="00116E6D" w:rsidRPr="0054775B" w:rsidRDefault="00116E6D" w:rsidP="00116E6D">
            <w:pPr>
              <w:pStyle w:val="2024TABLETEXT"/>
              <w:framePr w:hSpace="0" w:wrap="auto" w:vAnchor="margin" w:yAlign="inline"/>
              <w:suppressOverlap w:val="0"/>
            </w:pPr>
            <w:r w:rsidRPr="0054775B">
              <w:t>(0.80 to 1.79)</w:t>
            </w:r>
            <w:r>
              <w:t>#</w:t>
            </w:r>
          </w:p>
        </w:tc>
        <w:tc>
          <w:tcPr>
            <w:tcW w:w="481" w:type="pct"/>
            <w:tcBorders>
              <w:top w:val="single" w:sz="6" w:space="0" w:color="000000"/>
              <w:left w:val="nil"/>
              <w:bottom w:val="single" w:sz="6" w:space="0" w:color="000000"/>
              <w:right w:val="nil"/>
            </w:tcBorders>
            <w:vAlign w:val="center"/>
          </w:tcPr>
          <w:p w14:paraId="678A530E" w14:textId="60CD4430" w:rsidR="00116E6D" w:rsidRPr="0054775B" w:rsidRDefault="00116E6D" w:rsidP="00116E6D">
            <w:pPr>
              <w:pStyle w:val="2024TABLETEXT"/>
              <w:framePr w:hSpace="0" w:wrap="auto" w:vAnchor="margin" w:yAlign="inline"/>
              <w:suppressOverlap w:val="0"/>
            </w:pPr>
            <w:r w:rsidRPr="0054775B">
              <w:t xml:space="preserve">794 (17) </w:t>
            </w:r>
          </w:p>
        </w:tc>
        <w:tc>
          <w:tcPr>
            <w:tcW w:w="625" w:type="pct"/>
            <w:tcBorders>
              <w:top w:val="single" w:sz="6" w:space="0" w:color="000000"/>
              <w:left w:val="nil"/>
              <w:bottom w:val="single" w:sz="6" w:space="0" w:color="000000"/>
              <w:right w:val="nil"/>
            </w:tcBorders>
            <w:vAlign w:val="center"/>
          </w:tcPr>
          <w:p w14:paraId="40A12C82" w14:textId="644B7783" w:rsidR="00116E6D" w:rsidRPr="0054775B" w:rsidRDefault="00116E6D" w:rsidP="00116E6D">
            <w:pPr>
              <w:pStyle w:val="2024TABLETEXT"/>
              <w:framePr w:hSpace="0" w:wrap="auto" w:vAnchor="margin" w:yAlign="inline"/>
              <w:suppressOverlap w:val="0"/>
              <w:rPr>
                <w:rFonts w:cs="Cambria Math"/>
                <w:sz w:val="22"/>
                <w:szCs w:val="22"/>
              </w:rPr>
            </w:pPr>
            <w:r w:rsidRPr="0054775B">
              <w:rPr>
                <w:rFonts w:ascii="Cambria Math" w:hAnsi="Cambria Math" w:cs="Cambria Math"/>
                <w:sz w:val="22"/>
                <w:szCs w:val="22"/>
              </w:rPr>
              <w:t>⨁⨁</w:t>
            </w:r>
            <w:r w:rsidRPr="0054775B">
              <w:rPr>
                <w:rFonts w:ascii="Segoe UI Symbol" w:hAnsi="Segoe UI Symbol" w:cs="Segoe UI Symbol"/>
              </w:rPr>
              <w:t>◯◯</w:t>
            </w:r>
            <w:r w:rsidRPr="0054775B">
              <w:br/>
              <w:t>LOW</w:t>
            </w:r>
            <w:r w:rsidRPr="0054775B">
              <w:rPr>
                <w:rStyle w:val="FootnoteReference"/>
              </w:rPr>
              <w:t xml:space="preserve"> </w:t>
            </w:r>
            <w:r w:rsidRPr="009652D7">
              <w:rPr>
                <w:vertAlign w:val="superscript"/>
              </w:rPr>
              <w:t>d</w:t>
            </w:r>
          </w:p>
        </w:tc>
        <w:tc>
          <w:tcPr>
            <w:tcW w:w="719" w:type="pct"/>
            <w:tcBorders>
              <w:top w:val="single" w:sz="6" w:space="0" w:color="000000"/>
              <w:left w:val="nil"/>
              <w:bottom w:val="single" w:sz="6" w:space="0" w:color="000000"/>
              <w:right w:val="nil"/>
            </w:tcBorders>
            <w:vAlign w:val="center"/>
          </w:tcPr>
          <w:p w14:paraId="02354AB3" w14:textId="134EA9F0" w:rsidR="00116E6D" w:rsidRPr="0054775B" w:rsidRDefault="00116E6D" w:rsidP="00116E6D">
            <w:pPr>
              <w:pStyle w:val="2024TABLETEXT"/>
              <w:framePr w:hSpace="0" w:wrap="auto" w:vAnchor="margin" w:yAlign="inline"/>
              <w:suppressOverlap w:val="0"/>
            </w:pPr>
            <w:r>
              <w:t>Omega-3</w:t>
            </w:r>
            <w:r w:rsidRPr="0054775B">
              <w:t xml:space="preserve"> </w:t>
            </w:r>
            <w:r w:rsidR="00AE3138">
              <w:t xml:space="preserve">fatty acids </w:t>
            </w:r>
            <w:r>
              <w:t>may</w:t>
            </w:r>
            <w:r w:rsidRPr="0054775B">
              <w:t xml:space="preserve"> result in</w:t>
            </w:r>
            <w:r w:rsidRPr="0054775B" w:rsidDel="008A62ED">
              <w:t xml:space="preserve"> </w:t>
            </w:r>
            <w:r>
              <w:t xml:space="preserve">little to no </w:t>
            </w:r>
            <w:r w:rsidRPr="0054775B">
              <w:t xml:space="preserve">improvement in </w:t>
            </w:r>
            <w:r>
              <w:t>remission (as a dichotomous outcome)</w:t>
            </w:r>
            <w:r w:rsidRPr="0054775B">
              <w:t xml:space="preserve"> for </w:t>
            </w:r>
            <w:r>
              <w:t>people with depression.</w:t>
            </w:r>
          </w:p>
        </w:tc>
      </w:tr>
      <w:tr w:rsidR="004A7390" w:rsidRPr="0054775B" w14:paraId="3770B7D1" w14:textId="77777777" w:rsidTr="00A90830">
        <w:trPr>
          <w:cantSplit/>
          <w:trHeight w:val="115"/>
        </w:trPr>
        <w:tc>
          <w:tcPr>
            <w:tcW w:w="295" w:type="pct"/>
            <w:vMerge/>
            <w:tcBorders>
              <w:left w:val="nil"/>
              <w:bottom w:val="single" w:sz="6" w:space="0" w:color="000000"/>
              <w:right w:val="nil"/>
            </w:tcBorders>
            <w:vAlign w:val="center"/>
          </w:tcPr>
          <w:p w14:paraId="711B2C33" w14:textId="77777777" w:rsidR="00116E6D" w:rsidRPr="0054775B" w:rsidRDefault="00116E6D" w:rsidP="00116E6D">
            <w:pPr>
              <w:pStyle w:val="2024TABLETEXT"/>
              <w:framePr w:hSpace="0" w:wrap="auto" w:vAnchor="margin" w:yAlign="inline"/>
              <w:suppressOverlap w:val="0"/>
              <w:jc w:val="center"/>
            </w:pPr>
          </w:p>
        </w:tc>
        <w:tc>
          <w:tcPr>
            <w:tcW w:w="1102" w:type="pct"/>
            <w:tcBorders>
              <w:top w:val="single" w:sz="6" w:space="0" w:color="000000"/>
              <w:left w:val="nil"/>
              <w:bottom w:val="single" w:sz="6" w:space="0" w:color="000000"/>
              <w:right w:val="nil"/>
            </w:tcBorders>
            <w:vAlign w:val="center"/>
          </w:tcPr>
          <w:p w14:paraId="51D61DF9" w14:textId="3F44042B" w:rsidR="00116E6D" w:rsidRPr="0054775B" w:rsidRDefault="00116E6D" w:rsidP="00116E6D">
            <w:pPr>
              <w:pStyle w:val="2024TABLETEXT"/>
              <w:framePr w:hSpace="0" w:wrap="auto" w:vAnchor="margin" w:yAlign="inline"/>
              <w:spacing w:after="120"/>
              <w:ind w:left="363"/>
              <w:suppressOverlap w:val="0"/>
              <w:rPr>
                <w:b/>
                <w:bCs/>
              </w:rPr>
            </w:pPr>
            <w:r w:rsidRPr="0054775B">
              <w:rPr>
                <w:b/>
                <w:bCs/>
              </w:rPr>
              <w:t>Response (dichotomous, defined as ≥ 50% change from baseline on depression score or a score of ≤ 28 at the end-point of a trial on the CDRS-R)</w:t>
            </w:r>
          </w:p>
          <w:p w14:paraId="76445396" w14:textId="77777777" w:rsidR="00116E6D" w:rsidRPr="0054775B" w:rsidRDefault="00116E6D" w:rsidP="00116E6D">
            <w:pPr>
              <w:pStyle w:val="2024TABLETEXT"/>
              <w:framePr w:hSpace="0" w:wrap="auto" w:vAnchor="margin" w:yAlign="inline"/>
              <w:ind w:left="639"/>
              <w:suppressOverlap w:val="0"/>
              <w:rPr>
                <w:b/>
                <w:bCs/>
              </w:rPr>
            </w:pPr>
            <w:r w:rsidRPr="0054775B">
              <w:rPr>
                <w:b/>
                <w:bCs/>
              </w:rPr>
              <w:t xml:space="preserve">Population: </w:t>
            </w:r>
            <w:r w:rsidRPr="0054775B">
              <w:t>Children</w:t>
            </w:r>
          </w:p>
          <w:p w14:paraId="0EC1362C" w14:textId="77777777" w:rsidR="00116E6D" w:rsidRPr="0054775B" w:rsidRDefault="00116E6D" w:rsidP="00116E6D">
            <w:pPr>
              <w:pStyle w:val="2024TABLETEXT"/>
              <w:framePr w:hSpace="0" w:wrap="auto" w:vAnchor="margin" w:yAlign="inline"/>
              <w:ind w:left="639"/>
              <w:suppressOverlap w:val="0"/>
            </w:pPr>
            <w:r w:rsidRPr="0054775B">
              <w:rPr>
                <w:b/>
                <w:bCs/>
              </w:rPr>
              <w:t>Dose:</w:t>
            </w:r>
            <w:r w:rsidRPr="0054775B">
              <w:t xml:space="preserve"> Omega-3, 1-3.4g daily</w:t>
            </w:r>
          </w:p>
          <w:p w14:paraId="2547E2B8" w14:textId="77777777" w:rsidR="00116E6D" w:rsidRPr="0054775B" w:rsidRDefault="00116E6D" w:rsidP="00116E6D">
            <w:pPr>
              <w:pStyle w:val="2024TABLETEXT"/>
              <w:framePr w:hSpace="0" w:wrap="auto" w:vAnchor="margin" w:yAlign="inline"/>
              <w:ind w:left="639"/>
              <w:suppressOverlap w:val="0"/>
            </w:pPr>
            <w:r w:rsidRPr="0054775B">
              <w:rPr>
                <w:b/>
                <w:bCs/>
              </w:rPr>
              <w:t>Assessed with:</w:t>
            </w:r>
            <w:r w:rsidRPr="0054775B">
              <w:t xml:space="preserve"> CDRS, CDRS-R, CDI</w:t>
            </w:r>
          </w:p>
          <w:p w14:paraId="3A7B89CD" w14:textId="51D1712D" w:rsidR="00116E6D" w:rsidRPr="0054775B" w:rsidRDefault="00116E6D" w:rsidP="00116E6D">
            <w:pPr>
              <w:pStyle w:val="2024TABLETEXT"/>
              <w:framePr w:hSpace="0" w:wrap="auto" w:vAnchor="margin" w:yAlign="inline"/>
              <w:ind w:left="639"/>
              <w:suppressOverlap w:val="0"/>
              <w:rPr>
                <w:b/>
                <w:bCs/>
              </w:rPr>
            </w:pPr>
            <w:r w:rsidRPr="0054775B">
              <w:rPr>
                <w:b/>
                <w:bCs/>
                <w:color w:val="000000" w:themeColor="text1"/>
              </w:rPr>
              <w:t xml:space="preserve">Follow up: </w:t>
            </w:r>
            <w:r w:rsidRPr="0054775B">
              <w:rPr>
                <w:color w:val="000000" w:themeColor="text1"/>
              </w:rPr>
              <w:t>10-</w:t>
            </w:r>
            <w:r w:rsidRPr="0054775B">
              <w:t>16 weeks</w:t>
            </w:r>
          </w:p>
        </w:tc>
        <w:tc>
          <w:tcPr>
            <w:tcW w:w="432" w:type="pct"/>
            <w:tcBorders>
              <w:top w:val="single" w:sz="6" w:space="0" w:color="000000"/>
              <w:left w:val="nil"/>
              <w:bottom w:val="single" w:sz="6" w:space="0" w:color="000000"/>
              <w:right w:val="nil"/>
            </w:tcBorders>
            <w:vAlign w:val="center"/>
          </w:tcPr>
          <w:p w14:paraId="30625F41" w14:textId="6AEFBE5C" w:rsidR="00116E6D" w:rsidRPr="0054775B" w:rsidRDefault="00116E6D" w:rsidP="00116E6D">
            <w:pPr>
              <w:pStyle w:val="2024TABLETEXT"/>
              <w:framePr w:hSpace="0" w:wrap="auto" w:vAnchor="margin" w:yAlign="inline"/>
              <w:suppressOverlap w:val="0"/>
            </w:pPr>
            <w:r w:rsidRPr="0054775B">
              <w:t>Zhang 2019</w:t>
            </w:r>
          </w:p>
        </w:tc>
        <w:tc>
          <w:tcPr>
            <w:tcW w:w="432" w:type="pct"/>
            <w:tcBorders>
              <w:top w:val="single" w:sz="6" w:space="0" w:color="000000"/>
              <w:left w:val="nil"/>
              <w:bottom w:val="single" w:sz="6" w:space="0" w:color="000000"/>
              <w:right w:val="nil"/>
            </w:tcBorders>
            <w:vAlign w:val="center"/>
          </w:tcPr>
          <w:p w14:paraId="48ED1C07" w14:textId="0A66C8A9" w:rsidR="00116E6D" w:rsidRPr="0054775B" w:rsidRDefault="00116E6D" w:rsidP="00116E6D">
            <w:pPr>
              <w:pStyle w:val="2024TABLETEXT"/>
              <w:framePr w:hSpace="0" w:wrap="auto" w:vAnchor="margin" w:yAlign="inline"/>
              <w:suppressOverlap w:val="0"/>
            </w:pPr>
            <w:r w:rsidRPr="0054775B">
              <w:t>-</w:t>
            </w:r>
          </w:p>
        </w:tc>
        <w:tc>
          <w:tcPr>
            <w:tcW w:w="433" w:type="pct"/>
            <w:tcBorders>
              <w:top w:val="single" w:sz="6" w:space="0" w:color="000000"/>
              <w:left w:val="nil"/>
              <w:bottom w:val="single" w:sz="6" w:space="0" w:color="000000"/>
              <w:right w:val="nil"/>
            </w:tcBorders>
            <w:vAlign w:val="center"/>
          </w:tcPr>
          <w:p w14:paraId="4B590319" w14:textId="242CAAD3" w:rsidR="00116E6D" w:rsidRPr="0054775B" w:rsidRDefault="00116E6D" w:rsidP="00116E6D">
            <w:pPr>
              <w:pStyle w:val="2024TABLETEXT"/>
              <w:framePr w:hSpace="0" w:wrap="auto" w:vAnchor="margin" w:yAlign="inline"/>
              <w:suppressOverlap w:val="0"/>
            </w:pPr>
            <w:r w:rsidRPr="0054775B">
              <w:t>-</w:t>
            </w:r>
          </w:p>
        </w:tc>
        <w:tc>
          <w:tcPr>
            <w:tcW w:w="481" w:type="pct"/>
            <w:tcBorders>
              <w:top w:val="single" w:sz="6" w:space="0" w:color="000000"/>
              <w:left w:val="nil"/>
              <w:bottom w:val="single" w:sz="6" w:space="0" w:color="000000"/>
              <w:right w:val="nil"/>
            </w:tcBorders>
            <w:shd w:val="clear" w:color="auto" w:fill="auto"/>
            <w:vAlign w:val="center"/>
          </w:tcPr>
          <w:p w14:paraId="30D8A5A8" w14:textId="00BDB19E" w:rsidR="00116E6D" w:rsidRPr="0054775B" w:rsidRDefault="00116E6D" w:rsidP="00116E6D">
            <w:pPr>
              <w:pStyle w:val="2024TABLETEXT"/>
              <w:framePr w:hSpace="0" w:wrap="auto" w:vAnchor="margin" w:yAlign="inline"/>
              <w:suppressOverlap w:val="0"/>
            </w:pPr>
            <w:r w:rsidRPr="0054775B">
              <w:t>OR = 1.57 (0.26, 9.39)</w:t>
            </w:r>
            <w:r>
              <w:t>#</w:t>
            </w:r>
          </w:p>
        </w:tc>
        <w:tc>
          <w:tcPr>
            <w:tcW w:w="481" w:type="pct"/>
            <w:tcBorders>
              <w:top w:val="single" w:sz="6" w:space="0" w:color="000000"/>
              <w:left w:val="nil"/>
              <w:bottom w:val="single" w:sz="6" w:space="0" w:color="000000"/>
              <w:right w:val="nil"/>
            </w:tcBorders>
            <w:vAlign w:val="center"/>
          </w:tcPr>
          <w:p w14:paraId="0257F421" w14:textId="4A8B26DE" w:rsidR="00116E6D" w:rsidRPr="0054775B" w:rsidRDefault="00116E6D" w:rsidP="00116E6D">
            <w:pPr>
              <w:pStyle w:val="2024TABLETEXT"/>
              <w:framePr w:hSpace="0" w:wrap="auto" w:vAnchor="margin" w:yAlign="inline"/>
              <w:suppressOverlap w:val="0"/>
            </w:pPr>
            <w:r w:rsidRPr="0054775B">
              <w:t>153 (4)</w:t>
            </w:r>
          </w:p>
        </w:tc>
        <w:tc>
          <w:tcPr>
            <w:tcW w:w="625" w:type="pct"/>
            <w:tcBorders>
              <w:top w:val="single" w:sz="6" w:space="0" w:color="000000"/>
              <w:left w:val="nil"/>
              <w:bottom w:val="single" w:sz="6" w:space="0" w:color="000000"/>
              <w:right w:val="nil"/>
            </w:tcBorders>
            <w:vAlign w:val="center"/>
          </w:tcPr>
          <w:p w14:paraId="033D3E27" w14:textId="5C60F6F1" w:rsidR="00116E6D" w:rsidRPr="0054775B" w:rsidRDefault="00116E6D" w:rsidP="00116E6D">
            <w:pPr>
              <w:pStyle w:val="2024TABLETEXT"/>
              <w:framePr w:hSpace="0" w:wrap="auto" w:vAnchor="margin" w:yAlign="inline"/>
              <w:suppressOverlap w:val="0"/>
              <w:rPr>
                <w:rFonts w:cs="Cambria Math"/>
                <w:sz w:val="22"/>
                <w:szCs w:val="22"/>
              </w:rPr>
            </w:pPr>
            <w:r w:rsidRPr="0054775B">
              <w:rPr>
                <w:rFonts w:ascii="Cambria Math" w:hAnsi="Cambria Math" w:cs="Cambria Math"/>
                <w:sz w:val="22"/>
                <w:szCs w:val="22"/>
              </w:rPr>
              <w:t>⨁</w:t>
            </w:r>
            <w:r w:rsidRPr="0054775B">
              <w:rPr>
                <w:rFonts w:ascii="Segoe UI Symbol" w:hAnsi="Segoe UI Symbol" w:cs="Segoe UI Symbol"/>
              </w:rPr>
              <w:t>◯◯◯</w:t>
            </w:r>
            <w:r w:rsidRPr="0054775B">
              <w:br/>
            </w:r>
            <w:r>
              <w:t xml:space="preserve">VERY </w:t>
            </w:r>
            <w:r w:rsidRPr="0054775B">
              <w:t>LOW</w:t>
            </w:r>
            <w:r w:rsidRPr="0054775B">
              <w:rPr>
                <w:rStyle w:val="FootnoteReference"/>
              </w:rPr>
              <w:t xml:space="preserve"> </w:t>
            </w:r>
            <w:r w:rsidRPr="00937536">
              <w:rPr>
                <w:vertAlign w:val="superscript"/>
              </w:rPr>
              <w:t>b</w:t>
            </w:r>
          </w:p>
        </w:tc>
        <w:tc>
          <w:tcPr>
            <w:tcW w:w="719" w:type="pct"/>
            <w:tcBorders>
              <w:top w:val="single" w:sz="6" w:space="0" w:color="000000"/>
              <w:left w:val="nil"/>
              <w:bottom w:val="single" w:sz="6" w:space="0" w:color="000000"/>
              <w:right w:val="nil"/>
            </w:tcBorders>
            <w:vAlign w:val="center"/>
          </w:tcPr>
          <w:p w14:paraId="5F861F6E" w14:textId="08A3C828" w:rsidR="00116E6D" w:rsidRPr="0054775B" w:rsidRDefault="00471A63" w:rsidP="00116E6D">
            <w:pPr>
              <w:pStyle w:val="2024TABLETEXT"/>
              <w:framePr w:hSpace="0" w:wrap="auto" w:vAnchor="margin" w:yAlign="inline"/>
              <w:suppressOverlap w:val="0"/>
            </w:pPr>
            <w:r w:rsidRPr="0054775B">
              <w:t xml:space="preserve">The evidence is very uncertain about the effect of omega-3 </w:t>
            </w:r>
            <w:r w:rsidR="00AE3138">
              <w:t xml:space="preserve">fatty acids </w:t>
            </w:r>
            <w:r w:rsidRPr="0054775B">
              <w:t xml:space="preserve">on </w:t>
            </w:r>
            <w:r>
              <w:t>response (as a dichotomous outcome)</w:t>
            </w:r>
            <w:r w:rsidRPr="0054775B">
              <w:t xml:space="preserve"> for </w:t>
            </w:r>
            <w:r>
              <w:t>children with depression.</w:t>
            </w:r>
          </w:p>
        </w:tc>
      </w:tr>
      <w:tr w:rsidR="0026711C" w:rsidRPr="0054775B" w14:paraId="75163D2D" w14:textId="77777777" w:rsidTr="00A90830">
        <w:trPr>
          <w:cantSplit/>
        </w:trPr>
        <w:tc>
          <w:tcPr>
            <w:tcW w:w="295" w:type="pct"/>
            <w:tcBorders>
              <w:top w:val="single" w:sz="6" w:space="0" w:color="000000"/>
              <w:left w:val="nil"/>
              <w:bottom w:val="single" w:sz="6" w:space="0" w:color="000000"/>
              <w:right w:val="nil"/>
            </w:tcBorders>
            <w:vAlign w:val="center"/>
          </w:tcPr>
          <w:p w14:paraId="08800D6C" w14:textId="79C120A4" w:rsidR="00116E6D" w:rsidRPr="0054775B" w:rsidRDefault="00116E6D" w:rsidP="00116E6D">
            <w:pPr>
              <w:pStyle w:val="2024TABLETEXT"/>
              <w:framePr w:hSpace="0" w:wrap="auto" w:vAnchor="margin" w:yAlign="inline"/>
              <w:suppressOverlap w:val="0"/>
              <w:jc w:val="center"/>
            </w:pPr>
            <w:r w:rsidRPr="0054775B">
              <w:t>8</w:t>
            </w:r>
          </w:p>
        </w:tc>
        <w:tc>
          <w:tcPr>
            <w:tcW w:w="1102" w:type="pct"/>
            <w:tcBorders>
              <w:top w:val="single" w:sz="6" w:space="0" w:color="000000"/>
              <w:left w:val="nil"/>
              <w:bottom w:val="single" w:sz="6" w:space="0" w:color="000000"/>
              <w:right w:val="nil"/>
            </w:tcBorders>
            <w:vAlign w:val="center"/>
          </w:tcPr>
          <w:p w14:paraId="338F96FE" w14:textId="335C0ED7" w:rsidR="00116E6D" w:rsidRPr="0054775B" w:rsidRDefault="00116E6D" w:rsidP="00116E6D">
            <w:pPr>
              <w:pStyle w:val="2024TABLETEXT"/>
              <w:framePr w:hSpace="0" w:wrap="auto" w:vAnchor="margin" w:yAlign="inline"/>
              <w:suppressOverlap w:val="0"/>
              <w:rPr>
                <w:b/>
              </w:rPr>
            </w:pPr>
            <w:r w:rsidRPr="0054775B">
              <w:rPr>
                <w:b/>
                <w:bCs/>
              </w:rPr>
              <w:t>Specific depression dimensions</w:t>
            </w:r>
          </w:p>
        </w:tc>
        <w:tc>
          <w:tcPr>
            <w:tcW w:w="432" w:type="pct"/>
            <w:tcBorders>
              <w:top w:val="single" w:sz="6" w:space="0" w:color="000000"/>
              <w:left w:val="nil"/>
              <w:bottom w:val="single" w:sz="6" w:space="0" w:color="000000"/>
              <w:right w:val="nil"/>
            </w:tcBorders>
            <w:vAlign w:val="center"/>
          </w:tcPr>
          <w:p w14:paraId="26A04EF0" w14:textId="124CA605" w:rsidR="00116E6D" w:rsidRPr="0054775B" w:rsidRDefault="00116E6D" w:rsidP="00116E6D">
            <w:pPr>
              <w:pStyle w:val="2024TABLETEXT"/>
              <w:framePr w:hSpace="0" w:wrap="auto" w:vAnchor="margin" w:yAlign="inline"/>
              <w:suppressOverlap w:val="0"/>
            </w:pPr>
            <w:r w:rsidRPr="0054775B">
              <w:t>-</w:t>
            </w:r>
          </w:p>
        </w:tc>
        <w:tc>
          <w:tcPr>
            <w:tcW w:w="432" w:type="pct"/>
            <w:tcBorders>
              <w:top w:val="single" w:sz="6" w:space="0" w:color="000000"/>
              <w:left w:val="nil"/>
              <w:bottom w:val="single" w:sz="6" w:space="0" w:color="000000"/>
              <w:right w:val="nil"/>
            </w:tcBorders>
            <w:vAlign w:val="center"/>
          </w:tcPr>
          <w:p w14:paraId="2F76AC3F" w14:textId="2189CFAE" w:rsidR="00116E6D" w:rsidRPr="0054775B" w:rsidRDefault="00116E6D" w:rsidP="00116E6D">
            <w:pPr>
              <w:pStyle w:val="2024TABLETEXT"/>
              <w:framePr w:hSpace="0" w:wrap="auto" w:vAnchor="margin" w:yAlign="inline"/>
              <w:suppressOverlap w:val="0"/>
            </w:pPr>
            <w:r w:rsidRPr="0054775B">
              <w:t>-</w:t>
            </w:r>
          </w:p>
        </w:tc>
        <w:tc>
          <w:tcPr>
            <w:tcW w:w="433" w:type="pct"/>
            <w:tcBorders>
              <w:top w:val="single" w:sz="6" w:space="0" w:color="000000"/>
              <w:left w:val="nil"/>
              <w:bottom w:val="single" w:sz="6" w:space="0" w:color="000000"/>
              <w:right w:val="nil"/>
            </w:tcBorders>
            <w:vAlign w:val="center"/>
          </w:tcPr>
          <w:p w14:paraId="10F19D5F" w14:textId="4C83298D" w:rsidR="00116E6D" w:rsidRPr="0054775B" w:rsidRDefault="00116E6D" w:rsidP="00116E6D">
            <w:pPr>
              <w:pStyle w:val="2024TABLETEXT"/>
              <w:framePr w:hSpace="0" w:wrap="auto" w:vAnchor="margin" w:yAlign="inline"/>
              <w:suppressOverlap w:val="0"/>
            </w:pPr>
            <w:r w:rsidRPr="0054775B">
              <w:t>-</w:t>
            </w:r>
          </w:p>
        </w:tc>
        <w:tc>
          <w:tcPr>
            <w:tcW w:w="481" w:type="pct"/>
            <w:tcBorders>
              <w:top w:val="single" w:sz="6" w:space="0" w:color="000000"/>
              <w:left w:val="nil"/>
              <w:bottom w:val="single" w:sz="6" w:space="0" w:color="000000"/>
              <w:right w:val="nil"/>
            </w:tcBorders>
            <w:shd w:val="clear" w:color="auto" w:fill="auto"/>
            <w:vAlign w:val="center"/>
          </w:tcPr>
          <w:p w14:paraId="6F011DA8" w14:textId="5EDDD618" w:rsidR="00116E6D" w:rsidRPr="0054775B" w:rsidRDefault="00116E6D" w:rsidP="00116E6D">
            <w:pPr>
              <w:pStyle w:val="2024TABLETEXT"/>
              <w:framePr w:hSpace="0" w:wrap="auto" w:vAnchor="margin" w:yAlign="inline"/>
              <w:suppressOverlap w:val="0"/>
            </w:pPr>
            <w:r w:rsidRPr="0054775B">
              <w:t>-</w:t>
            </w:r>
          </w:p>
        </w:tc>
        <w:tc>
          <w:tcPr>
            <w:tcW w:w="481" w:type="pct"/>
            <w:tcBorders>
              <w:top w:val="single" w:sz="6" w:space="0" w:color="000000"/>
              <w:left w:val="nil"/>
              <w:bottom w:val="single" w:sz="6" w:space="0" w:color="000000"/>
              <w:right w:val="nil"/>
            </w:tcBorders>
            <w:vAlign w:val="center"/>
          </w:tcPr>
          <w:p w14:paraId="18DBB962" w14:textId="5F0F6142" w:rsidR="00116E6D" w:rsidRPr="0054775B" w:rsidRDefault="00116E6D" w:rsidP="00116E6D">
            <w:pPr>
              <w:pStyle w:val="2024TABLETEXT"/>
              <w:framePr w:hSpace="0" w:wrap="auto" w:vAnchor="margin" w:yAlign="inline"/>
              <w:suppressOverlap w:val="0"/>
            </w:pPr>
            <w:r w:rsidRPr="0054775B">
              <w:t>-</w:t>
            </w:r>
          </w:p>
        </w:tc>
        <w:tc>
          <w:tcPr>
            <w:tcW w:w="625" w:type="pct"/>
            <w:tcBorders>
              <w:top w:val="single" w:sz="6" w:space="0" w:color="000000"/>
              <w:left w:val="nil"/>
              <w:bottom w:val="single" w:sz="6" w:space="0" w:color="000000"/>
              <w:right w:val="nil"/>
            </w:tcBorders>
            <w:vAlign w:val="center"/>
          </w:tcPr>
          <w:p w14:paraId="4063A81D" w14:textId="6C131556" w:rsidR="00116E6D" w:rsidRPr="0054775B" w:rsidRDefault="00116E6D" w:rsidP="00116E6D">
            <w:pPr>
              <w:pStyle w:val="2024TABLETEXT"/>
              <w:framePr w:hSpace="0" w:wrap="auto" w:vAnchor="margin" w:yAlign="inline"/>
              <w:suppressOverlap w:val="0"/>
            </w:pPr>
            <w:r w:rsidRPr="0054775B">
              <w:t>-</w:t>
            </w:r>
          </w:p>
        </w:tc>
        <w:tc>
          <w:tcPr>
            <w:tcW w:w="719" w:type="pct"/>
            <w:tcBorders>
              <w:top w:val="single" w:sz="6" w:space="0" w:color="000000"/>
              <w:left w:val="nil"/>
              <w:bottom w:val="single" w:sz="6" w:space="0" w:color="000000"/>
              <w:right w:val="nil"/>
            </w:tcBorders>
            <w:vAlign w:val="center"/>
          </w:tcPr>
          <w:p w14:paraId="4A352D43" w14:textId="41C41734" w:rsidR="00116E6D" w:rsidRPr="0054775B" w:rsidRDefault="00116E6D" w:rsidP="00116E6D">
            <w:pPr>
              <w:pStyle w:val="2024TABLETEXT"/>
              <w:framePr w:hSpace="0" w:wrap="auto" w:vAnchor="margin" w:yAlign="inline"/>
              <w:suppressOverlap w:val="0"/>
            </w:pPr>
            <w:r w:rsidRPr="0054775B">
              <w:t xml:space="preserve">No </w:t>
            </w:r>
            <w:r>
              <w:t>reviews</w:t>
            </w:r>
            <w:r w:rsidRPr="0054775B">
              <w:t xml:space="preserve"> found. The effect of omega-3 </w:t>
            </w:r>
            <w:r w:rsidR="00AE3138">
              <w:t xml:space="preserve">fatty acids </w:t>
            </w:r>
            <w:r w:rsidRPr="0054775B">
              <w:t>on specific depression dimensions in depression</w:t>
            </w:r>
            <w:r w:rsidRPr="0054775B">
              <w:rPr>
                <w:b/>
                <w:bCs/>
              </w:rPr>
              <w:t xml:space="preserve"> </w:t>
            </w:r>
            <w:r w:rsidRPr="0054775B">
              <w:t>is unknown.</w:t>
            </w:r>
          </w:p>
        </w:tc>
      </w:tr>
      <w:tr w:rsidR="0026711C" w:rsidRPr="0054775B" w14:paraId="24C4FAAB" w14:textId="77777777" w:rsidTr="00A90830">
        <w:trPr>
          <w:cantSplit/>
        </w:trPr>
        <w:tc>
          <w:tcPr>
            <w:tcW w:w="295" w:type="pct"/>
            <w:tcBorders>
              <w:top w:val="single" w:sz="6" w:space="0" w:color="000000"/>
              <w:left w:val="nil"/>
              <w:bottom w:val="single" w:sz="6" w:space="0" w:color="000000"/>
              <w:right w:val="nil"/>
            </w:tcBorders>
            <w:vAlign w:val="center"/>
          </w:tcPr>
          <w:p w14:paraId="7135DF61" w14:textId="573B536B" w:rsidR="00116E6D" w:rsidRPr="0054775B" w:rsidRDefault="00116E6D" w:rsidP="00116E6D">
            <w:pPr>
              <w:pStyle w:val="2024TABLETEXT"/>
              <w:framePr w:hSpace="0" w:wrap="auto" w:vAnchor="margin" w:yAlign="inline"/>
              <w:suppressOverlap w:val="0"/>
              <w:jc w:val="center"/>
            </w:pPr>
            <w:r w:rsidRPr="0054775B">
              <w:t>8</w:t>
            </w:r>
          </w:p>
        </w:tc>
        <w:tc>
          <w:tcPr>
            <w:tcW w:w="1102" w:type="pct"/>
            <w:tcBorders>
              <w:top w:val="single" w:sz="6" w:space="0" w:color="000000"/>
              <w:left w:val="nil"/>
              <w:bottom w:val="single" w:sz="6" w:space="0" w:color="000000"/>
              <w:right w:val="nil"/>
            </w:tcBorders>
            <w:vAlign w:val="center"/>
          </w:tcPr>
          <w:p w14:paraId="496ACA7B" w14:textId="61D3FAB9" w:rsidR="00116E6D" w:rsidRPr="0054775B" w:rsidRDefault="00116E6D" w:rsidP="00116E6D">
            <w:pPr>
              <w:pStyle w:val="2024TABLETEXT"/>
              <w:framePr w:hSpace="0" w:wrap="auto" w:vAnchor="margin" w:yAlign="inline"/>
              <w:suppressOverlap w:val="0"/>
              <w:rPr>
                <w:b/>
              </w:rPr>
            </w:pPr>
            <w:r w:rsidRPr="0054775B">
              <w:rPr>
                <w:b/>
                <w:bCs/>
              </w:rPr>
              <w:t>Physiological symptoms of depression</w:t>
            </w:r>
          </w:p>
        </w:tc>
        <w:tc>
          <w:tcPr>
            <w:tcW w:w="432" w:type="pct"/>
            <w:tcBorders>
              <w:top w:val="single" w:sz="6" w:space="0" w:color="000000"/>
              <w:left w:val="nil"/>
              <w:bottom w:val="single" w:sz="6" w:space="0" w:color="000000"/>
              <w:right w:val="nil"/>
            </w:tcBorders>
            <w:vAlign w:val="center"/>
          </w:tcPr>
          <w:p w14:paraId="20E6B1F1" w14:textId="3EF11316" w:rsidR="00116E6D" w:rsidRPr="0054775B" w:rsidRDefault="00116E6D" w:rsidP="00116E6D">
            <w:pPr>
              <w:pStyle w:val="2024TABLETEXT"/>
              <w:framePr w:hSpace="0" w:wrap="auto" w:vAnchor="margin" w:yAlign="inline"/>
              <w:suppressOverlap w:val="0"/>
            </w:pPr>
            <w:r w:rsidRPr="0054775B">
              <w:t>-</w:t>
            </w:r>
          </w:p>
        </w:tc>
        <w:tc>
          <w:tcPr>
            <w:tcW w:w="432" w:type="pct"/>
            <w:tcBorders>
              <w:top w:val="single" w:sz="6" w:space="0" w:color="000000"/>
              <w:left w:val="nil"/>
              <w:bottom w:val="single" w:sz="6" w:space="0" w:color="000000"/>
              <w:right w:val="nil"/>
            </w:tcBorders>
            <w:vAlign w:val="center"/>
          </w:tcPr>
          <w:p w14:paraId="0BFFAC91" w14:textId="41761AC5" w:rsidR="00116E6D" w:rsidRPr="0054775B" w:rsidRDefault="00116E6D" w:rsidP="00116E6D">
            <w:pPr>
              <w:pStyle w:val="2024TABLETEXT"/>
              <w:framePr w:hSpace="0" w:wrap="auto" w:vAnchor="margin" w:yAlign="inline"/>
              <w:suppressOverlap w:val="0"/>
            </w:pPr>
            <w:r w:rsidRPr="0054775B">
              <w:t>-</w:t>
            </w:r>
          </w:p>
        </w:tc>
        <w:tc>
          <w:tcPr>
            <w:tcW w:w="433" w:type="pct"/>
            <w:tcBorders>
              <w:top w:val="single" w:sz="6" w:space="0" w:color="000000"/>
              <w:left w:val="nil"/>
              <w:bottom w:val="single" w:sz="6" w:space="0" w:color="000000"/>
              <w:right w:val="nil"/>
            </w:tcBorders>
            <w:vAlign w:val="center"/>
          </w:tcPr>
          <w:p w14:paraId="5650291D" w14:textId="7F6B48AE" w:rsidR="00116E6D" w:rsidRPr="0054775B" w:rsidRDefault="00116E6D" w:rsidP="00116E6D">
            <w:pPr>
              <w:pStyle w:val="2024TABLETEXT"/>
              <w:framePr w:hSpace="0" w:wrap="auto" w:vAnchor="margin" w:yAlign="inline"/>
              <w:suppressOverlap w:val="0"/>
            </w:pPr>
            <w:r w:rsidRPr="0054775B">
              <w:t>-</w:t>
            </w:r>
          </w:p>
        </w:tc>
        <w:tc>
          <w:tcPr>
            <w:tcW w:w="481" w:type="pct"/>
            <w:tcBorders>
              <w:top w:val="single" w:sz="6" w:space="0" w:color="000000"/>
              <w:left w:val="nil"/>
              <w:bottom w:val="single" w:sz="6" w:space="0" w:color="000000"/>
              <w:right w:val="nil"/>
            </w:tcBorders>
            <w:shd w:val="clear" w:color="auto" w:fill="auto"/>
            <w:vAlign w:val="center"/>
          </w:tcPr>
          <w:p w14:paraId="4D453B8C" w14:textId="51D045FA" w:rsidR="00116E6D" w:rsidRPr="0054775B" w:rsidRDefault="00116E6D" w:rsidP="00116E6D">
            <w:pPr>
              <w:pStyle w:val="2024TABLETEXT"/>
              <w:framePr w:hSpace="0" w:wrap="auto" w:vAnchor="margin" w:yAlign="inline"/>
              <w:suppressOverlap w:val="0"/>
            </w:pPr>
            <w:r w:rsidRPr="0054775B">
              <w:t>-</w:t>
            </w:r>
          </w:p>
        </w:tc>
        <w:tc>
          <w:tcPr>
            <w:tcW w:w="481" w:type="pct"/>
            <w:tcBorders>
              <w:top w:val="single" w:sz="6" w:space="0" w:color="000000"/>
              <w:left w:val="nil"/>
              <w:bottom w:val="single" w:sz="6" w:space="0" w:color="000000"/>
              <w:right w:val="nil"/>
            </w:tcBorders>
            <w:vAlign w:val="center"/>
          </w:tcPr>
          <w:p w14:paraId="740A5142" w14:textId="332687D1" w:rsidR="00116E6D" w:rsidRPr="0054775B" w:rsidRDefault="00116E6D" w:rsidP="00116E6D">
            <w:pPr>
              <w:pStyle w:val="2024TABLETEXT"/>
              <w:framePr w:hSpace="0" w:wrap="auto" w:vAnchor="margin" w:yAlign="inline"/>
              <w:suppressOverlap w:val="0"/>
            </w:pPr>
            <w:r w:rsidRPr="0054775B">
              <w:t>-</w:t>
            </w:r>
          </w:p>
        </w:tc>
        <w:tc>
          <w:tcPr>
            <w:tcW w:w="625" w:type="pct"/>
            <w:tcBorders>
              <w:top w:val="single" w:sz="6" w:space="0" w:color="000000"/>
              <w:left w:val="nil"/>
              <w:bottom w:val="single" w:sz="6" w:space="0" w:color="000000"/>
              <w:right w:val="nil"/>
            </w:tcBorders>
            <w:vAlign w:val="center"/>
          </w:tcPr>
          <w:p w14:paraId="4ADC444A" w14:textId="68353544" w:rsidR="00116E6D" w:rsidRPr="0054775B" w:rsidRDefault="00116E6D" w:rsidP="00116E6D">
            <w:pPr>
              <w:pStyle w:val="2024TABLETEXT"/>
              <w:framePr w:hSpace="0" w:wrap="auto" w:vAnchor="margin" w:yAlign="inline"/>
              <w:suppressOverlap w:val="0"/>
            </w:pPr>
            <w:r w:rsidRPr="0054775B">
              <w:t>-</w:t>
            </w:r>
          </w:p>
        </w:tc>
        <w:tc>
          <w:tcPr>
            <w:tcW w:w="719" w:type="pct"/>
            <w:tcBorders>
              <w:top w:val="single" w:sz="6" w:space="0" w:color="000000"/>
              <w:left w:val="nil"/>
              <w:bottom w:val="single" w:sz="6" w:space="0" w:color="000000"/>
              <w:right w:val="nil"/>
            </w:tcBorders>
            <w:vAlign w:val="center"/>
          </w:tcPr>
          <w:p w14:paraId="7F34B9B3" w14:textId="4D602AB3" w:rsidR="00116E6D" w:rsidRPr="0054775B" w:rsidRDefault="00116E6D" w:rsidP="00116E6D">
            <w:pPr>
              <w:pStyle w:val="2024TABLETEXT"/>
              <w:framePr w:hSpace="0" w:wrap="auto" w:vAnchor="margin" w:yAlign="inline"/>
              <w:suppressOverlap w:val="0"/>
            </w:pPr>
            <w:r w:rsidRPr="0054775B">
              <w:t xml:space="preserve">No </w:t>
            </w:r>
            <w:r>
              <w:t>reviews</w:t>
            </w:r>
            <w:r w:rsidRPr="0054775B">
              <w:t xml:space="preserve"> found. The effect of omega-3 </w:t>
            </w:r>
            <w:r w:rsidR="00AE3138">
              <w:t xml:space="preserve">fatty acids </w:t>
            </w:r>
            <w:r w:rsidRPr="0054775B">
              <w:t xml:space="preserve">on physiological symptoms of </w:t>
            </w:r>
            <w:r w:rsidRPr="0054775B">
              <w:lastRenderedPageBreak/>
              <w:t>depression in depression</w:t>
            </w:r>
            <w:r w:rsidRPr="0054775B">
              <w:rPr>
                <w:b/>
                <w:bCs/>
              </w:rPr>
              <w:t xml:space="preserve"> </w:t>
            </w:r>
            <w:r w:rsidRPr="0054775B">
              <w:t>is unknown.</w:t>
            </w:r>
          </w:p>
        </w:tc>
      </w:tr>
      <w:tr w:rsidR="0026711C" w:rsidRPr="0054775B" w14:paraId="031C7AC0" w14:textId="77777777" w:rsidTr="00A90830">
        <w:trPr>
          <w:cantSplit/>
        </w:trPr>
        <w:tc>
          <w:tcPr>
            <w:tcW w:w="295" w:type="pct"/>
            <w:tcBorders>
              <w:top w:val="single" w:sz="6" w:space="0" w:color="000000"/>
              <w:left w:val="nil"/>
              <w:bottom w:val="single" w:sz="6" w:space="0" w:color="000000"/>
              <w:right w:val="nil"/>
            </w:tcBorders>
            <w:vAlign w:val="center"/>
          </w:tcPr>
          <w:p w14:paraId="33D14884" w14:textId="2C456F82" w:rsidR="00116E6D" w:rsidRPr="0054775B" w:rsidRDefault="00116E6D" w:rsidP="00116E6D">
            <w:pPr>
              <w:pStyle w:val="2024TABLETEXT"/>
              <w:framePr w:hSpace="0" w:wrap="auto" w:vAnchor="margin" w:yAlign="inline"/>
              <w:suppressOverlap w:val="0"/>
              <w:jc w:val="center"/>
            </w:pPr>
            <w:r w:rsidRPr="0054775B">
              <w:lastRenderedPageBreak/>
              <w:t>8</w:t>
            </w:r>
          </w:p>
        </w:tc>
        <w:tc>
          <w:tcPr>
            <w:tcW w:w="1102" w:type="pct"/>
            <w:tcBorders>
              <w:top w:val="single" w:sz="6" w:space="0" w:color="000000"/>
              <w:left w:val="nil"/>
              <w:bottom w:val="single" w:sz="6" w:space="0" w:color="000000"/>
              <w:right w:val="nil"/>
            </w:tcBorders>
            <w:vAlign w:val="center"/>
          </w:tcPr>
          <w:p w14:paraId="7C9F796D" w14:textId="15FAE759" w:rsidR="00116E6D" w:rsidRPr="0054775B" w:rsidRDefault="00116E6D" w:rsidP="00116E6D">
            <w:pPr>
              <w:pStyle w:val="2024TABLETEXT"/>
              <w:framePr w:hSpace="0" w:wrap="auto" w:vAnchor="margin" w:yAlign="inline"/>
              <w:suppressOverlap w:val="0"/>
              <w:rPr>
                <w:b/>
              </w:rPr>
            </w:pPr>
            <w:r w:rsidRPr="0054775B">
              <w:rPr>
                <w:b/>
              </w:rPr>
              <w:t>Parent to infant bonding</w:t>
            </w:r>
          </w:p>
        </w:tc>
        <w:tc>
          <w:tcPr>
            <w:tcW w:w="432" w:type="pct"/>
            <w:tcBorders>
              <w:top w:val="single" w:sz="6" w:space="0" w:color="000000"/>
              <w:left w:val="nil"/>
              <w:bottom w:val="single" w:sz="6" w:space="0" w:color="000000"/>
              <w:right w:val="nil"/>
            </w:tcBorders>
            <w:vAlign w:val="center"/>
          </w:tcPr>
          <w:p w14:paraId="0D0253F2" w14:textId="6AEDC0FE" w:rsidR="00116E6D" w:rsidRPr="0054775B" w:rsidRDefault="00116E6D" w:rsidP="00116E6D">
            <w:pPr>
              <w:pStyle w:val="2024TABLETEXT"/>
              <w:framePr w:hSpace="0" w:wrap="auto" w:vAnchor="margin" w:yAlign="inline"/>
              <w:suppressOverlap w:val="0"/>
            </w:pPr>
            <w:r w:rsidRPr="0054775B">
              <w:t>-</w:t>
            </w:r>
          </w:p>
        </w:tc>
        <w:tc>
          <w:tcPr>
            <w:tcW w:w="432" w:type="pct"/>
            <w:tcBorders>
              <w:top w:val="single" w:sz="6" w:space="0" w:color="000000"/>
              <w:left w:val="nil"/>
              <w:bottom w:val="single" w:sz="6" w:space="0" w:color="000000"/>
              <w:right w:val="nil"/>
            </w:tcBorders>
            <w:vAlign w:val="center"/>
          </w:tcPr>
          <w:p w14:paraId="7C93EC7F" w14:textId="3E11D0C7" w:rsidR="00116E6D" w:rsidRPr="0054775B" w:rsidRDefault="00116E6D" w:rsidP="00116E6D">
            <w:pPr>
              <w:pStyle w:val="2024TABLETEXT"/>
              <w:framePr w:hSpace="0" w:wrap="auto" w:vAnchor="margin" w:yAlign="inline"/>
              <w:suppressOverlap w:val="0"/>
            </w:pPr>
            <w:r w:rsidRPr="0054775B">
              <w:t>-</w:t>
            </w:r>
          </w:p>
        </w:tc>
        <w:tc>
          <w:tcPr>
            <w:tcW w:w="433" w:type="pct"/>
            <w:tcBorders>
              <w:top w:val="single" w:sz="6" w:space="0" w:color="000000"/>
              <w:left w:val="nil"/>
              <w:bottom w:val="single" w:sz="6" w:space="0" w:color="000000"/>
              <w:right w:val="nil"/>
            </w:tcBorders>
            <w:vAlign w:val="center"/>
          </w:tcPr>
          <w:p w14:paraId="4E3622B4" w14:textId="3E1970F2" w:rsidR="00116E6D" w:rsidRPr="0054775B" w:rsidRDefault="00116E6D" w:rsidP="00116E6D">
            <w:pPr>
              <w:pStyle w:val="2024TABLETEXT"/>
              <w:framePr w:hSpace="0" w:wrap="auto" w:vAnchor="margin" w:yAlign="inline"/>
              <w:suppressOverlap w:val="0"/>
            </w:pPr>
            <w:r w:rsidRPr="0054775B">
              <w:t>-</w:t>
            </w:r>
          </w:p>
        </w:tc>
        <w:tc>
          <w:tcPr>
            <w:tcW w:w="481" w:type="pct"/>
            <w:tcBorders>
              <w:top w:val="single" w:sz="6" w:space="0" w:color="000000"/>
              <w:left w:val="nil"/>
              <w:bottom w:val="single" w:sz="6" w:space="0" w:color="000000"/>
              <w:right w:val="nil"/>
            </w:tcBorders>
            <w:shd w:val="clear" w:color="auto" w:fill="auto"/>
            <w:vAlign w:val="center"/>
          </w:tcPr>
          <w:p w14:paraId="2D5B1C71" w14:textId="710EC7AE" w:rsidR="00116E6D" w:rsidRPr="0054775B" w:rsidRDefault="00116E6D" w:rsidP="00116E6D">
            <w:pPr>
              <w:pStyle w:val="2024TABLETEXT"/>
              <w:framePr w:hSpace="0" w:wrap="auto" w:vAnchor="margin" w:yAlign="inline"/>
              <w:suppressOverlap w:val="0"/>
            </w:pPr>
            <w:r w:rsidRPr="0054775B">
              <w:t>-</w:t>
            </w:r>
          </w:p>
        </w:tc>
        <w:tc>
          <w:tcPr>
            <w:tcW w:w="481" w:type="pct"/>
            <w:tcBorders>
              <w:top w:val="single" w:sz="6" w:space="0" w:color="000000"/>
              <w:left w:val="nil"/>
              <w:bottom w:val="single" w:sz="6" w:space="0" w:color="000000"/>
              <w:right w:val="nil"/>
            </w:tcBorders>
            <w:vAlign w:val="center"/>
          </w:tcPr>
          <w:p w14:paraId="1B5EF75D" w14:textId="5C495176" w:rsidR="00116E6D" w:rsidRPr="0054775B" w:rsidRDefault="00116E6D" w:rsidP="00116E6D">
            <w:pPr>
              <w:pStyle w:val="2024TABLETEXT"/>
              <w:framePr w:hSpace="0" w:wrap="auto" w:vAnchor="margin" w:yAlign="inline"/>
              <w:suppressOverlap w:val="0"/>
            </w:pPr>
            <w:r w:rsidRPr="0054775B">
              <w:t>-</w:t>
            </w:r>
          </w:p>
        </w:tc>
        <w:tc>
          <w:tcPr>
            <w:tcW w:w="625" w:type="pct"/>
            <w:tcBorders>
              <w:top w:val="single" w:sz="6" w:space="0" w:color="000000"/>
              <w:left w:val="nil"/>
              <w:bottom w:val="single" w:sz="6" w:space="0" w:color="000000"/>
              <w:right w:val="nil"/>
            </w:tcBorders>
            <w:vAlign w:val="center"/>
          </w:tcPr>
          <w:p w14:paraId="25447C3C" w14:textId="03C6FAF5" w:rsidR="00116E6D" w:rsidRPr="0054775B" w:rsidRDefault="00116E6D" w:rsidP="00116E6D">
            <w:pPr>
              <w:pStyle w:val="2024TABLETEXT"/>
              <w:framePr w:hSpace="0" w:wrap="auto" w:vAnchor="margin" w:yAlign="inline"/>
              <w:suppressOverlap w:val="0"/>
            </w:pPr>
            <w:r w:rsidRPr="0054775B">
              <w:t>-</w:t>
            </w:r>
          </w:p>
        </w:tc>
        <w:tc>
          <w:tcPr>
            <w:tcW w:w="719" w:type="pct"/>
            <w:tcBorders>
              <w:top w:val="single" w:sz="6" w:space="0" w:color="000000"/>
              <w:left w:val="nil"/>
              <w:bottom w:val="single" w:sz="6" w:space="0" w:color="000000"/>
              <w:right w:val="nil"/>
            </w:tcBorders>
            <w:vAlign w:val="center"/>
          </w:tcPr>
          <w:p w14:paraId="4F5ECE48" w14:textId="47F03406" w:rsidR="00116E6D" w:rsidRPr="0054775B" w:rsidRDefault="00116E6D" w:rsidP="00116E6D">
            <w:pPr>
              <w:pStyle w:val="2024TABLETEXT"/>
              <w:framePr w:hSpace="0" w:wrap="auto" w:vAnchor="margin" w:yAlign="inline"/>
              <w:suppressOverlap w:val="0"/>
            </w:pPr>
            <w:r w:rsidRPr="0054775B">
              <w:t xml:space="preserve">No </w:t>
            </w:r>
            <w:r>
              <w:t>reviews</w:t>
            </w:r>
            <w:r w:rsidRPr="0054775B">
              <w:t xml:space="preserve"> found. The effect of omega-3 </w:t>
            </w:r>
            <w:r w:rsidR="00AE3138">
              <w:t xml:space="preserve">fatty acids </w:t>
            </w:r>
            <w:r w:rsidRPr="0054775B">
              <w:t>on parent-to-infant bonding in depression</w:t>
            </w:r>
            <w:r w:rsidRPr="0054775B">
              <w:rPr>
                <w:b/>
                <w:bCs/>
              </w:rPr>
              <w:t xml:space="preserve"> </w:t>
            </w:r>
            <w:r w:rsidRPr="0054775B">
              <w:t>is unknown.</w:t>
            </w:r>
          </w:p>
        </w:tc>
      </w:tr>
      <w:tr w:rsidR="003C72BE" w:rsidRPr="0054775B" w14:paraId="10B00385" w14:textId="77777777" w:rsidTr="003C72BE">
        <w:trPr>
          <w:cantSplit/>
        </w:trPr>
        <w:tc>
          <w:tcPr>
            <w:tcW w:w="295" w:type="pct"/>
            <w:tcBorders>
              <w:top w:val="single" w:sz="6" w:space="0" w:color="000000"/>
              <w:left w:val="nil"/>
              <w:bottom w:val="single" w:sz="6" w:space="0" w:color="000000"/>
              <w:right w:val="nil"/>
            </w:tcBorders>
            <w:vAlign w:val="center"/>
          </w:tcPr>
          <w:p w14:paraId="769DBC03" w14:textId="276D874A" w:rsidR="003C72BE" w:rsidRPr="0054775B" w:rsidRDefault="003C72BE" w:rsidP="003C72BE">
            <w:pPr>
              <w:pStyle w:val="2024TABLETEXT"/>
              <w:framePr w:hSpace="0" w:wrap="auto" w:vAnchor="margin" w:yAlign="inline"/>
              <w:suppressOverlap w:val="0"/>
              <w:jc w:val="center"/>
            </w:pPr>
            <w:r w:rsidRPr="0054775B">
              <w:t>8</w:t>
            </w:r>
          </w:p>
        </w:tc>
        <w:tc>
          <w:tcPr>
            <w:tcW w:w="1102" w:type="pct"/>
            <w:tcBorders>
              <w:top w:val="single" w:sz="6" w:space="0" w:color="000000"/>
              <w:left w:val="nil"/>
              <w:bottom w:val="single" w:sz="6" w:space="0" w:color="000000"/>
              <w:right w:val="nil"/>
            </w:tcBorders>
            <w:vAlign w:val="center"/>
          </w:tcPr>
          <w:p w14:paraId="21311EFB" w14:textId="77777777" w:rsidR="003C72BE" w:rsidRPr="0054775B" w:rsidRDefault="003C72BE" w:rsidP="003C72BE">
            <w:pPr>
              <w:pStyle w:val="2024TABLETEXT"/>
              <w:framePr w:hSpace="0" w:wrap="auto" w:vAnchor="margin" w:yAlign="inline"/>
              <w:suppressOverlap w:val="0"/>
              <w:rPr>
                <w:b/>
              </w:rPr>
            </w:pPr>
            <w:r w:rsidRPr="0054775B">
              <w:rPr>
                <w:b/>
              </w:rPr>
              <w:t>Quality of life</w:t>
            </w:r>
          </w:p>
          <w:p w14:paraId="5F59922F" w14:textId="77777777" w:rsidR="003C72BE" w:rsidRPr="0054775B" w:rsidRDefault="003C72BE" w:rsidP="003C72BE">
            <w:pPr>
              <w:pStyle w:val="2024TABLETEXT"/>
              <w:framePr w:hSpace="0" w:wrap="auto" w:vAnchor="margin" w:yAlign="inline"/>
              <w:ind w:left="370"/>
              <w:suppressOverlap w:val="0"/>
            </w:pPr>
            <w:r w:rsidRPr="0054775B">
              <w:rPr>
                <w:b/>
                <w:bCs/>
              </w:rPr>
              <w:t>Dose:</w:t>
            </w:r>
            <w:r w:rsidRPr="0054775B">
              <w:t xml:space="preserve"> Range of EPA, DHA or EPA/DHA combination supplements </w:t>
            </w:r>
          </w:p>
          <w:p w14:paraId="2948BFF7" w14:textId="25DBB17E" w:rsidR="003C72BE" w:rsidRPr="0054775B" w:rsidRDefault="003C72BE" w:rsidP="003C72BE">
            <w:pPr>
              <w:pStyle w:val="2024TABLETEXT"/>
              <w:framePr w:hSpace="0" w:wrap="auto" w:vAnchor="margin" w:yAlign="inline"/>
              <w:ind w:left="370"/>
              <w:suppressOverlap w:val="0"/>
            </w:pPr>
            <w:r w:rsidRPr="0054775B">
              <w:rPr>
                <w:b/>
                <w:bCs/>
              </w:rPr>
              <w:t>Assessed with:</w:t>
            </w:r>
            <w:r w:rsidRPr="0054775B">
              <w:t xml:space="preserve"> CGI (7-point scale) GAF, SF-36, SF-36 (mental health summary scale), higher scores indicate poorer quality of life</w:t>
            </w:r>
          </w:p>
          <w:p w14:paraId="6511C393" w14:textId="66F929F0" w:rsidR="003C72BE" w:rsidRPr="0054775B" w:rsidRDefault="003C72BE" w:rsidP="003C72BE">
            <w:pPr>
              <w:pStyle w:val="2024TABLETEXT"/>
              <w:framePr w:hSpace="0" w:wrap="auto" w:vAnchor="margin" w:yAlign="inline"/>
              <w:ind w:left="370"/>
              <w:suppressOverlap w:val="0"/>
            </w:pPr>
            <w:r w:rsidRPr="0054775B">
              <w:rPr>
                <w:b/>
              </w:rPr>
              <w:t>Follow up:</w:t>
            </w:r>
            <w:r w:rsidRPr="0054775B">
              <w:t xml:space="preserve"> 4-16 weeks</w:t>
            </w:r>
          </w:p>
        </w:tc>
        <w:tc>
          <w:tcPr>
            <w:tcW w:w="432" w:type="pct"/>
            <w:tcBorders>
              <w:top w:val="single" w:sz="6" w:space="0" w:color="000000"/>
              <w:left w:val="nil"/>
              <w:bottom w:val="single" w:sz="6" w:space="0" w:color="000000"/>
              <w:right w:val="nil"/>
            </w:tcBorders>
            <w:vAlign w:val="center"/>
          </w:tcPr>
          <w:p w14:paraId="7588D1F0" w14:textId="7AC53A57" w:rsidR="003C72BE" w:rsidRPr="0054775B" w:rsidRDefault="003C72BE" w:rsidP="003C72BE">
            <w:pPr>
              <w:pStyle w:val="2024TABLETEXT"/>
              <w:framePr w:hSpace="0" w:wrap="auto" w:vAnchor="margin" w:yAlign="inline"/>
              <w:suppressOverlap w:val="0"/>
            </w:pPr>
            <w:r w:rsidRPr="0054775B">
              <w:t>Appleton 2021</w:t>
            </w:r>
          </w:p>
        </w:tc>
        <w:tc>
          <w:tcPr>
            <w:tcW w:w="432" w:type="pct"/>
            <w:tcBorders>
              <w:top w:val="single" w:sz="6" w:space="0" w:color="000000"/>
              <w:left w:val="nil"/>
              <w:bottom w:val="single" w:sz="6" w:space="0" w:color="000000"/>
              <w:right w:val="nil"/>
            </w:tcBorders>
            <w:vAlign w:val="center"/>
          </w:tcPr>
          <w:p w14:paraId="218915EC" w14:textId="645F95D2" w:rsidR="003C72BE" w:rsidRPr="0054775B" w:rsidDel="00FA0048" w:rsidRDefault="003C72BE" w:rsidP="003C72BE">
            <w:pPr>
              <w:pStyle w:val="2024TABLETEXT"/>
              <w:framePr w:hSpace="0" w:wrap="auto" w:vAnchor="margin" w:yAlign="inline"/>
              <w:suppressOverlap w:val="0"/>
            </w:pPr>
          </w:p>
        </w:tc>
        <w:tc>
          <w:tcPr>
            <w:tcW w:w="433" w:type="pct"/>
            <w:tcBorders>
              <w:top w:val="single" w:sz="6" w:space="0" w:color="000000"/>
              <w:left w:val="nil"/>
              <w:bottom w:val="single" w:sz="6" w:space="0" w:color="000000"/>
              <w:right w:val="nil"/>
            </w:tcBorders>
            <w:vAlign w:val="center"/>
          </w:tcPr>
          <w:p w14:paraId="5693266F" w14:textId="4E191232" w:rsidR="003C72BE" w:rsidRPr="00FA0048" w:rsidRDefault="003C72BE" w:rsidP="003C72BE">
            <w:pPr>
              <w:pStyle w:val="2024TABLETEXT"/>
              <w:framePr w:hSpace="0" w:wrap="auto" w:vAnchor="margin" w:yAlign="inline"/>
              <w:suppressOverlap w:val="0"/>
            </w:pPr>
            <w:r w:rsidRPr="008F7EFC">
              <w:t>M</w:t>
            </w:r>
            <w:r>
              <w:t>ean CGI score was equivalent to 0.38 (95% CI 0.06 to 0.82)</w:t>
            </w:r>
            <w:r w:rsidRPr="008F7EFC">
              <w:t xml:space="preserve"> lower</w:t>
            </w:r>
            <w:r>
              <w:t xml:space="preserve"> </w:t>
            </w:r>
            <w:r w:rsidRPr="00182CC5">
              <w:t>in the intervention group</w:t>
            </w:r>
            <w:r>
              <w:t>.</w:t>
            </w:r>
            <w:r w:rsidR="00704844" w:rsidRPr="00C463E1">
              <w:rPr>
                <w:rFonts w:eastAsiaTheme="minorHAnsi"/>
              </w:rPr>
              <w:t>§</w:t>
            </w:r>
          </w:p>
        </w:tc>
        <w:tc>
          <w:tcPr>
            <w:tcW w:w="481" w:type="pct"/>
            <w:tcBorders>
              <w:top w:val="single" w:sz="6" w:space="0" w:color="000000"/>
              <w:left w:val="nil"/>
              <w:bottom w:val="single" w:sz="6" w:space="0" w:color="000000"/>
              <w:right w:val="nil"/>
            </w:tcBorders>
            <w:shd w:val="clear" w:color="auto" w:fill="auto"/>
            <w:vAlign w:val="center"/>
          </w:tcPr>
          <w:p w14:paraId="1CEAE7D7" w14:textId="38B8DE24" w:rsidR="003C72BE" w:rsidRPr="0054775B" w:rsidRDefault="003C72BE" w:rsidP="003C72BE">
            <w:pPr>
              <w:pStyle w:val="2024TABLETEXT"/>
              <w:framePr w:hSpace="0" w:wrap="auto" w:vAnchor="margin" w:yAlign="inline"/>
              <w:suppressOverlap w:val="0"/>
            </w:pPr>
            <w:r w:rsidRPr="0054775B">
              <w:t>SMD = −0.38 (−0.82 to 0.06)</w:t>
            </w:r>
            <w:r>
              <w:t>^</w:t>
            </w:r>
          </w:p>
        </w:tc>
        <w:tc>
          <w:tcPr>
            <w:tcW w:w="481" w:type="pct"/>
            <w:tcBorders>
              <w:top w:val="single" w:sz="6" w:space="0" w:color="000000"/>
              <w:left w:val="nil"/>
              <w:bottom w:val="single" w:sz="6" w:space="0" w:color="000000"/>
              <w:right w:val="nil"/>
            </w:tcBorders>
            <w:vAlign w:val="center"/>
          </w:tcPr>
          <w:p w14:paraId="7ACCDC1F" w14:textId="24531911" w:rsidR="003C72BE" w:rsidRPr="0054775B" w:rsidRDefault="003C72BE" w:rsidP="003C72BE">
            <w:pPr>
              <w:pStyle w:val="2024TABLETEXT"/>
              <w:framePr w:hSpace="0" w:wrap="auto" w:vAnchor="margin" w:yAlign="inline"/>
              <w:suppressOverlap w:val="0"/>
            </w:pPr>
            <w:r w:rsidRPr="0054775B">
              <w:t>476 (12)</w:t>
            </w:r>
          </w:p>
        </w:tc>
        <w:tc>
          <w:tcPr>
            <w:tcW w:w="625" w:type="pct"/>
            <w:tcBorders>
              <w:top w:val="single" w:sz="6" w:space="0" w:color="000000"/>
              <w:left w:val="nil"/>
              <w:bottom w:val="single" w:sz="6" w:space="0" w:color="000000"/>
              <w:right w:val="nil"/>
            </w:tcBorders>
            <w:vAlign w:val="center"/>
          </w:tcPr>
          <w:p w14:paraId="20259A3C" w14:textId="6F3C1999" w:rsidR="003C72BE" w:rsidRPr="0054775B" w:rsidRDefault="003C72BE" w:rsidP="003C72BE">
            <w:pPr>
              <w:pStyle w:val="2024TABLETEXT"/>
              <w:framePr w:hSpace="0" w:wrap="auto" w:vAnchor="margin" w:yAlign="inline"/>
              <w:suppressOverlap w:val="0"/>
            </w:pPr>
            <w:r w:rsidRPr="0054775B">
              <w:rPr>
                <w:rFonts w:ascii="Cambria Math" w:hAnsi="Cambria Math" w:cs="Cambria Math"/>
                <w:sz w:val="22"/>
                <w:szCs w:val="22"/>
              </w:rPr>
              <w:t>⨁</w:t>
            </w:r>
            <w:r w:rsidRPr="0054775B">
              <w:rPr>
                <w:rFonts w:ascii="Segoe UI Symbol" w:hAnsi="Segoe UI Symbol" w:cs="Segoe UI Symbol"/>
              </w:rPr>
              <w:t>◯◯◯</w:t>
            </w:r>
            <w:r w:rsidRPr="0054775B">
              <w:br/>
              <w:t>VERY LOW</w:t>
            </w:r>
            <w:r w:rsidRPr="0054775B">
              <w:rPr>
                <w:rStyle w:val="FootnoteReference"/>
              </w:rPr>
              <w:t xml:space="preserve"> </w:t>
            </w:r>
            <w:r w:rsidRPr="00937536">
              <w:rPr>
                <w:vertAlign w:val="superscript"/>
              </w:rPr>
              <w:t>e</w:t>
            </w:r>
          </w:p>
        </w:tc>
        <w:tc>
          <w:tcPr>
            <w:tcW w:w="719" w:type="pct"/>
            <w:tcBorders>
              <w:top w:val="single" w:sz="6" w:space="0" w:color="000000"/>
              <w:left w:val="nil"/>
              <w:bottom w:val="single" w:sz="6" w:space="0" w:color="000000"/>
              <w:right w:val="nil"/>
            </w:tcBorders>
            <w:vAlign w:val="center"/>
          </w:tcPr>
          <w:p w14:paraId="5D9AA4C5" w14:textId="3E24B78A" w:rsidR="003C72BE" w:rsidRPr="0054775B" w:rsidRDefault="003C72BE" w:rsidP="003C72BE">
            <w:pPr>
              <w:pStyle w:val="2024TABLETEXT"/>
              <w:framePr w:hSpace="0" w:wrap="auto" w:vAnchor="margin" w:yAlign="inline"/>
              <w:suppressOverlap w:val="0"/>
            </w:pPr>
            <w:r w:rsidRPr="0054775B">
              <w:t xml:space="preserve">The evidence is very uncertain about the effect of omega-3 </w:t>
            </w:r>
            <w:r w:rsidR="00AE3138">
              <w:t xml:space="preserve">fatty acids </w:t>
            </w:r>
            <w:r w:rsidRPr="0054775B">
              <w:t xml:space="preserve">on quality of life for </w:t>
            </w:r>
            <w:r>
              <w:t xml:space="preserve">adults with </w:t>
            </w:r>
            <w:r w:rsidRPr="0054775B">
              <w:t>depression.</w:t>
            </w:r>
          </w:p>
        </w:tc>
      </w:tr>
      <w:tr w:rsidR="003C72BE" w:rsidRPr="0054775B" w14:paraId="71DB1A43" w14:textId="77777777" w:rsidTr="00A90830">
        <w:trPr>
          <w:cantSplit/>
          <w:trHeight w:val="44"/>
        </w:trPr>
        <w:tc>
          <w:tcPr>
            <w:tcW w:w="295" w:type="pct"/>
            <w:tcBorders>
              <w:top w:val="single" w:sz="6" w:space="0" w:color="000000"/>
              <w:left w:val="nil"/>
              <w:bottom w:val="single" w:sz="6" w:space="0" w:color="000000"/>
              <w:right w:val="nil"/>
            </w:tcBorders>
            <w:vAlign w:val="center"/>
          </w:tcPr>
          <w:p w14:paraId="14123073" w14:textId="6483B145" w:rsidR="003C72BE" w:rsidRPr="0054775B" w:rsidRDefault="003C72BE" w:rsidP="003C72BE">
            <w:pPr>
              <w:pStyle w:val="2024TABLETEXT"/>
              <w:framePr w:hSpace="0" w:wrap="auto" w:vAnchor="margin" w:yAlign="inline"/>
              <w:suppressOverlap w:val="0"/>
              <w:jc w:val="center"/>
            </w:pPr>
            <w:r w:rsidRPr="0054775B">
              <w:t>7</w:t>
            </w:r>
          </w:p>
        </w:tc>
        <w:tc>
          <w:tcPr>
            <w:tcW w:w="1102" w:type="pct"/>
            <w:tcBorders>
              <w:top w:val="single" w:sz="6" w:space="0" w:color="000000"/>
              <w:left w:val="nil"/>
              <w:bottom w:val="single" w:sz="6" w:space="0" w:color="000000"/>
              <w:right w:val="nil"/>
            </w:tcBorders>
            <w:vAlign w:val="center"/>
          </w:tcPr>
          <w:p w14:paraId="18D978CE" w14:textId="2B3485A0" w:rsidR="003C72BE" w:rsidRPr="0054775B" w:rsidRDefault="003C72BE" w:rsidP="003C72BE">
            <w:pPr>
              <w:pStyle w:val="2024TABLETEXT"/>
              <w:framePr w:hSpace="0" w:wrap="auto" w:vAnchor="margin" w:yAlign="inline"/>
              <w:suppressOverlap w:val="0"/>
              <w:rPr>
                <w:b/>
              </w:rPr>
            </w:pPr>
            <w:r w:rsidRPr="0054775B">
              <w:rPr>
                <w:b/>
              </w:rPr>
              <w:t>Anxiety-related emotional functioning/mental health burden</w:t>
            </w:r>
          </w:p>
        </w:tc>
        <w:tc>
          <w:tcPr>
            <w:tcW w:w="432" w:type="pct"/>
            <w:tcBorders>
              <w:top w:val="single" w:sz="6" w:space="0" w:color="000000"/>
              <w:left w:val="nil"/>
              <w:bottom w:val="single" w:sz="6" w:space="0" w:color="000000"/>
              <w:right w:val="nil"/>
            </w:tcBorders>
            <w:vAlign w:val="center"/>
          </w:tcPr>
          <w:p w14:paraId="69FC462F" w14:textId="234EE612" w:rsidR="003C72BE" w:rsidRPr="0054775B" w:rsidRDefault="003C72BE" w:rsidP="003C72BE">
            <w:pPr>
              <w:pStyle w:val="2024TABLETEXT"/>
              <w:framePr w:hSpace="0" w:wrap="auto" w:vAnchor="margin" w:yAlign="inline"/>
              <w:suppressOverlap w:val="0"/>
            </w:pPr>
            <w:r w:rsidRPr="0054775B">
              <w:t>-</w:t>
            </w:r>
          </w:p>
        </w:tc>
        <w:tc>
          <w:tcPr>
            <w:tcW w:w="432" w:type="pct"/>
            <w:tcBorders>
              <w:top w:val="single" w:sz="6" w:space="0" w:color="000000"/>
              <w:left w:val="nil"/>
              <w:bottom w:val="single" w:sz="6" w:space="0" w:color="000000"/>
              <w:right w:val="nil"/>
            </w:tcBorders>
            <w:vAlign w:val="center"/>
          </w:tcPr>
          <w:p w14:paraId="3DA6AFB3" w14:textId="24DCFFEE" w:rsidR="003C72BE" w:rsidRPr="0054775B" w:rsidRDefault="003C72BE" w:rsidP="003C72BE">
            <w:pPr>
              <w:pStyle w:val="2024TABLETEXT"/>
              <w:framePr w:hSpace="0" w:wrap="auto" w:vAnchor="margin" w:yAlign="inline"/>
              <w:suppressOverlap w:val="0"/>
            </w:pPr>
            <w:r w:rsidRPr="0054775B">
              <w:t>-</w:t>
            </w:r>
          </w:p>
        </w:tc>
        <w:tc>
          <w:tcPr>
            <w:tcW w:w="433" w:type="pct"/>
            <w:tcBorders>
              <w:top w:val="single" w:sz="6" w:space="0" w:color="000000"/>
              <w:left w:val="nil"/>
              <w:bottom w:val="single" w:sz="6" w:space="0" w:color="000000"/>
              <w:right w:val="nil"/>
            </w:tcBorders>
            <w:vAlign w:val="center"/>
          </w:tcPr>
          <w:p w14:paraId="262792B8" w14:textId="4D531A90" w:rsidR="003C72BE" w:rsidRPr="0054775B" w:rsidRDefault="003C72BE" w:rsidP="003C72BE">
            <w:pPr>
              <w:pStyle w:val="2024TABLETEXT"/>
              <w:framePr w:hSpace="0" w:wrap="auto" w:vAnchor="margin" w:yAlign="inline"/>
              <w:suppressOverlap w:val="0"/>
            </w:pPr>
            <w:r w:rsidRPr="0054775B">
              <w:t>-</w:t>
            </w:r>
          </w:p>
        </w:tc>
        <w:tc>
          <w:tcPr>
            <w:tcW w:w="481" w:type="pct"/>
            <w:tcBorders>
              <w:top w:val="single" w:sz="6" w:space="0" w:color="000000"/>
              <w:left w:val="nil"/>
              <w:bottom w:val="single" w:sz="6" w:space="0" w:color="000000"/>
              <w:right w:val="nil"/>
            </w:tcBorders>
            <w:shd w:val="clear" w:color="auto" w:fill="auto"/>
            <w:vAlign w:val="center"/>
          </w:tcPr>
          <w:p w14:paraId="0E1D60A1" w14:textId="082EDCA2" w:rsidR="003C72BE" w:rsidRPr="0054775B" w:rsidRDefault="003C72BE" w:rsidP="003C72BE">
            <w:pPr>
              <w:pStyle w:val="2024TABLETEXT"/>
              <w:framePr w:hSpace="0" w:wrap="auto" w:vAnchor="margin" w:yAlign="inline"/>
              <w:suppressOverlap w:val="0"/>
            </w:pPr>
            <w:r w:rsidRPr="0054775B">
              <w:t>-</w:t>
            </w:r>
          </w:p>
        </w:tc>
        <w:tc>
          <w:tcPr>
            <w:tcW w:w="481" w:type="pct"/>
            <w:tcBorders>
              <w:top w:val="single" w:sz="6" w:space="0" w:color="000000"/>
              <w:left w:val="nil"/>
              <w:bottom w:val="single" w:sz="6" w:space="0" w:color="000000"/>
              <w:right w:val="nil"/>
            </w:tcBorders>
            <w:vAlign w:val="center"/>
          </w:tcPr>
          <w:p w14:paraId="1810B504" w14:textId="08D2EFEC" w:rsidR="003C72BE" w:rsidRPr="0054775B" w:rsidRDefault="003C72BE" w:rsidP="003C72BE">
            <w:pPr>
              <w:pStyle w:val="2024TABLETEXT"/>
              <w:framePr w:hSpace="0" w:wrap="auto" w:vAnchor="margin" w:yAlign="inline"/>
              <w:suppressOverlap w:val="0"/>
            </w:pPr>
            <w:r w:rsidRPr="0054775B">
              <w:t>-</w:t>
            </w:r>
          </w:p>
        </w:tc>
        <w:tc>
          <w:tcPr>
            <w:tcW w:w="625" w:type="pct"/>
            <w:tcBorders>
              <w:top w:val="single" w:sz="6" w:space="0" w:color="000000"/>
              <w:left w:val="nil"/>
              <w:bottom w:val="single" w:sz="6" w:space="0" w:color="000000"/>
              <w:right w:val="nil"/>
            </w:tcBorders>
            <w:vAlign w:val="center"/>
          </w:tcPr>
          <w:p w14:paraId="53FD1A97" w14:textId="1F4AE5A3" w:rsidR="003C72BE" w:rsidRPr="0054775B" w:rsidRDefault="003C72BE" w:rsidP="003C72BE">
            <w:pPr>
              <w:pStyle w:val="2024TABLETEXT"/>
              <w:framePr w:hSpace="0" w:wrap="auto" w:vAnchor="margin" w:yAlign="inline"/>
              <w:suppressOverlap w:val="0"/>
            </w:pPr>
            <w:r w:rsidRPr="0054775B">
              <w:t>-</w:t>
            </w:r>
          </w:p>
        </w:tc>
        <w:tc>
          <w:tcPr>
            <w:tcW w:w="719" w:type="pct"/>
            <w:tcBorders>
              <w:top w:val="single" w:sz="6" w:space="0" w:color="000000"/>
              <w:left w:val="nil"/>
              <w:bottom w:val="single" w:sz="6" w:space="0" w:color="000000"/>
              <w:right w:val="nil"/>
            </w:tcBorders>
            <w:vAlign w:val="center"/>
          </w:tcPr>
          <w:p w14:paraId="2FF1FF47" w14:textId="35589144" w:rsidR="003C72BE" w:rsidRPr="0054775B" w:rsidRDefault="003C72BE" w:rsidP="003C72BE">
            <w:pPr>
              <w:pStyle w:val="2024TABLETEXT"/>
              <w:framePr w:hSpace="0" w:wrap="auto" w:vAnchor="margin" w:yAlign="inline"/>
              <w:suppressOverlap w:val="0"/>
            </w:pPr>
            <w:r w:rsidRPr="0054775B">
              <w:t xml:space="preserve">No </w:t>
            </w:r>
            <w:r>
              <w:t>reviews</w:t>
            </w:r>
            <w:r w:rsidRPr="0054775B">
              <w:t xml:space="preserve"> found. The effect of omega-3 </w:t>
            </w:r>
            <w:r w:rsidR="00AE3138">
              <w:t xml:space="preserve">fatty acids </w:t>
            </w:r>
            <w:r w:rsidRPr="0054775B">
              <w:t>on anxiety-related emotional functioning/mental health burden in depression</w:t>
            </w:r>
            <w:r w:rsidRPr="0054775B">
              <w:rPr>
                <w:b/>
                <w:bCs/>
              </w:rPr>
              <w:t xml:space="preserve"> </w:t>
            </w:r>
            <w:r w:rsidRPr="0054775B">
              <w:t>is unknown.</w:t>
            </w:r>
          </w:p>
        </w:tc>
      </w:tr>
      <w:tr w:rsidR="003C72BE" w:rsidRPr="0054775B" w14:paraId="63959839" w14:textId="77777777" w:rsidTr="00FF3BB7">
        <w:trPr>
          <w:cantSplit/>
          <w:trHeight w:val="50"/>
        </w:trPr>
        <w:tc>
          <w:tcPr>
            <w:tcW w:w="5000" w:type="pct"/>
            <w:gridSpan w:val="9"/>
            <w:tcBorders>
              <w:top w:val="single" w:sz="6" w:space="0" w:color="000000"/>
              <w:left w:val="nil"/>
              <w:bottom w:val="single" w:sz="6" w:space="0" w:color="000000"/>
              <w:right w:val="nil"/>
            </w:tcBorders>
          </w:tcPr>
          <w:p w14:paraId="1A3051B1" w14:textId="77777777" w:rsidR="00C02CBC" w:rsidRPr="0054775B" w:rsidRDefault="00C02CBC" w:rsidP="00C02CBC">
            <w:pPr>
              <w:pStyle w:val="2024TABLEFOOTER"/>
            </w:pPr>
            <w:r w:rsidRPr="0054775B">
              <w:t>*Ratings 1-3 = of limited importance to decision making; 4-6 = important, but not critical, to decision making; 7-9 = critical for decision-making</w:t>
            </w:r>
          </w:p>
          <w:p w14:paraId="22A1BECB" w14:textId="008395C0" w:rsidR="00C02CBC" w:rsidRDefault="00C02CBC" w:rsidP="00C02CBC">
            <w:pPr>
              <w:pStyle w:val="2024TABLEFOOTER"/>
            </w:pPr>
            <w:r w:rsidRPr="0054775B">
              <w:t>^SMDs of 0.2, 0.5, and 0.8 are considered small, medium, and large, respectively</w:t>
            </w:r>
            <w:r>
              <w:t xml:space="preserve"> </w:t>
            </w:r>
            <w:r>
              <w:rPr>
                <w:noProof/>
              </w:rPr>
              <w:t>(22)</w:t>
            </w:r>
          </w:p>
          <w:p w14:paraId="578D88BC" w14:textId="55D8349B" w:rsidR="003C72BE" w:rsidRDefault="003C72BE" w:rsidP="003C72BE">
            <w:pPr>
              <w:pStyle w:val="2024TABLEFOOTER"/>
            </w:pPr>
            <w:r>
              <w:t>#Source of baseline risk is the study population. There are no published MCID estimations for population level remission rates. A 20% relative risk difference (i.e., OR ≤ 0.8 or ≥ 1.2) was therefore considered as a minimal clinically important difference (MCID).</w:t>
            </w:r>
          </w:p>
          <w:p w14:paraId="0230A8CB" w14:textId="5A7E5CF2" w:rsidR="003C72BE" w:rsidRDefault="003C72BE" w:rsidP="003C72BE">
            <w:pPr>
              <w:pStyle w:val="2024TABLEFOOTER"/>
            </w:pPr>
            <w:r w:rsidRPr="00C463E1">
              <w:rPr>
                <w:rFonts w:eastAsiaTheme="minorHAnsi"/>
              </w:rPr>
              <w:t>§</w:t>
            </w:r>
            <w:r>
              <w:rPr>
                <w:rFonts w:eastAsiaTheme="minorHAnsi"/>
              </w:rPr>
              <w:t xml:space="preserve">MCID was 1 point for CGI </w:t>
            </w:r>
            <w:r>
              <w:rPr>
                <w:rFonts w:eastAsiaTheme="minorHAnsi"/>
                <w:noProof/>
              </w:rPr>
              <w:t>(118)</w:t>
            </w:r>
            <w:r>
              <w:rPr>
                <w:rFonts w:eastAsiaTheme="minorHAnsi"/>
              </w:rPr>
              <w:t>.</w:t>
            </w:r>
          </w:p>
          <w:p w14:paraId="2402FCA9" w14:textId="77777777" w:rsidR="003C72BE" w:rsidRDefault="003C72BE" w:rsidP="003C72BE">
            <w:pPr>
              <w:pStyle w:val="2024TABLEFOOTER"/>
            </w:pPr>
          </w:p>
          <w:p w14:paraId="16696007" w14:textId="39675DFC" w:rsidR="003C72BE" w:rsidRPr="0054775B" w:rsidRDefault="003C72BE" w:rsidP="003C72BE">
            <w:pPr>
              <w:pStyle w:val="2024TABLEFOOTER"/>
            </w:pPr>
            <w:r w:rsidRPr="0054775B">
              <w:t>Abbreviations: BDI=Beck Depression Inventory, CDI=Children's Depression Inventory, CDRS=Children's Depression Rating Scale, CGI=Clinician global impression, CI=Confidence interval, DHA=Docosahexaenoic acid, EPA=Eicosapentaenoic acid, GAP= Global Assessment of Functioning, GDS=Geriatric depression scale, HDRS=Hamilton Depression Rating Scale, MADRS=Montgomery-Asberg Depression Rating Scale, MINI=Mini-International Neuropsychiatric Interview, OR=Odds ratio, SF-36=RAND 36-Item Short Form Survey Instrument, SMD=Standardised mean difference</w:t>
            </w:r>
          </w:p>
        </w:tc>
      </w:tr>
      <w:tr w:rsidR="003C72BE" w:rsidRPr="0054775B" w14:paraId="2D92DD2C" w14:textId="77777777" w:rsidTr="00FF3BB7">
        <w:trPr>
          <w:cantSplit/>
          <w:trHeight w:val="236"/>
        </w:trPr>
        <w:tc>
          <w:tcPr>
            <w:tcW w:w="5000" w:type="pct"/>
            <w:gridSpan w:val="9"/>
            <w:tcBorders>
              <w:top w:val="single" w:sz="6" w:space="0" w:color="000000"/>
              <w:left w:val="nil"/>
              <w:bottom w:val="single" w:sz="6" w:space="0" w:color="000000"/>
              <w:right w:val="nil"/>
            </w:tcBorders>
          </w:tcPr>
          <w:p w14:paraId="7CFDBEEF" w14:textId="35C3CD4B" w:rsidR="003C72BE" w:rsidRPr="0054775B" w:rsidRDefault="003C72BE" w:rsidP="003C72BE">
            <w:pPr>
              <w:pStyle w:val="2024TABLEFOOTER"/>
              <w:rPr>
                <w:b/>
                <w:bCs/>
              </w:rPr>
            </w:pPr>
            <w:r w:rsidRPr="0054775B">
              <w:t>GRADE Working Group grades of evidence</w:t>
            </w:r>
            <w:r w:rsidRPr="0054775B">
              <w:br/>
            </w:r>
            <w:r w:rsidRPr="0054775B">
              <w:rPr>
                <w:b/>
              </w:rPr>
              <w:t>High certainty:</w:t>
            </w:r>
            <w:r w:rsidRPr="0054775B">
              <w:t xml:space="preserve"> we are very confident that the true effect lies close to that of the estimate of the effect.</w:t>
            </w:r>
            <w:r w:rsidRPr="0054775B">
              <w:br/>
            </w:r>
            <w:r w:rsidRPr="0054775B">
              <w:rPr>
                <w:b/>
              </w:rPr>
              <w:t>Moderate certainty:</w:t>
            </w:r>
            <w:r w:rsidRPr="0054775B">
              <w:t xml:space="preserve"> we are moderately confident in the effect estimate: the true effect is likely to be close to the estimate of the effect, but there is a possibility that it is substantially different.</w:t>
            </w:r>
            <w:r w:rsidRPr="0054775B">
              <w:br/>
            </w:r>
            <w:r w:rsidRPr="0054775B">
              <w:rPr>
                <w:b/>
              </w:rPr>
              <w:t>Low certainty:</w:t>
            </w:r>
            <w:r w:rsidRPr="0054775B">
              <w:t xml:space="preserve"> our confidence in the effect estimate is limited: the true effect may be substantially different from the estimate of the effect.</w:t>
            </w:r>
            <w:r w:rsidRPr="0054775B">
              <w:br/>
            </w:r>
            <w:r w:rsidRPr="0054775B">
              <w:rPr>
                <w:b/>
              </w:rPr>
              <w:t>Very low certainty:</w:t>
            </w:r>
            <w:r w:rsidRPr="0054775B">
              <w:t xml:space="preserve"> we have very little confidence in the effect estimate: the true effect is likely to be substantially different from the estimate of effect.</w:t>
            </w:r>
          </w:p>
        </w:tc>
      </w:tr>
      <w:tr w:rsidR="003C72BE" w:rsidRPr="0054775B" w14:paraId="44D1BFBF" w14:textId="77777777" w:rsidTr="00FF3BB7">
        <w:trPr>
          <w:cantSplit/>
          <w:trHeight w:val="236"/>
        </w:trPr>
        <w:tc>
          <w:tcPr>
            <w:tcW w:w="5000" w:type="pct"/>
            <w:gridSpan w:val="9"/>
            <w:tcBorders>
              <w:top w:val="single" w:sz="6" w:space="0" w:color="000000"/>
              <w:left w:val="nil"/>
              <w:bottom w:val="single" w:sz="6" w:space="0" w:color="000000"/>
              <w:right w:val="nil"/>
            </w:tcBorders>
          </w:tcPr>
          <w:p w14:paraId="763BAEAF" w14:textId="1C4404F4" w:rsidR="003C72BE" w:rsidRPr="0054775B" w:rsidRDefault="003C72BE" w:rsidP="003C72BE">
            <w:pPr>
              <w:pStyle w:val="2024TABLEFOOTER"/>
            </w:pPr>
            <w:r w:rsidRPr="0054775B">
              <w:t>Explanations</w:t>
            </w:r>
          </w:p>
          <w:p w14:paraId="16024E52" w14:textId="18D53E31" w:rsidR="003C72BE" w:rsidRPr="00350908" w:rsidRDefault="003C72BE" w:rsidP="00107BEE">
            <w:pPr>
              <w:pStyle w:val="2024TABLEFOOTER"/>
              <w:numPr>
                <w:ilvl w:val="0"/>
                <w:numId w:val="19"/>
              </w:numPr>
              <w:ind w:left="517"/>
            </w:pPr>
            <w:r w:rsidRPr="0054775B">
              <w:t xml:space="preserve">Judgements of high risk of bias in all </w:t>
            </w:r>
            <w:r>
              <w:t xml:space="preserve">included </w:t>
            </w:r>
            <w:r w:rsidRPr="0054775B">
              <w:t xml:space="preserve">studies, and different effects when comparing analyses across different risk of bias </w:t>
            </w:r>
            <w:r w:rsidRPr="00350908">
              <w:t xml:space="preserve">judgements (downgrade one for risk of bias). </w:t>
            </w:r>
            <w:r w:rsidRPr="001428E8">
              <w:t>High I² values and statistically significant heterogeneity, point estimates indicated different directions of effect,</w:t>
            </w:r>
            <w:r>
              <w:t xml:space="preserve"> </w:t>
            </w:r>
            <w:r w:rsidRPr="001428E8">
              <w:t xml:space="preserve">inconsistency not explained by subgroup analysis </w:t>
            </w:r>
            <w:r w:rsidRPr="00350908">
              <w:t xml:space="preserve">(downgrade one for inconsistency). </w:t>
            </w:r>
            <w:r w:rsidRPr="001428E8">
              <w:t>CI boundaries suggest different inferences (SMD = 0.2)</w:t>
            </w:r>
            <w:r>
              <w:t xml:space="preserve"> </w:t>
            </w:r>
            <w:r w:rsidRPr="00350908">
              <w:t>(</w:t>
            </w:r>
            <w:r>
              <w:t>downgraded one</w:t>
            </w:r>
            <w:r w:rsidRPr="00350908">
              <w:t xml:space="preserve"> for imprecision). Possible publication bias from visual inspection of funnel plot (downgrade one for publication bias).</w:t>
            </w:r>
          </w:p>
          <w:p w14:paraId="71834D91" w14:textId="5F1D99B9" w:rsidR="003C72BE" w:rsidRPr="00350908" w:rsidRDefault="003C72BE" w:rsidP="00107BEE">
            <w:pPr>
              <w:pStyle w:val="2024TABLEFOOTER"/>
              <w:numPr>
                <w:ilvl w:val="0"/>
                <w:numId w:val="19"/>
              </w:numPr>
              <w:ind w:left="517"/>
            </w:pPr>
            <w:r w:rsidRPr="00350908">
              <w:t>Risks of bias</w:t>
            </w:r>
            <w:r>
              <w:t xml:space="preserve"> related to intervention blinding</w:t>
            </w:r>
            <w:r w:rsidRPr="00350908">
              <w:t xml:space="preserve"> across </w:t>
            </w:r>
            <w:r>
              <w:t>included studies, which may impact results</w:t>
            </w:r>
            <w:r w:rsidRPr="00350908">
              <w:t xml:space="preserve"> (downgrade one for risk of bias). </w:t>
            </w:r>
            <w:r w:rsidR="001F0D65">
              <w:t xml:space="preserve"> Population</w:t>
            </w:r>
            <w:r w:rsidR="001F0D65" w:rsidRPr="0054775B">
              <w:t xml:space="preserve"> included children only (downgrade </w:t>
            </w:r>
            <w:r w:rsidR="001F0D65">
              <w:t>one</w:t>
            </w:r>
            <w:r w:rsidR="001F0D65" w:rsidRPr="0054775B">
              <w:t xml:space="preserve"> for indirectness). </w:t>
            </w:r>
            <w:r w:rsidR="00365D1D">
              <w:t xml:space="preserve">Low </w:t>
            </w:r>
            <w:r w:rsidR="00365D1D" w:rsidRPr="001428E8">
              <w:t xml:space="preserve">I² values and statistically </w:t>
            </w:r>
            <w:r w:rsidR="00365D1D">
              <w:t>non-</w:t>
            </w:r>
            <w:r w:rsidR="00365D1D" w:rsidRPr="001428E8">
              <w:t xml:space="preserve">significant heterogeneity, CIs </w:t>
            </w:r>
            <w:r w:rsidR="00733AF1">
              <w:t>mostly overlapping</w:t>
            </w:r>
            <w:r w:rsidR="00365D1D" w:rsidRPr="001428E8">
              <w:t xml:space="preserve"> (</w:t>
            </w:r>
            <w:r w:rsidR="00733AF1">
              <w:t>no change</w:t>
            </w:r>
            <w:r w:rsidR="00365D1D" w:rsidRPr="001428E8">
              <w:t xml:space="preserve"> for inconsistency).</w:t>
            </w:r>
            <w:r w:rsidR="00365D1D" w:rsidRPr="0054775B" w:rsidDel="00DB5382">
              <w:t xml:space="preserve"> </w:t>
            </w:r>
            <w:r w:rsidR="009075ED">
              <w:t>W</w:t>
            </w:r>
            <w:r w:rsidRPr="001428E8">
              <w:t>ide CI to where point estimate is uninterpretable; CI appreciably crosses the threshold(s) of interest (SMD = 0.2</w:t>
            </w:r>
            <w:r>
              <w:t>; OR = 0.2</w:t>
            </w:r>
            <w:r w:rsidRPr="001428E8">
              <w:t xml:space="preserve">) (downgraded </w:t>
            </w:r>
            <w:r w:rsidR="00FC1135">
              <w:t>3</w:t>
            </w:r>
            <w:r w:rsidR="009075ED" w:rsidRPr="001428E8">
              <w:t xml:space="preserve"> </w:t>
            </w:r>
            <w:r w:rsidRPr="001428E8">
              <w:t>for</w:t>
            </w:r>
            <w:r w:rsidR="0019208D">
              <w:t xml:space="preserve"> very serious</w:t>
            </w:r>
            <w:r w:rsidRPr="001428E8">
              <w:t xml:space="preserve"> imprecision).</w:t>
            </w:r>
            <w:r w:rsidR="005A5644" w:rsidRPr="00E2342A">
              <w:rPr>
                <w:lang w:val="en-GB"/>
              </w:rPr>
              <w:t xml:space="preserve"> Publication bias not assessed due to insufficient number of studies (no change for publication bias).</w:t>
            </w:r>
          </w:p>
          <w:p w14:paraId="5D571AEE" w14:textId="1D9DBF2E" w:rsidR="003C72BE" w:rsidRDefault="003C72BE" w:rsidP="00107BEE">
            <w:pPr>
              <w:pStyle w:val="2024TABLEFOOTER"/>
              <w:numPr>
                <w:ilvl w:val="0"/>
                <w:numId w:val="19"/>
              </w:numPr>
              <w:ind w:left="517"/>
            </w:pPr>
            <w:r>
              <w:lastRenderedPageBreak/>
              <w:t>Low risk of bias assessed across primary studies (no change for risk of bias).</w:t>
            </w:r>
            <w:r w:rsidDel="00A84A47">
              <w:t xml:space="preserve"> </w:t>
            </w:r>
            <w:r w:rsidR="00A84A47">
              <w:t>Population</w:t>
            </w:r>
            <w:r w:rsidR="00A84A47" w:rsidRPr="0054775B">
              <w:t xml:space="preserve"> included </w:t>
            </w:r>
            <w:r w:rsidR="00A84A47">
              <w:t>perinatal depression</w:t>
            </w:r>
            <w:r w:rsidR="00A84A47" w:rsidRPr="0054775B">
              <w:t xml:space="preserve"> only (downgrade </w:t>
            </w:r>
            <w:r w:rsidR="00A84A47">
              <w:t>one</w:t>
            </w:r>
            <w:r w:rsidR="00A84A47" w:rsidRPr="0054775B">
              <w:t xml:space="preserve"> for indirectness). </w:t>
            </w:r>
            <w:r w:rsidR="0090475D">
              <w:t xml:space="preserve"> Low </w:t>
            </w:r>
            <w:r w:rsidR="0090475D" w:rsidRPr="001428E8">
              <w:t xml:space="preserve">I² values and statistically </w:t>
            </w:r>
            <w:r w:rsidR="0090475D">
              <w:t>non-</w:t>
            </w:r>
            <w:r w:rsidR="0090475D" w:rsidRPr="001428E8">
              <w:t xml:space="preserve">significant heterogeneity, CIs </w:t>
            </w:r>
            <w:r w:rsidR="0090475D">
              <w:t>mostly overlapping</w:t>
            </w:r>
            <w:r w:rsidR="0090475D" w:rsidRPr="001428E8">
              <w:t xml:space="preserve"> (</w:t>
            </w:r>
            <w:r w:rsidR="0090475D">
              <w:t>no change</w:t>
            </w:r>
            <w:r w:rsidR="0090475D" w:rsidRPr="001428E8">
              <w:t xml:space="preserve"> for inconsistency).</w:t>
            </w:r>
            <w:r w:rsidR="0090475D" w:rsidRPr="0054775B" w:rsidDel="00DB5382">
              <w:t xml:space="preserve"> </w:t>
            </w:r>
            <w:r w:rsidR="001F0D65">
              <w:t>W</w:t>
            </w:r>
            <w:r w:rsidRPr="00775ECD">
              <w:t xml:space="preserve">ide CI to where point estimate is uninterpretable; CI appreciably crosses the threshold(s) of interest (SMD = 0.2) (downgraded </w:t>
            </w:r>
            <w:r w:rsidR="0025360F">
              <w:t>3</w:t>
            </w:r>
            <w:r w:rsidRPr="00775ECD">
              <w:t xml:space="preserve"> for </w:t>
            </w:r>
            <w:r w:rsidR="007C35A7">
              <w:t xml:space="preserve">very serious </w:t>
            </w:r>
            <w:r w:rsidRPr="00775ECD">
              <w:t>imprecision).</w:t>
            </w:r>
            <w:r w:rsidR="001C5019">
              <w:t xml:space="preserve"> Publication bias assessed by review authors, no evidence of bias supported by non-significant Egger’s test </w:t>
            </w:r>
            <w:r w:rsidR="00372AC6">
              <w:t>(no change for publication bias).</w:t>
            </w:r>
          </w:p>
          <w:p w14:paraId="764AE8D0" w14:textId="49C3B60B" w:rsidR="003C72BE" w:rsidRPr="0054775B" w:rsidRDefault="003C72BE" w:rsidP="00107BEE">
            <w:pPr>
              <w:pStyle w:val="2024TABLEFOOTER"/>
              <w:numPr>
                <w:ilvl w:val="0"/>
                <w:numId w:val="19"/>
              </w:numPr>
              <w:ind w:left="517"/>
            </w:pPr>
            <w:r w:rsidRPr="00350908">
              <w:t>High</w:t>
            </w:r>
            <w:r w:rsidRPr="0054775B">
              <w:t xml:space="preserve"> risk of bias of included primary studies (downgrade one for risk of bias). </w:t>
            </w:r>
            <w:r w:rsidR="001B36C6">
              <w:t xml:space="preserve"> Low </w:t>
            </w:r>
            <w:r w:rsidR="001B36C6" w:rsidRPr="001428E8">
              <w:t xml:space="preserve">I² values and statistically </w:t>
            </w:r>
            <w:r w:rsidR="001B36C6">
              <w:t>non-</w:t>
            </w:r>
            <w:r w:rsidR="001B36C6" w:rsidRPr="001428E8">
              <w:t xml:space="preserve">significant heterogeneity, CIs </w:t>
            </w:r>
            <w:r w:rsidR="001B36C6">
              <w:t>mostly overlapping</w:t>
            </w:r>
            <w:r w:rsidR="001B36C6" w:rsidRPr="001428E8">
              <w:t xml:space="preserve"> (</w:t>
            </w:r>
            <w:r w:rsidR="001B36C6">
              <w:t>no change</w:t>
            </w:r>
            <w:r w:rsidR="001B36C6" w:rsidRPr="001428E8">
              <w:t xml:space="preserve"> for inconsistency).</w:t>
            </w:r>
            <w:r w:rsidR="001B36C6" w:rsidRPr="0054775B" w:rsidDel="00DB5382">
              <w:t xml:space="preserve"> </w:t>
            </w:r>
            <w:r w:rsidR="003449C9">
              <w:t xml:space="preserve"> </w:t>
            </w:r>
            <w:r>
              <w:t>Absolute risk difference and OR</w:t>
            </w:r>
            <w:r w:rsidRPr="001428E8">
              <w:t xml:space="preserve"> CI</w:t>
            </w:r>
            <w:r>
              <w:t>s</w:t>
            </w:r>
            <w:r w:rsidRPr="001428E8">
              <w:t xml:space="preserve"> appreciably cross the threshold(s) </w:t>
            </w:r>
            <w:r>
              <w:t>for</w:t>
            </w:r>
            <w:r w:rsidRPr="001428E8">
              <w:t xml:space="preserve"> </w:t>
            </w:r>
            <w:r>
              <w:t xml:space="preserve">direction of effect </w:t>
            </w:r>
            <w:r w:rsidRPr="001428E8">
              <w:t xml:space="preserve">(downgraded </w:t>
            </w:r>
            <w:r>
              <w:t>one for</w:t>
            </w:r>
            <w:r w:rsidRPr="001428E8">
              <w:t xml:space="preserve"> imprecision). </w:t>
            </w:r>
            <w:r w:rsidRPr="0054775B">
              <w:t>Funnel plots not created for this analysis; only selected studies chosen</w:t>
            </w:r>
            <w:r>
              <w:t>, though no evidence of missing results</w:t>
            </w:r>
            <w:r w:rsidRPr="0054775B">
              <w:t xml:space="preserve"> (</w:t>
            </w:r>
            <w:r>
              <w:t>no change</w:t>
            </w:r>
            <w:r w:rsidRPr="0054775B">
              <w:t xml:space="preserve"> for publication bias).</w:t>
            </w:r>
          </w:p>
          <w:p w14:paraId="3012303F" w14:textId="3EEA096D" w:rsidR="003C72BE" w:rsidRPr="0054775B" w:rsidRDefault="003C72BE" w:rsidP="00107BEE">
            <w:pPr>
              <w:pStyle w:val="2024TABLEFOOTER"/>
              <w:numPr>
                <w:ilvl w:val="0"/>
                <w:numId w:val="19"/>
              </w:numPr>
              <w:ind w:left="517"/>
            </w:pPr>
            <w:r w:rsidRPr="0054775B">
              <w:t xml:space="preserve">Judgements of high risk of bias in all </w:t>
            </w:r>
            <w:r>
              <w:t xml:space="preserve">included </w:t>
            </w:r>
            <w:r w:rsidRPr="0054775B">
              <w:t>studies</w:t>
            </w:r>
            <w:r w:rsidRPr="00350908">
              <w:t xml:space="preserve"> (downgrade one for risk of bias).</w:t>
            </w:r>
            <w:r w:rsidR="007848A7" w:rsidRPr="001428E8">
              <w:t xml:space="preserve"> High I² values and statistically significant heterogeneity, </w:t>
            </w:r>
            <w:r w:rsidR="00B36379">
              <w:t>point estimates lie on either side of direction of effect</w:t>
            </w:r>
            <w:r w:rsidR="007848A7">
              <w:t xml:space="preserve"> </w:t>
            </w:r>
            <w:r w:rsidR="00EF2225">
              <w:t>(downgrade one for inconsistency).</w:t>
            </w:r>
            <w:r w:rsidRPr="00350908">
              <w:t xml:space="preserve"> </w:t>
            </w:r>
            <w:r w:rsidRPr="001428E8">
              <w:t xml:space="preserve">CI boundaries suggest different inferences based on MCID </w:t>
            </w:r>
            <w:r w:rsidR="001E5711">
              <w:t xml:space="preserve">(both CGI and SMD) </w:t>
            </w:r>
            <w:r w:rsidRPr="001428E8">
              <w:t xml:space="preserve">with lower bound </w:t>
            </w:r>
            <w:r>
              <w:t>approaching</w:t>
            </w:r>
            <w:r w:rsidRPr="001428E8">
              <w:t xml:space="preserve"> the threshold for effect </w:t>
            </w:r>
            <w:r w:rsidR="001E5711">
              <w:t xml:space="preserve">for </w:t>
            </w:r>
            <w:r w:rsidRPr="001428E8">
              <w:t xml:space="preserve">CGI </w:t>
            </w:r>
            <w:r w:rsidR="001E5711">
              <w:t>(</w:t>
            </w:r>
            <w:r w:rsidRPr="001428E8">
              <w:t>= 1</w:t>
            </w:r>
            <w:r w:rsidR="001E5711">
              <w:t>) and no effect for SMD (=0)</w:t>
            </w:r>
            <w:r w:rsidRPr="001428E8">
              <w:t xml:space="preserve">). </w:t>
            </w:r>
            <w:r w:rsidRPr="00350908">
              <w:t>Possible publication bias from visual inspection of funnel plot (downgrade one for publication bias).</w:t>
            </w:r>
          </w:p>
        </w:tc>
      </w:tr>
    </w:tbl>
    <w:p w14:paraId="6ADB356F" w14:textId="77777777" w:rsidR="00505B1B" w:rsidRPr="0054775B" w:rsidRDefault="00505B1B" w:rsidP="009E6F7F"/>
    <w:p w14:paraId="716CC22D" w14:textId="77777777" w:rsidR="00DA462B" w:rsidRPr="0054775B" w:rsidRDefault="00DA462B" w:rsidP="00DA462B"/>
    <w:p w14:paraId="76D2AE62" w14:textId="77777777" w:rsidR="00DA462B" w:rsidRPr="0054775B" w:rsidRDefault="00DA462B" w:rsidP="00DA462B"/>
    <w:p w14:paraId="3773E8D3" w14:textId="77777777" w:rsidR="00DA462B" w:rsidRPr="0054775B" w:rsidRDefault="00DA462B" w:rsidP="00DA462B"/>
    <w:p w14:paraId="49718729" w14:textId="77777777" w:rsidR="00DA462B" w:rsidRPr="0054775B" w:rsidRDefault="00DA462B" w:rsidP="00DA462B"/>
    <w:p w14:paraId="75551131" w14:textId="77777777" w:rsidR="00DA462B" w:rsidRPr="0054775B" w:rsidRDefault="00DA462B" w:rsidP="00DA462B"/>
    <w:p w14:paraId="11B8D60C" w14:textId="77777777" w:rsidR="00DA462B" w:rsidRPr="0054775B" w:rsidRDefault="00DA462B" w:rsidP="00DA462B"/>
    <w:p w14:paraId="1FE7B23C" w14:textId="77777777" w:rsidR="00DA462B" w:rsidRPr="0054775B" w:rsidRDefault="00DA462B" w:rsidP="00DA462B"/>
    <w:p w14:paraId="18506787" w14:textId="77777777" w:rsidR="00DA462B" w:rsidRPr="0054775B" w:rsidRDefault="00DA462B" w:rsidP="00DA462B"/>
    <w:p w14:paraId="295CE989" w14:textId="77777777" w:rsidR="00DA462B" w:rsidRPr="0054775B" w:rsidRDefault="00DA462B" w:rsidP="00DA462B"/>
    <w:p w14:paraId="53072754" w14:textId="77777777" w:rsidR="00DA462B" w:rsidRPr="0054775B" w:rsidRDefault="00DA462B" w:rsidP="00DA462B"/>
    <w:p w14:paraId="4A2A51B3" w14:textId="77777777" w:rsidR="00DA462B" w:rsidRPr="0054775B" w:rsidRDefault="00DA462B" w:rsidP="00DA462B"/>
    <w:p w14:paraId="41CA867B" w14:textId="77777777" w:rsidR="00DA462B" w:rsidRPr="0054775B" w:rsidRDefault="00DA462B" w:rsidP="00DA462B"/>
    <w:p w14:paraId="3E84625B" w14:textId="77777777" w:rsidR="00DA462B" w:rsidRPr="0054775B" w:rsidRDefault="00DA462B" w:rsidP="00DA462B"/>
    <w:p w14:paraId="51FD0D2D" w14:textId="5FC19D9A" w:rsidR="00DA462B" w:rsidRPr="0054775B" w:rsidRDefault="00DA462B" w:rsidP="00DA462B">
      <w:pPr>
        <w:tabs>
          <w:tab w:val="left" w:pos="3382"/>
        </w:tabs>
      </w:pPr>
      <w:r w:rsidRPr="0054775B">
        <w:tab/>
      </w:r>
    </w:p>
    <w:p w14:paraId="21C7F5D0" w14:textId="77777777" w:rsidR="00DA462B" w:rsidRPr="0054775B" w:rsidRDefault="00DA462B">
      <w:pPr>
        <w:spacing w:before="0" w:after="160" w:line="259" w:lineRule="auto"/>
      </w:pPr>
      <w:r w:rsidRPr="0054775B">
        <w:br w:type="page"/>
      </w:r>
    </w:p>
    <w:p w14:paraId="0F2DF060" w14:textId="58A006A4" w:rsidR="00DA462B" w:rsidRPr="0054775B" w:rsidRDefault="00DA462B" w:rsidP="00DA462B">
      <w:pPr>
        <w:pStyle w:val="2024TABLECAPTION"/>
        <w:rPr>
          <w:rFonts w:ascii="Aptos" w:hAnsi="Aptos"/>
        </w:rPr>
      </w:pPr>
      <w:bookmarkStart w:id="88" w:name="_Toc185261600"/>
      <w:r w:rsidRPr="0054775B">
        <w:rPr>
          <w:rFonts w:ascii="Aptos" w:hAnsi="Aptos"/>
        </w:rPr>
        <w:lastRenderedPageBreak/>
        <w:t xml:space="preserve">Table </w:t>
      </w:r>
      <w:r w:rsidRPr="0054775B">
        <w:rPr>
          <w:rFonts w:ascii="Aptos" w:hAnsi="Aptos"/>
        </w:rPr>
        <w:fldChar w:fldCharType="begin"/>
      </w:r>
      <w:r w:rsidRPr="0054775B">
        <w:rPr>
          <w:rFonts w:ascii="Aptos" w:hAnsi="Aptos"/>
        </w:rPr>
        <w:instrText>SEQ Table \* ARABIC</w:instrText>
      </w:r>
      <w:r w:rsidRPr="0054775B">
        <w:rPr>
          <w:rFonts w:ascii="Aptos" w:hAnsi="Aptos"/>
        </w:rPr>
        <w:fldChar w:fldCharType="separate"/>
      </w:r>
      <w:r w:rsidRPr="0054775B" w:rsidDel="004E7C54">
        <w:rPr>
          <w:rFonts w:ascii="Aptos" w:hAnsi="Aptos"/>
          <w:noProof/>
        </w:rPr>
        <w:t>22</w:t>
      </w:r>
      <w:r w:rsidRPr="0054775B">
        <w:rPr>
          <w:rFonts w:ascii="Aptos" w:hAnsi="Aptos"/>
        </w:rPr>
        <w:fldChar w:fldCharType="end"/>
      </w:r>
      <w:r w:rsidRPr="0054775B">
        <w:rPr>
          <w:rFonts w:ascii="Aptos" w:hAnsi="Aptos"/>
        </w:rPr>
        <w:t xml:space="preserve">. Omega-3 </w:t>
      </w:r>
      <w:r w:rsidR="00AE3138">
        <w:t xml:space="preserve">fatty acids </w:t>
      </w:r>
      <w:r w:rsidRPr="0054775B">
        <w:rPr>
          <w:rFonts w:ascii="Aptos" w:hAnsi="Aptos"/>
        </w:rPr>
        <w:t>compared to placebo for people at risk of depression (including postnatal)</w:t>
      </w:r>
      <w:bookmarkEnd w:id="88"/>
    </w:p>
    <w:tbl>
      <w:tblPr>
        <w:tblpPr w:leftFromText="180" w:rightFromText="180" w:vertAnchor="text" w:tblpY="1"/>
        <w:tblOverlap w:val="never"/>
        <w:tblW w:w="4665" w:type="pct"/>
        <w:tblLayout w:type="fixed"/>
        <w:tblCellMar>
          <w:top w:w="28" w:type="dxa"/>
          <w:left w:w="57" w:type="dxa"/>
          <w:bottom w:w="28" w:type="dxa"/>
          <w:right w:w="28" w:type="dxa"/>
        </w:tblCellMar>
        <w:tblLook w:val="04A0" w:firstRow="1" w:lastRow="0" w:firstColumn="1" w:lastColumn="0" w:noHBand="0" w:noVBand="1"/>
      </w:tblPr>
      <w:tblGrid>
        <w:gridCol w:w="850"/>
        <w:gridCol w:w="4395"/>
        <w:gridCol w:w="1277"/>
        <w:gridCol w:w="1132"/>
        <w:gridCol w:w="1277"/>
        <w:gridCol w:w="1274"/>
        <w:gridCol w:w="3969"/>
        <w:gridCol w:w="11"/>
      </w:tblGrid>
      <w:tr w:rsidR="00DA462B" w:rsidRPr="0054775B" w14:paraId="1526832D" w14:textId="77777777">
        <w:trPr>
          <w:gridAfter w:val="1"/>
          <w:wAfter w:w="4" w:type="pct"/>
          <w:cantSplit/>
        </w:trPr>
        <w:tc>
          <w:tcPr>
            <w:tcW w:w="4996" w:type="pct"/>
            <w:gridSpan w:val="7"/>
            <w:tcBorders>
              <w:top w:val="single" w:sz="12" w:space="0" w:color="000000"/>
              <w:left w:val="nil"/>
              <w:bottom w:val="single" w:sz="12" w:space="0" w:color="000000"/>
              <w:right w:val="nil"/>
            </w:tcBorders>
          </w:tcPr>
          <w:p w14:paraId="706B551C" w14:textId="2F8ED79F" w:rsidR="00DA462B" w:rsidRPr="0054775B" w:rsidRDefault="00DA462B">
            <w:pPr>
              <w:pStyle w:val="2024TABLETEXT"/>
              <w:framePr w:hSpace="0" w:wrap="auto" w:vAnchor="margin" w:yAlign="inline"/>
              <w:suppressOverlap w:val="0"/>
              <w:rPr>
                <w:rStyle w:val="Strong"/>
              </w:rPr>
            </w:pPr>
            <w:r w:rsidRPr="0054775B">
              <w:rPr>
                <w:rStyle w:val="Strong"/>
                <w:b w:val="0"/>
                <w:bCs w:val="0"/>
              </w:rPr>
              <w:t>Patient or population:</w:t>
            </w:r>
            <w:r w:rsidRPr="0054775B">
              <w:rPr>
                <w:rStyle w:val="Strong"/>
              </w:rPr>
              <w:t xml:space="preserve"> At risk of depression (including postnatal)</w:t>
            </w:r>
          </w:p>
          <w:p w14:paraId="60AD02E3" w14:textId="38F0282A" w:rsidR="00DA462B" w:rsidRPr="0054775B" w:rsidRDefault="00DA462B">
            <w:pPr>
              <w:pStyle w:val="2024TABLETEXT"/>
              <w:framePr w:hSpace="0" w:wrap="auto" w:vAnchor="margin" w:yAlign="inline"/>
              <w:suppressOverlap w:val="0"/>
              <w:rPr>
                <w:rStyle w:val="Strong"/>
              </w:rPr>
            </w:pPr>
            <w:r w:rsidRPr="0054775B">
              <w:rPr>
                <w:rStyle w:val="Strong"/>
                <w:b w:val="0"/>
                <w:bCs w:val="0"/>
              </w:rPr>
              <w:t>Intervention:</w:t>
            </w:r>
            <w:r w:rsidRPr="0054775B">
              <w:rPr>
                <w:rStyle w:val="Strong"/>
              </w:rPr>
              <w:t xml:space="preserve"> Omega-3</w:t>
            </w:r>
            <w:r w:rsidR="00AE3138">
              <w:rPr>
                <w:rStyle w:val="Strong"/>
              </w:rPr>
              <w:t xml:space="preserve"> </w:t>
            </w:r>
            <w:r w:rsidR="00AE3138">
              <w:t>fatty acids</w:t>
            </w:r>
          </w:p>
          <w:p w14:paraId="6854B812" w14:textId="77777777" w:rsidR="00DA462B" w:rsidRPr="0054775B" w:rsidRDefault="00DA462B">
            <w:pPr>
              <w:pStyle w:val="2024TABLETEXT"/>
              <w:framePr w:hSpace="0" w:wrap="auto" w:vAnchor="margin" w:yAlign="inline"/>
              <w:suppressOverlap w:val="0"/>
            </w:pPr>
            <w:r w:rsidRPr="0054775B">
              <w:rPr>
                <w:rStyle w:val="Strong"/>
                <w:b w:val="0"/>
                <w:bCs w:val="0"/>
              </w:rPr>
              <w:t>Comparison:</w:t>
            </w:r>
            <w:r w:rsidRPr="0054775B">
              <w:rPr>
                <w:rStyle w:val="Strong"/>
              </w:rPr>
              <w:t xml:space="preserve"> Placebo</w:t>
            </w:r>
          </w:p>
        </w:tc>
      </w:tr>
      <w:tr w:rsidR="007F5FA5" w:rsidRPr="0054775B" w14:paraId="4BD6C84F" w14:textId="77777777" w:rsidTr="007F5FA5">
        <w:trPr>
          <w:cantSplit/>
          <w:trHeight w:val="916"/>
        </w:trPr>
        <w:tc>
          <w:tcPr>
            <w:tcW w:w="300" w:type="pct"/>
            <w:tcBorders>
              <w:right w:val="single" w:sz="6" w:space="0" w:color="EFEFEF"/>
            </w:tcBorders>
            <w:shd w:val="clear" w:color="auto" w:fill="FFE599" w:themeFill="accent4" w:themeFillTint="66"/>
            <w:vAlign w:val="bottom"/>
          </w:tcPr>
          <w:p w14:paraId="018319C3" w14:textId="77777777" w:rsidR="00DA462B" w:rsidRPr="0054775B" w:rsidRDefault="00DA462B">
            <w:pPr>
              <w:pStyle w:val="2024TABLEHEADER"/>
            </w:pPr>
            <w:r w:rsidRPr="0054775B">
              <w:t>NTWC Rating*</w:t>
            </w:r>
          </w:p>
        </w:tc>
        <w:tc>
          <w:tcPr>
            <w:tcW w:w="1549" w:type="pct"/>
            <w:tcBorders>
              <w:right w:val="single" w:sz="6" w:space="0" w:color="EFEFEF"/>
            </w:tcBorders>
            <w:shd w:val="clear" w:color="auto" w:fill="FFE599" w:themeFill="accent4" w:themeFillTint="66"/>
            <w:vAlign w:val="bottom"/>
            <w:hideMark/>
          </w:tcPr>
          <w:p w14:paraId="1D7FFB19" w14:textId="77777777" w:rsidR="00DA462B" w:rsidRPr="0054775B" w:rsidRDefault="00DA462B">
            <w:pPr>
              <w:pStyle w:val="2024TABLEHEADER"/>
            </w:pPr>
            <w:r w:rsidRPr="0054775B">
              <w:t>Outcomes</w:t>
            </w:r>
          </w:p>
        </w:tc>
        <w:tc>
          <w:tcPr>
            <w:tcW w:w="450" w:type="pct"/>
            <w:shd w:val="clear" w:color="auto" w:fill="FFF2CC" w:themeFill="accent4" w:themeFillTint="33"/>
            <w:vAlign w:val="bottom"/>
          </w:tcPr>
          <w:p w14:paraId="3C72C58A" w14:textId="7592EF5D" w:rsidR="00DA462B" w:rsidRPr="0054775B" w:rsidRDefault="00761AFF">
            <w:pPr>
              <w:pStyle w:val="2024TABLEHEADER"/>
            </w:pPr>
            <w:r w:rsidRPr="0054775B">
              <w:t>Contributing review</w:t>
            </w:r>
          </w:p>
        </w:tc>
        <w:tc>
          <w:tcPr>
            <w:tcW w:w="399" w:type="pct"/>
            <w:tcBorders>
              <w:top w:val="single" w:sz="6" w:space="0" w:color="EFEFEF"/>
              <w:right w:val="single" w:sz="6" w:space="0" w:color="EFEFEF"/>
            </w:tcBorders>
            <w:shd w:val="clear" w:color="auto" w:fill="E0E0E0"/>
            <w:vAlign w:val="bottom"/>
          </w:tcPr>
          <w:p w14:paraId="1A11135B" w14:textId="77777777" w:rsidR="00DA462B" w:rsidRPr="0054775B" w:rsidRDefault="00DA462B">
            <w:pPr>
              <w:pStyle w:val="2024TABLEHEADER"/>
            </w:pPr>
            <w:r w:rsidRPr="0054775B">
              <w:t>Relative effect</w:t>
            </w:r>
            <w:r w:rsidRPr="0054775B">
              <w:br/>
              <w:t>(95% CI)</w:t>
            </w:r>
          </w:p>
        </w:tc>
        <w:tc>
          <w:tcPr>
            <w:tcW w:w="450" w:type="pct"/>
            <w:tcBorders>
              <w:right w:val="single" w:sz="6" w:space="0" w:color="EFEFEF"/>
            </w:tcBorders>
            <w:shd w:val="clear" w:color="auto" w:fill="FFE599" w:themeFill="accent4" w:themeFillTint="66"/>
            <w:vAlign w:val="bottom"/>
            <w:hideMark/>
          </w:tcPr>
          <w:p w14:paraId="1C2043D5" w14:textId="77777777" w:rsidR="00DA462B" w:rsidRPr="0054775B" w:rsidRDefault="00DA462B">
            <w:pPr>
              <w:pStyle w:val="2024TABLEHEADER"/>
            </w:pPr>
            <w:r w:rsidRPr="0054775B">
              <w:t>№ of participants</w:t>
            </w:r>
            <w:r w:rsidRPr="0054775B">
              <w:br/>
              <w:t>(studies)</w:t>
            </w:r>
          </w:p>
        </w:tc>
        <w:tc>
          <w:tcPr>
            <w:tcW w:w="449" w:type="pct"/>
            <w:tcBorders>
              <w:right w:val="single" w:sz="6" w:space="0" w:color="EFEFEF"/>
            </w:tcBorders>
            <w:shd w:val="clear" w:color="auto" w:fill="FFE599" w:themeFill="accent4" w:themeFillTint="66"/>
            <w:vAlign w:val="bottom"/>
            <w:hideMark/>
          </w:tcPr>
          <w:p w14:paraId="1CD6F795" w14:textId="77777777" w:rsidR="00DA462B" w:rsidRPr="0054775B" w:rsidRDefault="00DA462B">
            <w:pPr>
              <w:pStyle w:val="2024TABLEHEADER"/>
            </w:pPr>
            <w:r w:rsidRPr="0054775B">
              <w:t>Certainty of the evidence</w:t>
            </w:r>
            <w:r w:rsidRPr="0054775B">
              <w:br/>
              <w:t>(GRADE)</w:t>
            </w:r>
          </w:p>
        </w:tc>
        <w:tc>
          <w:tcPr>
            <w:tcW w:w="1403" w:type="pct"/>
            <w:gridSpan w:val="2"/>
            <w:tcBorders>
              <w:right w:val="single" w:sz="6" w:space="0" w:color="EFEFEF"/>
            </w:tcBorders>
            <w:shd w:val="clear" w:color="auto" w:fill="FFE599" w:themeFill="accent4" w:themeFillTint="66"/>
            <w:vAlign w:val="bottom"/>
            <w:hideMark/>
          </w:tcPr>
          <w:p w14:paraId="7DE4C141" w14:textId="77777777" w:rsidR="00DA462B" w:rsidRPr="0054775B" w:rsidRDefault="00DA462B">
            <w:pPr>
              <w:pStyle w:val="2024TABLEHEADER"/>
            </w:pPr>
            <w:r w:rsidRPr="0054775B">
              <w:t>Evidence statement</w:t>
            </w:r>
          </w:p>
        </w:tc>
      </w:tr>
      <w:tr w:rsidR="00DA462B" w:rsidRPr="0054775B" w14:paraId="33D1415D" w14:textId="77777777" w:rsidTr="00761AFF">
        <w:trPr>
          <w:cantSplit/>
        </w:trPr>
        <w:tc>
          <w:tcPr>
            <w:tcW w:w="300" w:type="pct"/>
            <w:vMerge w:val="restart"/>
            <w:tcBorders>
              <w:top w:val="single" w:sz="6" w:space="0" w:color="000000"/>
              <w:left w:val="nil"/>
              <w:right w:val="nil"/>
            </w:tcBorders>
            <w:vAlign w:val="center"/>
          </w:tcPr>
          <w:p w14:paraId="16B35E1E" w14:textId="77777777" w:rsidR="00DA462B" w:rsidRPr="0054775B" w:rsidRDefault="00DA462B" w:rsidP="00761AFF">
            <w:pPr>
              <w:pStyle w:val="2024TABLETEXT"/>
              <w:framePr w:hSpace="0" w:wrap="auto" w:vAnchor="margin" w:yAlign="inline"/>
              <w:suppressOverlap w:val="0"/>
              <w:jc w:val="center"/>
            </w:pPr>
            <w:r w:rsidRPr="0054775B">
              <w:t>9</w:t>
            </w:r>
          </w:p>
        </w:tc>
        <w:tc>
          <w:tcPr>
            <w:tcW w:w="4700" w:type="pct"/>
            <w:gridSpan w:val="7"/>
            <w:tcBorders>
              <w:top w:val="single" w:sz="6" w:space="0" w:color="000000"/>
              <w:left w:val="nil"/>
              <w:bottom w:val="single" w:sz="6" w:space="0" w:color="000000"/>
              <w:right w:val="nil"/>
            </w:tcBorders>
            <w:vAlign w:val="center"/>
          </w:tcPr>
          <w:p w14:paraId="7103A4AC" w14:textId="786E2CE9" w:rsidR="00DA462B" w:rsidRPr="0054775B" w:rsidRDefault="00761AFF">
            <w:pPr>
              <w:pStyle w:val="2024TABLETEXT"/>
              <w:framePr w:hSpace="0" w:wrap="auto" w:vAnchor="margin" w:yAlign="inline"/>
              <w:suppressOverlap w:val="0"/>
            </w:pPr>
            <w:r w:rsidRPr="0054775B">
              <w:rPr>
                <w:b/>
                <w:bCs/>
              </w:rPr>
              <w:t>Depression-related emotional functioning/mental health burden</w:t>
            </w:r>
          </w:p>
        </w:tc>
      </w:tr>
      <w:tr w:rsidR="00CA696B" w:rsidRPr="0054775B" w14:paraId="182E3734" w14:textId="77777777" w:rsidTr="007F5FA5">
        <w:trPr>
          <w:cantSplit/>
        </w:trPr>
        <w:tc>
          <w:tcPr>
            <w:tcW w:w="300" w:type="pct"/>
            <w:vMerge/>
            <w:tcBorders>
              <w:left w:val="nil"/>
              <w:bottom w:val="single" w:sz="6" w:space="0" w:color="000000"/>
              <w:right w:val="nil"/>
            </w:tcBorders>
            <w:vAlign w:val="center"/>
          </w:tcPr>
          <w:p w14:paraId="52232879" w14:textId="77777777" w:rsidR="00DA462B" w:rsidRPr="0054775B" w:rsidRDefault="00DA462B" w:rsidP="00761AFF">
            <w:pPr>
              <w:pStyle w:val="2024TABLETEXT"/>
              <w:framePr w:hSpace="0" w:wrap="auto" w:vAnchor="margin" w:yAlign="inline"/>
              <w:suppressOverlap w:val="0"/>
              <w:jc w:val="center"/>
            </w:pPr>
          </w:p>
        </w:tc>
        <w:tc>
          <w:tcPr>
            <w:tcW w:w="1549" w:type="pct"/>
            <w:tcBorders>
              <w:top w:val="single" w:sz="6" w:space="0" w:color="000000"/>
              <w:left w:val="nil"/>
              <w:bottom w:val="single" w:sz="6" w:space="0" w:color="000000"/>
              <w:right w:val="nil"/>
            </w:tcBorders>
            <w:vAlign w:val="center"/>
          </w:tcPr>
          <w:p w14:paraId="29D48166" w14:textId="77777777" w:rsidR="00DA462B" w:rsidRPr="0054775B" w:rsidRDefault="00DA462B">
            <w:pPr>
              <w:pStyle w:val="2024TABLETEXT"/>
              <w:framePr w:hSpace="0" w:wrap="auto" w:vAnchor="margin" w:yAlign="inline"/>
              <w:spacing w:after="120"/>
              <w:ind w:left="363"/>
              <w:suppressOverlap w:val="0"/>
              <w:rPr>
                <w:b/>
                <w:bCs/>
              </w:rPr>
            </w:pPr>
            <w:r w:rsidRPr="0054775B">
              <w:rPr>
                <w:b/>
                <w:bCs/>
              </w:rPr>
              <w:t>Depressive symptomology (continuous)</w:t>
            </w:r>
          </w:p>
          <w:p w14:paraId="7E756FE6" w14:textId="2CD0661E" w:rsidR="008C650A" w:rsidRPr="0054775B" w:rsidRDefault="008C650A">
            <w:pPr>
              <w:pStyle w:val="2024TABLETEXT"/>
              <w:framePr w:hSpace="0" w:wrap="auto" w:vAnchor="margin" w:yAlign="inline"/>
              <w:ind w:left="639"/>
              <w:suppressOverlap w:val="0"/>
              <w:rPr>
                <w:b/>
                <w:bCs/>
              </w:rPr>
            </w:pPr>
            <w:r w:rsidRPr="0054775B">
              <w:rPr>
                <w:b/>
                <w:bCs/>
              </w:rPr>
              <w:t xml:space="preserve">Population: </w:t>
            </w:r>
            <w:r w:rsidR="00C375C3" w:rsidRPr="0054775B">
              <w:t>Pregnant women without</w:t>
            </w:r>
            <w:r w:rsidR="00C375C3" w:rsidRPr="0054775B">
              <w:rPr>
                <w:b/>
                <w:bCs/>
              </w:rPr>
              <w:t xml:space="preserve"> </w:t>
            </w:r>
            <w:r w:rsidRPr="0054775B">
              <w:t>MDD</w:t>
            </w:r>
          </w:p>
          <w:p w14:paraId="5874FEEB" w14:textId="03AF7DB0" w:rsidR="00DA462B" w:rsidRPr="0054775B" w:rsidRDefault="00DA462B">
            <w:pPr>
              <w:pStyle w:val="2024TABLETEXT"/>
              <w:framePr w:hSpace="0" w:wrap="auto" w:vAnchor="margin" w:yAlign="inline"/>
              <w:ind w:left="639"/>
              <w:suppressOverlap w:val="0"/>
              <w:rPr>
                <w:b/>
                <w:bCs/>
              </w:rPr>
            </w:pPr>
            <w:r w:rsidRPr="0054775B">
              <w:rPr>
                <w:b/>
                <w:bCs/>
              </w:rPr>
              <w:t xml:space="preserve">Condition: </w:t>
            </w:r>
            <w:r w:rsidRPr="0054775B">
              <w:t>Perinatal depression</w:t>
            </w:r>
          </w:p>
          <w:p w14:paraId="1B64678C" w14:textId="2ED1BA3A" w:rsidR="00DA462B" w:rsidRPr="0054775B" w:rsidRDefault="00DA462B">
            <w:pPr>
              <w:pStyle w:val="2024TABLETEXT"/>
              <w:framePr w:hSpace="0" w:wrap="auto" w:vAnchor="margin" w:yAlign="inline"/>
              <w:ind w:left="639"/>
              <w:suppressOverlap w:val="0"/>
            </w:pPr>
            <w:r w:rsidRPr="0054775B">
              <w:rPr>
                <w:b/>
                <w:bCs/>
              </w:rPr>
              <w:t>Dose:</w:t>
            </w:r>
            <w:r w:rsidRPr="0054775B">
              <w:t xml:space="preserve"> </w:t>
            </w:r>
            <w:r w:rsidR="00B53141" w:rsidRPr="0054775B">
              <w:t>Range of combinations of DHA alone, or DHA + EPA</w:t>
            </w:r>
          </w:p>
          <w:p w14:paraId="75E52818" w14:textId="076F7945" w:rsidR="00DA462B" w:rsidRPr="0054775B" w:rsidRDefault="00DA462B">
            <w:pPr>
              <w:pStyle w:val="2024TABLETEXT"/>
              <w:framePr w:hSpace="0" w:wrap="auto" w:vAnchor="margin" w:yAlign="inline"/>
              <w:ind w:left="639"/>
              <w:suppressOverlap w:val="0"/>
            </w:pPr>
            <w:r w:rsidRPr="0054775B">
              <w:rPr>
                <w:b/>
                <w:bCs/>
              </w:rPr>
              <w:t>Assessed with:</w:t>
            </w:r>
            <w:r w:rsidRPr="0054775B">
              <w:t xml:space="preserve"> </w:t>
            </w:r>
            <w:r w:rsidR="00995A96" w:rsidRPr="0054775B">
              <w:t>BDI, EPDS, PDSS, CES-D, HAMD, MINI</w:t>
            </w:r>
          </w:p>
          <w:p w14:paraId="7340106F" w14:textId="13EE3BCF" w:rsidR="00DA462B" w:rsidRPr="0054775B" w:rsidRDefault="00DA462B">
            <w:pPr>
              <w:pStyle w:val="2024TABLETEXT"/>
              <w:framePr w:hSpace="0" w:wrap="auto" w:vAnchor="margin" w:yAlign="inline"/>
              <w:ind w:left="639"/>
              <w:suppressOverlap w:val="0"/>
              <w:rPr>
                <w:b/>
                <w:bCs/>
              </w:rPr>
            </w:pPr>
            <w:r w:rsidRPr="0054775B">
              <w:rPr>
                <w:b/>
                <w:bCs/>
                <w:color w:val="000000" w:themeColor="text1"/>
              </w:rPr>
              <w:t xml:space="preserve">Follow up: </w:t>
            </w:r>
            <w:r w:rsidR="00B53141" w:rsidRPr="0054775B">
              <w:rPr>
                <w:color w:val="000000" w:themeColor="text1"/>
              </w:rPr>
              <w:t>6-16 weeks</w:t>
            </w:r>
          </w:p>
        </w:tc>
        <w:tc>
          <w:tcPr>
            <w:tcW w:w="450" w:type="pct"/>
            <w:tcBorders>
              <w:top w:val="single" w:sz="6" w:space="0" w:color="000000"/>
              <w:left w:val="nil"/>
              <w:bottom w:val="single" w:sz="6" w:space="0" w:color="000000"/>
              <w:right w:val="nil"/>
            </w:tcBorders>
            <w:vAlign w:val="center"/>
          </w:tcPr>
          <w:p w14:paraId="7B5E9D6F" w14:textId="0FC653FC" w:rsidR="00DA462B" w:rsidRPr="0054775B" w:rsidRDefault="00761AFF">
            <w:pPr>
              <w:pStyle w:val="2024TABLETEXT"/>
              <w:framePr w:hSpace="0" w:wrap="auto" w:vAnchor="margin" w:yAlign="inline"/>
              <w:suppressOverlap w:val="0"/>
            </w:pPr>
            <w:r w:rsidRPr="0054775B">
              <w:t>Suradom 2021</w:t>
            </w:r>
          </w:p>
        </w:tc>
        <w:tc>
          <w:tcPr>
            <w:tcW w:w="399" w:type="pct"/>
            <w:tcBorders>
              <w:top w:val="single" w:sz="6" w:space="0" w:color="000000"/>
              <w:left w:val="nil"/>
              <w:bottom w:val="single" w:sz="6" w:space="0" w:color="000000"/>
              <w:right w:val="nil"/>
            </w:tcBorders>
            <w:shd w:val="clear" w:color="auto" w:fill="auto"/>
            <w:vAlign w:val="center"/>
          </w:tcPr>
          <w:p w14:paraId="77CAA827" w14:textId="5FBE8F74" w:rsidR="00DA462B" w:rsidRPr="0054775B" w:rsidRDefault="00DA462B">
            <w:pPr>
              <w:pStyle w:val="2024TABLETEXT"/>
              <w:framePr w:hSpace="0" w:wrap="auto" w:vAnchor="margin" w:yAlign="inline"/>
              <w:suppressOverlap w:val="0"/>
            </w:pPr>
            <w:r w:rsidRPr="0054775B">
              <w:t xml:space="preserve">SMD = </w:t>
            </w:r>
            <w:r w:rsidR="00EC791A" w:rsidRPr="0054775B">
              <w:t>−</w:t>
            </w:r>
            <w:r w:rsidRPr="0054775B">
              <w:t>0.</w:t>
            </w:r>
            <w:r w:rsidR="00B346F0" w:rsidRPr="0054775B">
              <w:t>03 (</w:t>
            </w:r>
            <w:r w:rsidR="007F5FA5" w:rsidRPr="0054775B">
              <w:t>−</w:t>
            </w:r>
            <w:r w:rsidRPr="0054775B">
              <w:t>0.</w:t>
            </w:r>
            <w:r w:rsidR="00B346F0" w:rsidRPr="0054775B">
              <w:t>20 to</w:t>
            </w:r>
            <w:r w:rsidR="004766E5" w:rsidRPr="0054775B">
              <w:t xml:space="preserve"> 0.</w:t>
            </w:r>
            <w:r w:rsidR="00B346F0" w:rsidRPr="0054775B">
              <w:t>13</w:t>
            </w:r>
            <w:r w:rsidRPr="0054775B">
              <w:t>)</w:t>
            </w:r>
            <w:r w:rsidR="00F22445">
              <w:t>^</w:t>
            </w:r>
          </w:p>
        </w:tc>
        <w:tc>
          <w:tcPr>
            <w:tcW w:w="450" w:type="pct"/>
            <w:tcBorders>
              <w:top w:val="single" w:sz="6" w:space="0" w:color="000000"/>
              <w:left w:val="nil"/>
              <w:bottom w:val="single" w:sz="6" w:space="0" w:color="000000"/>
              <w:right w:val="nil"/>
            </w:tcBorders>
            <w:vAlign w:val="center"/>
          </w:tcPr>
          <w:p w14:paraId="34A1D189" w14:textId="15F2B1C0" w:rsidR="00DA462B" w:rsidRPr="0054775B" w:rsidRDefault="0098460B">
            <w:pPr>
              <w:pStyle w:val="2024TABLETEXT"/>
              <w:framePr w:hSpace="0" w:wrap="auto" w:vAnchor="margin" w:yAlign="inline"/>
              <w:suppressOverlap w:val="0"/>
            </w:pPr>
            <w:r w:rsidRPr="0054775B">
              <w:t>779</w:t>
            </w:r>
            <w:r w:rsidR="00DA462B" w:rsidRPr="0054775B">
              <w:t xml:space="preserve"> (</w:t>
            </w:r>
            <w:r w:rsidRPr="0054775B">
              <w:t xml:space="preserve">10 comparisons in </w:t>
            </w:r>
            <w:r w:rsidR="00514F1B" w:rsidRPr="0054775B">
              <w:t>8</w:t>
            </w:r>
            <w:r w:rsidRPr="0054775B">
              <w:t xml:space="preserve"> studies</w:t>
            </w:r>
            <w:r w:rsidR="00DA462B" w:rsidRPr="0054775B">
              <w:t>)</w:t>
            </w:r>
          </w:p>
        </w:tc>
        <w:tc>
          <w:tcPr>
            <w:tcW w:w="449" w:type="pct"/>
            <w:tcBorders>
              <w:top w:val="single" w:sz="6" w:space="0" w:color="000000"/>
              <w:left w:val="nil"/>
              <w:bottom w:val="single" w:sz="6" w:space="0" w:color="000000"/>
              <w:right w:val="nil"/>
            </w:tcBorders>
            <w:vAlign w:val="center"/>
          </w:tcPr>
          <w:p w14:paraId="3EF047DE" w14:textId="06706938" w:rsidR="00DA462B" w:rsidRPr="0054775B" w:rsidRDefault="00606794">
            <w:pPr>
              <w:pStyle w:val="2024TABLETEXT"/>
              <w:framePr w:hSpace="0" w:wrap="auto" w:vAnchor="margin" w:yAlign="inline"/>
              <w:suppressOverlap w:val="0"/>
              <w:rPr>
                <w:rFonts w:cs="Cambria Math"/>
                <w:sz w:val="22"/>
                <w:szCs w:val="22"/>
              </w:rPr>
            </w:pPr>
            <w:r w:rsidRPr="0054775B">
              <w:rPr>
                <w:rFonts w:ascii="Cambria Math" w:hAnsi="Cambria Math" w:cs="Cambria Math"/>
                <w:sz w:val="22"/>
                <w:szCs w:val="22"/>
              </w:rPr>
              <w:t>⨁⨁</w:t>
            </w:r>
            <w:r w:rsidR="007F5FA5" w:rsidRPr="0054775B">
              <w:rPr>
                <w:rFonts w:ascii="Cambria Math" w:hAnsi="Cambria Math" w:cs="Cambria Math"/>
                <w:sz w:val="22"/>
                <w:szCs w:val="22"/>
              </w:rPr>
              <w:t>⨁</w:t>
            </w:r>
            <w:r w:rsidR="00E71C44" w:rsidRPr="0054775B" w:rsidDel="007F5FA5">
              <w:rPr>
                <w:rFonts w:ascii="Segoe UI Symbol" w:hAnsi="Segoe UI Symbol" w:cs="Segoe UI Symbol"/>
              </w:rPr>
              <w:t>◯</w:t>
            </w:r>
            <w:r w:rsidRPr="0054775B">
              <w:br/>
            </w:r>
            <w:r w:rsidR="007F5FA5">
              <w:t>MODERATE</w:t>
            </w:r>
            <w:r w:rsidR="007F5FA5" w:rsidRPr="0054775B">
              <w:rPr>
                <w:rStyle w:val="FootnoteReference"/>
              </w:rPr>
              <w:t xml:space="preserve"> </w:t>
            </w:r>
            <w:r w:rsidRPr="0054775B">
              <w:rPr>
                <w:vertAlign w:val="superscript"/>
              </w:rPr>
              <w:t>a</w:t>
            </w:r>
          </w:p>
        </w:tc>
        <w:tc>
          <w:tcPr>
            <w:tcW w:w="1403" w:type="pct"/>
            <w:gridSpan w:val="2"/>
            <w:tcBorders>
              <w:top w:val="single" w:sz="6" w:space="0" w:color="000000"/>
              <w:left w:val="nil"/>
              <w:bottom w:val="single" w:sz="6" w:space="0" w:color="000000"/>
              <w:right w:val="nil"/>
            </w:tcBorders>
            <w:vAlign w:val="center"/>
          </w:tcPr>
          <w:p w14:paraId="2301D3FC" w14:textId="31786AE6" w:rsidR="00DA462B" w:rsidRPr="0054775B" w:rsidRDefault="00471A63">
            <w:pPr>
              <w:pStyle w:val="2024TABLETEXT"/>
              <w:framePr w:hSpace="0" w:wrap="auto" w:vAnchor="margin" w:yAlign="inline"/>
              <w:suppressOverlap w:val="0"/>
            </w:pPr>
            <w:r w:rsidRPr="00471A63">
              <w:t xml:space="preserve">Omega-3 </w:t>
            </w:r>
            <w:r w:rsidR="00AE3138">
              <w:t xml:space="preserve">fatty acids </w:t>
            </w:r>
            <w:r w:rsidRPr="00471A63">
              <w:t xml:space="preserve">probably results in little no difference in depression-related emotional functioning/ mental health burden for people at risk of </w:t>
            </w:r>
            <w:r>
              <w:t xml:space="preserve">perinatal </w:t>
            </w:r>
            <w:r w:rsidRPr="00471A63">
              <w:t>depression.</w:t>
            </w:r>
          </w:p>
        </w:tc>
      </w:tr>
      <w:tr w:rsidR="00CC1980" w:rsidRPr="0054775B" w14:paraId="58A66669" w14:textId="77777777" w:rsidTr="007F5FA5">
        <w:trPr>
          <w:cantSplit/>
          <w:trHeight w:val="115"/>
        </w:trPr>
        <w:tc>
          <w:tcPr>
            <w:tcW w:w="300" w:type="pct"/>
            <w:tcBorders>
              <w:top w:val="single" w:sz="6" w:space="0" w:color="000000"/>
              <w:left w:val="nil"/>
              <w:bottom w:val="single" w:sz="6" w:space="0" w:color="000000"/>
              <w:right w:val="nil"/>
            </w:tcBorders>
            <w:vAlign w:val="center"/>
          </w:tcPr>
          <w:p w14:paraId="407AB017" w14:textId="77777777" w:rsidR="00DA462B" w:rsidRPr="0054775B" w:rsidRDefault="00DA462B" w:rsidP="00761AFF">
            <w:pPr>
              <w:pStyle w:val="2024TABLETEXT"/>
              <w:framePr w:hSpace="0" w:wrap="auto" w:vAnchor="margin" w:yAlign="inline"/>
              <w:suppressOverlap w:val="0"/>
              <w:jc w:val="center"/>
            </w:pPr>
            <w:r w:rsidRPr="0054775B">
              <w:t>9</w:t>
            </w:r>
          </w:p>
        </w:tc>
        <w:tc>
          <w:tcPr>
            <w:tcW w:w="1549" w:type="pct"/>
            <w:tcBorders>
              <w:top w:val="single" w:sz="6" w:space="0" w:color="000000"/>
              <w:left w:val="nil"/>
              <w:bottom w:val="single" w:sz="6" w:space="0" w:color="000000"/>
              <w:right w:val="nil"/>
            </w:tcBorders>
            <w:vAlign w:val="center"/>
          </w:tcPr>
          <w:p w14:paraId="3DC22976" w14:textId="77777777" w:rsidR="00DA462B" w:rsidRPr="0054775B" w:rsidRDefault="00DA462B">
            <w:pPr>
              <w:pStyle w:val="2024TABLETEXT"/>
              <w:framePr w:hSpace="0" w:wrap="auto" w:vAnchor="margin" w:yAlign="inline"/>
              <w:suppressOverlap w:val="0"/>
              <w:rPr>
                <w:b/>
                <w:bCs/>
              </w:rPr>
            </w:pPr>
            <w:r w:rsidRPr="0054775B">
              <w:rPr>
                <w:b/>
                <w:bCs/>
              </w:rPr>
              <w:t>Improvement in clinical levels of depression (including post-natal depression)</w:t>
            </w:r>
          </w:p>
        </w:tc>
        <w:tc>
          <w:tcPr>
            <w:tcW w:w="450" w:type="pct"/>
            <w:tcBorders>
              <w:top w:val="single" w:sz="6" w:space="0" w:color="000000"/>
              <w:left w:val="nil"/>
              <w:bottom w:val="single" w:sz="6" w:space="0" w:color="000000"/>
              <w:right w:val="nil"/>
            </w:tcBorders>
            <w:vAlign w:val="center"/>
          </w:tcPr>
          <w:p w14:paraId="06AF25E4" w14:textId="3E3C15DC" w:rsidR="00DA462B" w:rsidRPr="0054775B" w:rsidRDefault="00761AFF">
            <w:pPr>
              <w:pStyle w:val="2024TABLETEXT"/>
              <w:framePr w:hSpace="0" w:wrap="auto" w:vAnchor="margin" w:yAlign="inline"/>
              <w:suppressOverlap w:val="0"/>
            </w:pPr>
            <w:r w:rsidRPr="0054775B">
              <w:t>-</w:t>
            </w:r>
          </w:p>
        </w:tc>
        <w:tc>
          <w:tcPr>
            <w:tcW w:w="399" w:type="pct"/>
            <w:tcBorders>
              <w:top w:val="single" w:sz="6" w:space="0" w:color="000000"/>
              <w:left w:val="nil"/>
              <w:bottom w:val="single" w:sz="6" w:space="0" w:color="000000"/>
              <w:right w:val="nil"/>
            </w:tcBorders>
            <w:shd w:val="clear" w:color="auto" w:fill="auto"/>
            <w:vAlign w:val="center"/>
          </w:tcPr>
          <w:p w14:paraId="084D3F46" w14:textId="2B99737B" w:rsidR="00DA462B" w:rsidRPr="0054775B" w:rsidRDefault="00761AFF">
            <w:pPr>
              <w:pStyle w:val="2024TABLETEXT"/>
              <w:framePr w:hSpace="0" w:wrap="auto" w:vAnchor="margin" w:yAlign="inline"/>
              <w:suppressOverlap w:val="0"/>
            </w:pPr>
            <w:r w:rsidRPr="0054775B">
              <w:t>-</w:t>
            </w:r>
          </w:p>
        </w:tc>
        <w:tc>
          <w:tcPr>
            <w:tcW w:w="450" w:type="pct"/>
            <w:tcBorders>
              <w:top w:val="single" w:sz="6" w:space="0" w:color="000000"/>
              <w:left w:val="nil"/>
              <w:bottom w:val="single" w:sz="6" w:space="0" w:color="000000"/>
              <w:right w:val="nil"/>
            </w:tcBorders>
            <w:vAlign w:val="center"/>
          </w:tcPr>
          <w:p w14:paraId="168110B0" w14:textId="473EFCEF" w:rsidR="00DA462B" w:rsidRPr="0054775B" w:rsidRDefault="00761AFF">
            <w:pPr>
              <w:pStyle w:val="2024TABLETEXT"/>
              <w:framePr w:hSpace="0" w:wrap="auto" w:vAnchor="margin" w:yAlign="inline"/>
              <w:suppressOverlap w:val="0"/>
            </w:pPr>
            <w:r w:rsidRPr="0054775B">
              <w:t>-</w:t>
            </w:r>
          </w:p>
        </w:tc>
        <w:tc>
          <w:tcPr>
            <w:tcW w:w="449" w:type="pct"/>
            <w:tcBorders>
              <w:top w:val="single" w:sz="6" w:space="0" w:color="000000"/>
              <w:left w:val="nil"/>
              <w:bottom w:val="single" w:sz="6" w:space="0" w:color="000000"/>
              <w:right w:val="nil"/>
            </w:tcBorders>
            <w:vAlign w:val="center"/>
          </w:tcPr>
          <w:p w14:paraId="7069E283" w14:textId="567A33AA" w:rsidR="00DA462B" w:rsidRPr="0054775B" w:rsidRDefault="00761AFF">
            <w:pPr>
              <w:pStyle w:val="2024TABLETEXT"/>
              <w:framePr w:hSpace="0" w:wrap="auto" w:vAnchor="margin" w:yAlign="inline"/>
              <w:suppressOverlap w:val="0"/>
            </w:pPr>
            <w:r w:rsidRPr="0054775B">
              <w:t>-</w:t>
            </w:r>
          </w:p>
        </w:tc>
        <w:tc>
          <w:tcPr>
            <w:tcW w:w="1403" w:type="pct"/>
            <w:gridSpan w:val="2"/>
            <w:tcBorders>
              <w:top w:val="single" w:sz="6" w:space="0" w:color="000000"/>
              <w:left w:val="nil"/>
              <w:bottom w:val="single" w:sz="6" w:space="0" w:color="000000"/>
              <w:right w:val="nil"/>
            </w:tcBorders>
            <w:vAlign w:val="center"/>
          </w:tcPr>
          <w:p w14:paraId="2923ACBC" w14:textId="64D1651A" w:rsidR="00DA462B" w:rsidRPr="0054775B" w:rsidRDefault="00371E77">
            <w:pPr>
              <w:pStyle w:val="2024TABLETEXT"/>
              <w:framePr w:hSpace="0" w:wrap="auto" w:vAnchor="margin" w:yAlign="inline"/>
              <w:suppressOverlap w:val="0"/>
            </w:pPr>
            <w:r w:rsidRPr="0054775B">
              <w:t>No</w:t>
            </w:r>
            <w:r w:rsidRPr="0054775B" w:rsidDel="007F5FA5">
              <w:t xml:space="preserve"> </w:t>
            </w:r>
            <w:r w:rsidR="0029059B">
              <w:t>reviews</w:t>
            </w:r>
            <w:r w:rsidR="0029059B" w:rsidRPr="0054775B">
              <w:t xml:space="preserve"> </w:t>
            </w:r>
            <w:r w:rsidRPr="0054775B">
              <w:t>found. The effect of omega-3</w:t>
            </w:r>
            <w:r w:rsidR="00444421">
              <w:t xml:space="preserve"> fatty acids</w:t>
            </w:r>
            <w:r w:rsidRPr="0054775B">
              <w:t xml:space="preserve"> on </w:t>
            </w:r>
            <w:r w:rsidR="00761AFF" w:rsidRPr="0054775B">
              <w:t>improvement</w:t>
            </w:r>
            <w:r w:rsidRPr="0054775B">
              <w:t xml:space="preserve"> in clinical levels of depression</w:t>
            </w:r>
            <w:r w:rsidR="00750AC6" w:rsidRPr="0054775B">
              <w:t xml:space="preserve"> for people at risk of depression</w:t>
            </w:r>
            <w:r w:rsidRPr="0054775B">
              <w:t xml:space="preserve"> is unknown.</w:t>
            </w:r>
          </w:p>
        </w:tc>
      </w:tr>
      <w:tr w:rsidR="00CC1980" w:rsidRPr="0054775B" w14:paraId="5FB5C9F6" w14:textId="77777777" w:rsidTr="007F5FA5">
        <w:trPr>
          <w:cantSplit/>
        </w:trPr>
        <w:tc>
          <w:tcPr>
            <w:tcW w:w="300" w:type="pct"/>
            <w:tcBorders>
              <w:top w:val="single" w:sz="6" w:space="0" w:color="000000"/>
              <w:left w:val="nil"/>
              <w:bottom w:val="single" w:sz="6" w:space="0" w:color="000000"/>
              <w:right w:val="nil"/>
            </w:tcBorders>
            <w:vAlign w:val="center"/>
          </w:tcPr>
          <w:p w14:paraId="58B19E2C" w14:textId="77777777" w:rsidR="00DA462B" w:rsidRPr="0054775B" w:rsidRDefault="00DA462B" w:rsidP="00761AFF">
            <w:pPr>
              <w:pStyle w:val="2024TABLETEXT"/>
              <w:framePr w:hSpace="0" w:wrap="auto" w:vAnchor="margin" w:yAlign="inline"/>
              <w:suppressOverlap w:val="0"/>
              <w:jc w:val="center"/>
            </w:pPr>
            <w:r w:rsidRPr="0054775B">
              <w:t>8</w:t>
            </w:r>
          </w:p>
        </w:tc>
        <w:tc>
          <w:tcPr>
            <w:tcW w:w="1549" w:type="pct"/>
            <w:tcBorders>
              <w:top w:val="single" w:sz="6" w:space="0" w:color="000000"/>
              <w:left w:val="nil"/>
              <w:bottom w:val="single" w:sz="6" w:space="0" w:color="000000"/>
              <w:right w:val="nil"/>
            </w:tcBorders>
            <w:vAlign w:val="center"/>
          </w:tcPr>
          <w:p w14:paraId="310DF173" w14:textId="5B3D1279" w:rsidR="00DA462B" w:rsidRPr="0054775B" w:rsidRDefault="00761AFF">
            <w:pPr>
              <w:pStyle w:val="2024TABLETEXT"/>
              <w:framePr w:hSpace="0" w:wrap="auto" w:vAnchor="margin" w:yAlign="inline"/>
              <w:suppressOverlap w:val="0"/>
              <w:rPr>
                <w:b/>
              </w:rPr>
            </w:pPr>
            <w:r w:rsidRPr="0054775B">
              <w:rPr>
                <w:b/>
                <w:bCs/>
              </w:rPr>
              <w:t>Specific depression dimensions</w:t>
            </w:r>
          </w:p>
        </w:tc>
        <w:tc>
          <w:tcPr>
            <w:tcW w:w="450" w:type="pct"/>
            <w:tcBorders>
              <w:top w:val="single" w:sz="6" w:space="0" w:color="000000"/>
              <w:left w:val="nil"/>
              <w:bottom w:val="single" w:sz="6" w:space="0" w:color="000000"/>
              <w:right w:val="nil"/>
            </w:tcBorders>
            <w:vAlign w:val="center"/>
          </w:tcPr>
          <w:p w14:paraId="4AEB7024" w14:textId="678E5307" w:rsidR="00DA462B" w:rsidRPr="0054775B" w:rsidRDefault="00761AFF">
            <w:pPr>
              <w:pStyle w:val="2024TABLETEXT"/>
              <w:framePr w:hSpace="0" w:wrap="auto" w:vAnchor="margin" w:yAlign="inline"/>
              <w:suppressOverlap w:val="0"/>
            </w:pPr>
            <w:r w:rsidRPr="0054775B">
              <w:t>-</w:t>
            </w:r>
          </w:p>
        </w:tc>
        <w:tc>
          <w:tcPr>
            <w:tcW w:w="399" w:type="pct"/>
            <w:tcBorders>
              <w:top w:val="single" w:sz="6" w:space="0" w:color="000000"/>
              <w:left w:val="nil"/>
              <w:bottom w:val="single" w:sz="6" w:space="0" w:color="000000"/>
              <w:right w:val="nil"/>
            </w:tcBorders>
            <w:shd w:val="clear" w:color="auto" w:fill="auto"/>
            <w:vAlign w:val="center"/>
          </w:tcPr>
          <w:p w14:paraId="4539FF07" w14:textId="537C7EC8" w:rsidR="00DA462B" w:rsidRPr="0054775B" w:rsidRDefault="00761AFF">
            <w:pPr>
              <w:pStyle w:val="2024TABLETEXT"/>
              <w:framePr w:hSpace="0" w:wrap="auto" w:vAnchor="margin" w:yAlign="inline"/>
              <w:suppressOverlap w:val="0"/>
            </w:pPr>
            <w:r w:rsidRPr="0054775B">
              <w:t>-</w:t>
            </w:r>
          </w:p>
        </w:tc>
        <w:tc>
          <w:tcPr>
            <w:tcW w:w="450" w:type="pct"/>
            <w:tcBorders>
              <w:top w:val="single" w:sz="6" w:space="0" w:color="000000"/>
              <w:left w:val="nil"/>
              <w:bottom w:val="single" w:sz="6" w:space="0" w:color="000000"/>
              <w:right w:val="nil"/>
            </w:tcBorders>
            <w:vAlign w:val="center"/>
          </w:tcPr>
          <w:p w14:paraId="5CF9833D" w14:textId="291CEE9B" w:rsidR="00DA462B" w:rsidRPr="0054775B" w:rsidRDefault="00761AFF">
            <w:pPr>
              <w:pStyle w:val="2024TABLETEXT"/>
              <w:framePr w:hSpace="0" w:wrap="auto" w:vAnchor="margin" w:yAlign="inline"/>
              <w:suppressOverlap w:val="0"/>
            </w:pPr>
            <w:r w:rsidRPr="0054775B">
              <w:t>-</w:t>
            </w:r>
          </w:p>
        </w:tc>
        <w:tc>
          <w:tcPr>
            <w:tcW w:w="449" w:type="pct"/>
            <w:tcBorders>
              <w:top w:val="single" w:sz="6" w:space="0" w:color="000000"/>
              <w:left w:val="nil"/>
              <w:bottom w:val="single" w:sz="6" w:space="0" w:color="000000"/>
              <w:right w:val="nil"/>
            </w:tcBorders>
            <w:vAlign w:val="center"/>
          </w:tcPr>
          <w:p w14:paraId="6B2C90E0" w14:textId="55FA6EB9" w:rsidR="00DA462B" w:rsidRPr="0054775B" w:rsidRDefault="00761AFF">
            <w:pPr>
              <w:pStyle w:val="2024TABLETEXT"/>
              <w:framePr w:hSpace="0" w:wrap="auto" w:vAnchor="margin" w:yAlign="inline"/>
              <w:suppressOverlap w:val="0"/>
            </w:pPr>
            <w:r w:rsidRPr="0054775B">
              <w:t>-</w:t>
            </w:r>
          </w:p>
        </w:tc>
        <w:tc>
          <w:tcPr>
            <w:tcW w:w="1403" w:type="pct"/>
            <w:gridSpan w:val="2"/>
            <w:tcBorders>
              <w:top w:val="single" w:sz="6" w:space="0" w:color="000000"/>
              <w:left w:val="nil"/>
              <w:bottom w:val="single" w:sz="6" w:space="0" w:color="000000"/>
              <w:right w:val="nil"/>
            </w:tcBorders>
            <w:vAlign w:val="center"/>
          </w:tcPr>
          <w:p w14:paraId="27BED9C9" w14:textId="232A1D88" w:rsidR="00DA462B" w:rsidRPr="0054775B" w:rsidRDefault="00371E77">
            <w:pPr>
              <w:pStyle w:val="2024TABLETEXT"/>
              <w:framePr w:hSpace="0" w:wrap="auto" w:vAnchor="margin" w:yAlign="inline"/>
              <w:suppressOverlap w:val="0"/>
            </w:pPr>
            <w:r w:rsidRPr="0054775B">
              <w:t xml:space="preserve">No </w:t>
            </w:r>
            <w:r w:rsidR="0029059B">
              <w:t>reviews</w:t>
            </w:r>
            <w:r w:rsidR="0029059B" w:rsidRPr="0054775B">
              <w:t xml:space="preserve"> </w:t>
            </w:r>
            <w:r w:rsidRPr="0054775B">
              <w:t>found. The effect of omega-3</w:t>
            </w:r>
            <w:r w:rsidR="00444421">
              <w:t xml:space="preserve"> fatty acids</w:t>
            </w:r>
            <w:r w:rsidRPr="0054775B">
              <w:t xml:space="preserve"> on specific depression dimensions</w:t>
            </w:r>
            <w:r w:rsidR="00750AC6" w:rsidRPr="0054775B">
              <w:t xml:space="preserve"> for people at risk of depression </w:t>
            </w:r>
            <w:r w:rsidRPr="0054775B">
              <w:t>is unknown.</w:t>
            </w:r>
          </w:p>
        </w:tc>
      </w:tr>
      <w:tr w:rsidR="00CC1980" w:rsidRPr="0054775B" w14:paraId="38CE79C1" w14:textId="77777777" w:rsidTr="007F5FA5">
        <w:trPr>
          <w:cantSplit/>
        </w:trPr>
        <w:tc>
          <w:tcPr>
            <w:tcW w:w="300" w:type="pct"/>
            <w:tcBorders>
              <w:top w:val="single" w:sz="6" w:space="0" w:color="000000"/>
              <w:left w:val="nil"/>
              <w:bottom w:val="single" w:sz="6" w:space="0" w:color="000000"/>
              <w:right w:val="nil"/>
            </w:tcBorders>
            <w:vAlign w:val="center"/>
          </w:tcPr>
          <w:p w14:paraId="5C11C951" w14:textId="77777777" w:rsidR="00DA462B" w:rsidRPr="0054775B" w:rsidRDefault="00DA462B" w:rsidP="00761AFF">
            <w:pPr>
              <w:pStyle w:val="2024TABLETEXT"/>
              <w:framePr w:hSpace="0" w:wrap="auto" w:vAnchor="margin" w:yAlign="inline"/>
              <w:suppressOverlap w:val="0"/>
              <w:jc w:val="center"/>
            </w:pPr>
            <w:r w:rsidRPr="0054775B">
              <w:t>8</w:t>
            </w:r>
          </w:p>
        </w:tc>
        <w:tc>
          <w:tcPr>
            <w:tcW w:w="1549" w:type="pct"/>
            <w:tcBorders>
              <w:top w:val="single" w:sz="6" w:space="0" w:color="000000"/>
              <w:left w:val="nil"/>
              <w:bottom w:val="single" w:sz="6" w:space="0" w:color="000000"/>
              <w:right w:val="nil"/>
            </w:tcBorders>
            <w:vAlign w:val="center"/>
          </w:tcPr>
          <w:p w14:paraId="3165184C" w14:textId="37AF007A" w:rsidR="00DA462B" w:rsidRPr="0054775B" w:rsidRDefault="00761AFF">
            <w:pPr>
              <w:pStyle w:val="2024TABLETEXT"/>
              <w:framePr w:hSpace="0" w:wrap="auto" w:vAnchor="margin" w:yAlign="inline"/>
              <w:suppressOverlap w:val="0"/>
              <w:rPr>
                <w:b/>
              </w:rPr>
            </w:pPr>
            <w:r w:rsidRPr="0054775B">
              <w:rPr>
                <w:b/>
                <w:bCs/>
              </w:rPr>
              <w:t>Physiological symptoms of depression</w:t>
            </w:r>
          </w:p>
        </w:tc>
        <w:tc>
          <w:tcPr>
            <w:tcW w:w="450" w:type="pct"/>
            <w:tcBorders>
              <w:top w:val="single" w:sz="6" w:space="0" w:color="000000"/>
              <w:left w:val="nil"/>
              <w:bottom w:val="single" w:sz="6" w:space="0" w:color="000000"/>
              <w:right w:val="nil"/>
            </w:tcBorders>
            <w:vAlign w:val="center"/>
          </w:tcPr>
          <w:p w14:paraId="0E9B828C" w14:textId="4FEC2BC9" w:rsidR="00DA462B" w:rsidRPr="0054775B" w:rsidRDefault="00761AFF">
            <w:pPr>
              <w:pStyle w:val="2024TABLETEXT"/>
              <w:framePr w:hSpace="0" w:wrap="auto" w:vAnchor="margin" w:yAlign="inline"/>
              <w:suppressOverlap w:val="0"/>
            </w:pPr>
            <w:r w:rsidRPr="0054775B">
              <w:t>-</w:t>
            </w:r>
          </w:p>
        </w:tc>
        <w:tc>
          <w:tcPr>
            <w:tcW w:w="399" w:type="pct"/>
            <w:tcBorders>
              <w:top w:val="single" w:sz="6" w:space="0" w:color="000000"/>
              <w:left w:val="nil"/>
              <w:bottom w:val="single" w:sz="6" w:space="0" w:color="000000"/>
              <w:right w:val="nil"/>
            </w:tcBorders>
            <w:shd w:val="clear" w:color="auto" w:fill="auto"/>
            <w:vAlign w:val="center"/>
          </w:tcPr>
          <w:p w14:paraId="7EEBDAB2" w14:textId="0E1C89B3" w:rsidR="00DA462B" w:rsidRPr="0054775B" w:rsidRDefault="00761AFF">
            <w:pPr>
              <w:pStyle w:val="2024TABLETEXT"/>
              <w:framePr w:hSpace="0" w:wrap="auto" w:vAnchor="margin" w:yAlign="inline"/>
              <w:suppressOverlap w:val="0"/>
            </w:pPr>
            <w:r w:rsidRPr="0054775B">
              <w:t>-</w:t>
            </w:r>
          </w:p>
        </w:tc>
        <w:tc>
          <w:tcPr>
            <w:tcW w:w="450" w:type="pct"/>
            <w:tcBorders>
              <w:top w:val="single" w:sz="6" w:space="0" w:color="000000"/>
              <w:left w:val="nil"/>
              <w:bottom w:val="single" w:sz="6" w:space="0" w:color="000000"/>
              <w:right w:val="nil"/>
            </w:tcBorders>
            <w:vAlign w:val="center"/>
          </w:tcPr>
          <w:p w14:paraId="3931D474" w14:textId="037694D0" w:rsidR="00DA462B" w:rsidRPr="0054775B" w:rsidRDefault="00761AFF">
            <w:pPr>
              <w:pStyle w:val="2024TABLETEXT"/>
              <w:framePr w:hSpace="0" w:wrap="auto" w:vAnchor="margin" w:yAlign="inline"/>
              <w:suppressOverlap w:val="0"/>
            </w:pPr>
            <w:r w:rsidRPr="0054775B">
              <w:t>-</w:t>
            </w:r>
          </w:p>
        </w:tc>
        <w:tc>
          <w:tcPr>
            <w:tcW w:w="449" w:type="pct"/>
            <w:tcBorders>
              <w:top w:val="single" w:sz="6" w:space="0" w:color="000000"/>
              <w:left w:val="nil"/>
              <w:bottom w:val="single" w:sz="6" w:space="0" w:color="000000"/>
              <w:right w:val="nil"/>
            </w:tcBorders>
            <w:vAlign w:val="center"/>
          </w:tcPr>
          <w:p w14:paraId="47B02E4C" w14:textId="7737AEB9" w:rsidR="00DA462B" w:rsidRPr="0054775B" w:rsidRDefault="00761AFF">
            <w:pPr>
              <w:pStyle w:val="2024TABLETEXT"/>
              <w:framePr w:hSpace="0" w:wrap="auto" w:vAnchor="margin" w:yAlign="inline"/>
              <w:suppressOverlap w:val="0"/>
            </w:pPr>
            <w:r w:rsidRPr="0054775B">
              <w:t>-</w:t>
            </w:r>
          </w:p>
        </w:tc>
        <w:tc>
          <w:tcPr>
            <w:tcW w:w="1403" w:type="pct"/>
            <w:gridSpan w:val="2"/>
            <w:tcBorders>
              <w:top w:val="single" w:sz="6" w:space="0" w:color="000000"/>
              <w:left w:val="nil"/>
              <w:bottom w:val="single" w:sz="6" w:space="0" w:color="000000"/>
              <w:right w:val="nil"/>
            </w:tcBorders>
            <w:vAlign w:val="center"/>
          </w:tcPr>
          <w:p w14:paraId="4CECF060" w14:textId="345C3306" w:rsidR="00DA462B" w:rsidRPr="0054775B" w:rsidRDefault="00371E77">
            <w:pPr>
              <w:pStyle w:val="2024TABLETEXT"/>
              <w:framePr w:hSpace="0" w:wrap="auto" w:vAnchor="margin" w:yAlign="inline"/>
              <w:suppressOverlap w:val="0"/>
            </w:pPr>
            <w:r w:rsidRPr="0054775B">
              <w:t xml:space="preserve">No </w:t>
            </w:r>
            <w:r w:rsidR="0029059B">
              <w:t>reviews</w:t>
            </w:r>
            <w:r w:rsidR="0029059B" w:rsidRPr="0054775B">
              <w:t xml:space="preserve"> </w:t>
            </w:r>
            <w:r w:rsidRPr="0054775B">
              <w:t>found. The effect of omega-3</w:t>
            </w:r>
            <w:r w:rsidR="00444421">
              <w:t xml:space="preserve"> fatty acids</w:t>
            </w:r>
            <w:r w:rsidRPr="0054775B">
              <w:t xml:space="preserve"> on physiological symptoms of depression </w:t>
            </w:r>
            <w:r w:rsidR="00750AC6" w:rsidRPr="0054775B">
              <w:t xml:space="preserve">for people at risk of depression </w:t>
            </w:r>
            <w:r w:rsidRPr="0054775B">
              <w:t>is unknown.</w:t>
            </w:r>
          </w:p>
        </w:tc>
      </w:tr>
      <w:tr w:rsidR="00CC1980" w:rsidRPr="0054775B" w14:paraId="1D0E15F7" w14:textId="77777777" w:rsidTr="007F5FA5">
        <w:trPr>
          <w:cantSplit/>
        </w:trPr>
        <w:tc>
          <w:tcPr>
            <w:tcW w:w="300" w:type="pct"/>
            <w:tcBorders>
              <w:top w:val="single" w:sz="6" w:space="0" w:color="000000"/>
              <w:left w:val="nil"/>
              <w:bottom w:val="single" w:sz="6" w:space="0" w:color="000000"/>
              <w:right w:val="nil"/>
            </w:tcBorders>
            <w:vAlign w:val="center"/>
          </w:tcPr>
          <w:p w14:paraId="6421A3A6" w14:textId="77777777" w:rsidR="00DA462B" w:rsidRPr="0054775B" w:rsidRDefault="00DA462B" w:rsidP="00761AFF">
            <w:pPr>
              <w:pStyle w:val="2024TABLETEXT"/>
              <w:framePr w:hSpace="0" w:wrap="auto" w:vAnchor="margin" w:yAlign="inline"/>
              <w:suppressOverlap w:val="0"/>
              <w:jc w:val="center"/>
            </w:pPr>
            <w:r w:rsidRPr="0054775B">
              <w:t>8</w:t>
            </w:r>
          </w:p>
        </w:tc>
        <w:tc>
          <w:tcPr>
            <w:tcW w:w="1549" w:type="pct"/>
            <w:tcBorders>
              <w:top w:val="single" w:sz="6" w:space="0" w:color="000000"/>
              <w:left w:val="nil"/>
              <w:bottom w:val="single" w:sz="6" w:space="0" w:color="000000"/>
              <w:right w:val="nil"/>
            </w:tcBorders>
            <w:vAlign w:val="center"/>
          </w:tcPr>
          <w:p w14:paraId="798FFC88" w14:textId="77777777" w:rsidR="00DA462B" w:rsidRPr="0054775B" w:rsidRDefault="00DA462B">
            <w:pPr>
              <w:pStyle w:val="2024TABLETEXT"/>
              <w:framePr w:hSpace="0" w:wrap="auto" w:vAnchor="margin" w:yAlign="inline"/>
              <w:suppressOverlap w:val="0"/>
              <w:rPr>
                <w:b/>
              </w:rPr>
            </w:pPr>
            <w:r w:rsidRPr="0054775B">
              <w:rPr>
                <w:b/>
              </w:rPr>
              <w:t>Parent to infant bonding</w:t>
            </w:r>
          </w:p>
        </w:tc>
        <w:tc>
          <w:tcPr>
            <w:tcW w:w="450" w:type="pct"/>
            <w:tcBorders>
              <w:top w:val="single" w:sz="6" w:space="0" w:color="000000"/>
              <w:left w:val="nil"/>
              <w:bottom w:val="single" w:sz="6" w:space="0" w:color="000000"/>
              <w:right w:val="nil"/>
            </w:tcBorders>
            <w:vAlign w:val="center"/>
          </w:tcPr>
          <w:p w14:paraId="1D307825" w14:textId="30E13D13" w:rsidR="00DA462B" w:rsidRPr="0054775B" w:rsidRDefault="00761AFF">
            <w:pPr>
              <w:pStyle w:val="2024TABLETEXT"/>
              <w:framePr w:hSpace="0" w:wrap="auto" w:vAnchor="margin" w:yAlign="inline"/>
              <w:suppressOverlap w:val="0"/>
            </w:pPr>
            <w:r w:rsidRPr="0054775B">
              <w:t>-</w:t>
            </w:r>
          </w:p>
        </w:tc>
        <w:tc>
          <w:tcPr>
            <w:tcW w:w="399" w:type="pct"/>
            <w:tcBorders>
              <w:top w:val="single" w:sz="6" w:space="0" w:color="000000"/>
              <w:left w:val="nil"/>
              <w:bottom w:val="single" w:sz="6" w:space="0" w:color="000000"/>
              <w:right w:val="nil"/>
            </w:tcBorders>
            <w:shd w:val="clear" w:color="auto" w:fill="auto"/>
            <w:vAlign w:val="center"/>
          </w:tcPr>
          <w:p w14:paraId="677DF0FD" w14:textId="6F847837" w:rsidR="00DA462B" w:rsidRPr="0054775B" w:rsidRDefault="00761AFF">
            <w:pPr>
              <w:pStyle w:val="2024TABLETEXT"/>
              <w:framePr w:hSpace="0" w:wrap="auto" w:vAnchor="margin" w:yAlign="inline"/>
              <w:suppressOverlap w:val="0"/>
            </w:pPr>
            <w:r w:rsidRPr="0054775B">
              <w:t>-</w:t>
            </w:r>
          </w:p>
        </w:tc>
        <w:tc>
          <w:tcPr>
            <w:tcW w:w="450" w:type="pct"/>
            <w:tcBorders>
              <w:top w:val="single" w:sz="6" w:space="0" w:color="000000"/>
              <w:left w:val="nil"/>
              <w:bottom w:val="single" w:sz="6" w:space="0" w:color="000000"/>
              <w:right w:val="nil"/>
            </w:tcBorders>
            <w:vAlign w:val="center"/>
          </w:tcPr>
          <w:p w14:paraId="65931A09" w14:textId="2E36F422" w:rsidR="00DA462B" w:rsidRPr="0054775B" w:rsidRDefault="00761AFF">
            <w:pPr>
              <w:pStyle w:val="2024TABLETEXT"/>
              <w:framePr w:hSpace="0" w:wrap="auto" w:vAnchor="margin" w:yAlign="inline"/>
              <w:suppressOverlap w:val="0"/>
            </w:pPr>
            <w:r w:rsidRPr="0054775B">
              <w:t>-</w:t>
            </w:r>
          </w:p>
        </w:tc>
        <w:tc>
          <w:tcPr>
            <w:tcW w:w="449" w:type="pct"/>
            <w:tcBorders>
              <w:top w:val="single" w:sz="6" w:space="0" w:color="000000"/>
              <w:left w:val="nil"/>
              <w:bottom w:val="single" w:sz="6" w:space="0" w:color="000000"/>
              <w:right w:val="nil"/>
            </w:tcBorders>
            <w:vAlign w:val="center"/>
          </w:tcPr>
          <w:p w14:paraId="575ABC56" w14:textId="0D4078AC" w:rsidR="00DA462B" w:rsidRPr="0054775B" w:rsidRDefault="00761AFF">
            <w:pPr>
              <w:pStyle w:val="2024TABLETEXT"/>
              <w:framePr w:hSpace="0" w:wrap="auto" w:vAnchor="margin" w:yAlign="inline"/>
              <w:suppressOverlap w:val="0"/>
            </w:pPr>
            <w:r w:rsidRPr="0054775B">
              <w:t>-</w:t>
            </w:r>
          </w:p>
        </w:tc>
        <w:tc>
          <w:tcPr>
            <w:tcW w:w="1403" w:type="pct"/>
            <w:gridSpan w:val="2"/>
            <w:tcBorders>
              <w:top w:val="single" w:sz="6" w:space="0" w:color="000000"/>
              <w:left w:val="nil"/>
              <w:bottom w:val="single" w:sz="6" w:space="0" w:color="000000"/>
              <w:right w:val="nil"/>
            </w:tcBorders>
            <w:vAlign w:val="center"/>
          </w:tcPr>
          <w:p w14:paraId="4EF80CC1" w14:textId="2570A7A6" w:rsidR="00DA462B" w:rsidRPr="0054775B" w:rsidRDefault="00371E77">
            <w:pPr>
              <w:pStyle w:val="2024TABLETEXT"/>
              <w:framePr w:hSpace="0" w:wrap="auto" w:vAnchor="margin" w:yAlign="inline"/>
              <w:suppressOverlap w:val="0"/>
            </w:pPr>
            <w:r w:rsidRPr="0054775B">
              <w:t>No</w:t>
            </w:r>
            <w:r w:rsidRPr="0054775B" w:rsidDel="007F5FA5">
              <w:t xml:space="preserve"> </w:t>
            </w:r>
            <w:r w:rsidR="0029059B">
              <w:t>reviews</w:t>
            </w:r>
            <w:r w:rsidR="0029059B" w:rsidRPr="0054775B">
              <w:t xml:space="preserve"> </w:t>
            </w:r>
            <w:r w:rsidRPr="0054775B">
              <w:t>found. The effect of omega-3</w:t>
            </w:r>
            <w:r w:rsidR="00444421">
              <w:t xml:space="preserve"> fatty acids</w:t>
            </w:r>
            <w:r w:rsidRPr="0054775B">
              <w:t xml:space="preserve"> on parent-to-infant bondin</w:t>
            </w:r>
            <w:r w:rsidR="00BC4D01" w:rsidRPr="0054775B">
              <w:t>g</w:t>
            </w:r>
            <w:r w:rsidR="00750AC6" w:rsidRPr="0054775B">
              <w:t xml:space="preserve"> for people at risk of depression </w:t>
            </w:r>
            <w:r w:rsidRPr="0054775B">
              <w:t>is unknown.</w:t>
            </w:r>
          </w:p>
        </w:tc>
      </w:tr>
      <w:tr w:rsidR="00CC1980" w:rsidRPr="0054775B" w14:paraId="28368194" w14:textId="77777777" w:rsidTr="007F5FA5">
        <w:trPr>
          <w:cantSplit/>
        </w:trPr>
        <w:tc>
          <w:tcPr>
            <w:tcW w:w="300" w:type="pct"/>
            <w:tcBorders>
              <w:top w:val="single" w:sz="6" w:space="0" w:color="000000"/>
              <w:left w:val="nil"/>
              <w:bottom w:val="single" w:sz="6" w:space="0" w:color="000000"/>
              <w:right w:val="nil"/>
            </w:tcBorders>
            <w:vAlign w:val="center"/>
          </w:tcPr>
          <w:p w14:paraId="406D7401" w14:textId="77777777" w:rsidR="00DA462B" w:rsidRPr="0054775B" w:rsidRDefault="00DA462B" w:rsidP="00761AFF">
            <w:pPr>
              <w:pStyle w:val="2024TABLETEXT"/>
              <w:framePr w:hSpace="0" w:wrap="auto" w:vAnchor="margin" w:yAlign="inline"/>
              <w:suppressOverlap w:val="0"/>
              <w:jc w:val="center"/>
            </w:pPr>
            <w:r w:rsidRPr="0054775B">
              <w:t>8</w:t>
            </w:r>
          </w:p>
        </w:tc>
        <w:tc>
          <w:tcPr>
            <w:tcW w:w="1549" w:type="pct"/>
            <w:tcBorders>
              <w:top w:val="single" w:sz="6" w:space="0" w:color="000000"/>
              <w:left w:val="nil"/>
              <w:bottom w:val="single" w:sz="6" w:space="0" w:color="000000"/>
              <w:right w:val="nil"/>
            </w:tcBorders>
            <w:vAlign w:val="center"/>
          </w:tcPr>
          <w:p w14:paraId="6C4EC2DD" w14:textId="12C7A8B4" w:rsidR="00DA462B" w:rsidRPr="0054775B" w:rsidRDefault="00DA462B" w:rsidP="00A67244">
            <w:pPr>
              <w:pStyle w:val="2024TABLETEXT"/>
              <w:framePr w:hSpace="0" w:wrap="auto" w:vAnchor="margin" w:yAlign="inline"/>
              <w:suppressOverlap w:val="0"/>
              <w:rPr>
                <w:b/>
              </w:rPr>
            </w:pPr>
            <w:r w:rsidRPr="0054775B">
              <w:rPr>
                <w:b/>
              </w:rPr>
              <w:t>Quality of life</w:t>
            </w:r>
          </w:p>
        </w:tc>
        <w:tc>
          <w:tcPr>
            <w:tcW w:w="450" w:type="pct"/>
            <w:tcBorders>
              <w:top w:val="single" w:sz="6" w:space="0" w:color="000000"/>
              <w:left w:val="nil"/>
              <w:bottom w:val="single" w:sz="6" w:space="0" w:color="000000"/>
              <w:right w:val="nil"/>
            </w:tcBorders>
            <w:vAlign w:val="center"/>
          </w:tcPr>
          <w:p w14:paraId="405B3F19" w14:textId="78CE0688" w:rsidR="00DA462B" w:rsidRPr="0054775B" w:rsidRDefault="00761AFF" w:rsidP="00AA5001">
            <w:pPr>
              <w:pStyle w:val="2024TABLETEXT"/>
              <w:framePr w:hSpace="0" w:wrap="auto" w:vAnchor="margin" w:yAlign="inline"/>
              <w:suppressOverlap w:val="0"/>
            </w:pPr>
            <w:r w:rsidRPr="0054775B">
              <w:t>-</w:t>
            </w:r>
          </w:p>
        </w:tc>
        <w:tc>
          <w:tcPr>
            <w:tcW w:w="399" w:type="pct"/>
            <w:tcBorders>
              <w:top w:val="single" w:sz="6" w:space="0" w:color="000000"/>
              <w:left w:val="nil"/>
              <w:bottom w:val="single" w:sz="6" w:space="0" w:color="000000"/>
              <w:right w:val="nil"/>
            </w:tcBorders>
            <w:shd w:val="clear" w:color="auto" w:fill="auto"/>
            <w:vAlign w:val="center"/>
          </w:tcPr>
          <w:p w14:paraId="079066A5" w14:textId="55DBA7DF" w:rsidR="00DA462B" w:rsidRPr="0054775B" w:rsidRDefault="00761AFF" w:rsidP="00AA5001">
            <w:pPr>
              <w:pStyle w:val="2024TABLETEXT"/>
              <w:framePr w:hSpace="0" w:wrap="auto" w:vAnchor="margin" w:yAlign="inline"/>
              <w:suppressOverlap w:val="0"/>
            </w:pPr>
            <w:r w:rsidRPr="0054775B">
              <w:t>-</w:t>
            </w:r>
          </w:p>
        </w:tc>
        <w:tc>
          <w:tcPr>
            <w:tcW w:w="450" w:type="pct"/>
            <w:tcBorders>
              <w:top w:val="single" w:sz="6" w:space="0" w:color="000000"/>
              <w:left w:val="nil"/>
              <w:bottom w:val="single" w:sz="6" w:space="0" w:color="000000"/>
              <w:right w:val="nil"/>
            </w:tcBorders>
            <w:vAlign w:val="center"/>
          </w:tcPr>
          <w:p w14:paraId="49BE8322" w14:textId="7D621A6C" w:rsidR="00DA462B" w:rsidRPr="0054775B" w:rsidRDefault="00761AFF">
            <w:pPr>
              <w:pStyle w:val="2024TABLETEXT"/>
              <w:framePr w:hSpace="0" w:wrap="auto" w:vAnchor="margin" w:yAlign="inline"/>
              <w:suppressOverlap w:val="0"/>
            </w:pPr>
            <w:r w:rsidRPr="0054775B">
              <w:t>-</w:t>
            </w:r>
          </w:p>
        </w:tc>
        <w:tc>
          <w:tcPr>
            <w:tcW w:w="449" w:type="pct"/>
            <w:tcBorders>
              <w:top w:val="single" w:sz="6" w:space="0" w:color="000000"/>
              <w:left w:val="nil"/>
              <w:bottom w:val="single" w:sz="6" w:space="0" w:color="000000"/>
              <w:right w:val="nil"/>
            </w:tcBorders>
            <w:vAlign w:val="center"/>
          </w:tcPr>
          <w:p w14:paraId="2CB99C39" w14:textId="379CAD6D" w:rsidR="00DA462B" w:rsidRPr="0054775B" w:rsidRDefault="00761AFF">
            <w:pPr>
              <w:pStyle w:val="2024TABLETEXT"/>
              <w:framePr w:hSpace="0" w:wrap="auto" w:vAnchor="margin" w:yAlign="inline"/>
              <w:suppressOverlap w:val="0"/>
            </w:pPr>
            <w:r w:rsidRPr="0054775B">
              <w:t>-</w:t>
            </w:r>
          </w:p>
        </w:tc>
        <w:tc>
          <w:tcPr>
            <w:tcW w:w="1403" w:type="pct"/>
            <w:gridSpan w:val="2"/>
            <w:tcBorders>
              <w:top w:val="single" w:sz="6" w:space="0" w:color="000000"/>
              <w:left w:val="nil"/>
              <w:bottom w:val="single" w:sz="6" w:space="0" w:color="000000"/>
              <w:right w:val="nil"/>
            </w:tcBorders>
            <w:vAlign w:val="center"/>
          </w:tcPr>
          <w:p w14:paraId="67AB0D9F" w14:textId="4D3954BA" w:rsidR="00DA462B" w:rsidRPr="0054775B" w:rsidRDefault="00A67244">
            <w:pPr>
              <w:pStyle w:val="2024TABLETEXT"/>
              <w:framePr w:hSpace="0" w:wrap="auto" w:vAnchor="margin" w:yAlign="inline"/>
              <w:suppressOverlap w:val="0"/>
            </w:pPr>
            <w:r w:rsidRPr="0054775B">
              <w:t>No</w:t>
            </w:r>
            <w:r w:rsidRPr="0054775B" w:rsidDel="007F5FA5">
              <w:t xml:space="preserve"> </w:t>
            </w:r>
            <w:r w:rsidR="0029059B">
              <w:t>reviews</w:t>
            </w:r>
            <w:r w:rsidR="0029059B" w:rsidRPr="0054775B">
              <w:t xml:space="preserve"> </w:t>
            </w:r>
            <w:r w:rsidRPr="0054775B">
              <w:t>found. The effect of omega-3</w:t>
            </w:r>
            <w:r w:rsidR="00444421">
              <w:t xml:space="preserve"> fatty acids</w:t>
            </w:r>
            <w:r w:rsidRPr="0054775B">
              <w:t xml:space="preserve"> on parent-to-infant bonding </w:t>
            </w:r>
            <w:r w:rsidR="00750AC6" w:rsidRPr="0054775B">
              <w:t xml:space="preserve">for people at risk of depression </w:t>
            </w:r>
            <w:r w:rsidRPr="0054775B">
              <w:t>is unknown.</w:t>
            </w:r>
          </w:p>
        </w:tc>
      </w:tr>
      <w:tr w:rsidR="00CC1980" w:rsidRPr="0054775B" w14:paraId="1FFF9816" w14:textId="77777777" w:rsidTr="007F5FA5">
        <w:trPr>
          <w:cantSplit/>
          <w:trHeight w:val="44"/>
        </w:trPr>
        <w:tc>
          <w:tcPr>
            <w:tcW w:w="300" w:type="pct"/>
            <w:tcBorders>
              <w:top w:val="single" w:sz="6" w:space="0" w:color="000000"/>
              <w:left w:val="nil"/>
              <w:bottom w:val="single" w:sz="6" w:space="0" w:color="000000"/>
              <w:right w:val="nil"/>
            </w:tcBorders>
            <w:vAlign w:val="center"/>
          </w:tcPr>
          <w:p w14:paraId="4E15C50F" w14:textId="77777777" w:rsidR="00DA462B" w:rsidRPr="0054775B" w:rsidRDefault="00DA462B" w:rsidP="00761AFF">
            <w:pPr>
              <w:pStyle w:val="2024TABLETEXT"/>
              <w:framePr w:hSpace="0" w:wrap="auto" w:vAnchor="margin" w:yAlign="inline"/>
              <w:suppressOverlap w:val="0"/>
              <w:jc w:val="center"/>
            </w:pPr>
            <w:r w:rsidRPr="0054775B">
              <w:t>7</w:t>
            </w:r>
          </w:p>
        </w:tc>
        <w:tc>
          <w:tcPr>
            <w:tcW w:w="1549" w:type="pct"/>
            <w:tcBorders>
              <w:top w:val="single" w:sz="6" w:space="0" w:color="000000"/>
              <w:left w:val="nil"/>
              <w:bottom w:val="single" w:sz="6" w:space="0" w:color="000000"/>
              <w:right w:val="nil"/>
            </w:tcBorders>
            <w:vAlign w:val="center"/>
          </w:tcPr>
          <w:p w14:paraId="3435B66D" w14:textId="77777777" w:rsidR="00DA462B" w:rsidRPr="0054775B" w:rsidRDefault="00DA462B">
            <w:pPr>
              <w:pStyle w:val="2024TABLETEXT"/>
              <w:framePr w:hSpace="0" w:wrap="auto" w:vAnchor="margin" w:yAlign="inline"/>
              <w:suppressOverlap w:val="0"/>
              <w:rPr>
                <w:b/>
              </w:rPr>
            </w:pPr>
            <w:r w:rsidRPr="0054775B">
              <w:rPr>
                <w:b/>
              </w:rPr>
              <w:t>Anxiety-related emotional functioning/mental health burden</w:t>
            </w:r>
          </w:p>
        </w:tc>
        <w:tc>
          <w:tcPr>
            <w:tcW w:w="450" w:type="pct"/>
            <w:tcBorders>
              <w:top w:val="single" w:sz="6" w:space="0" w:color="000000"/>
              <w:left w:val="nil"/>
              <w:bottom w:val="single" w:sz="6" w:space="0" w:color="000000"/>
              <w:right w:val="nil"/>
            </w:tcBorders>
            <w:vAlign w:val="center"/>
          </w:tcPr>
          <w:p w14:paraId="318C1FE5" w14:textId="09AF4383" w:rsidR="00DA462B" w:rsidRPr="0054775B" w:rsidRDefault="00761AFF">
            <w:pPr>
              <w:pStyle w:val="2024TABLETEXT"/>
              <w:framePr w:hSpace="0" w:wrap="auto" w:vAnchor="margin" w:yAlign="inline"/>
              <w:suppressOverlap w:val="0"/>
            </w:pPr>
            <w:r w:rsidRPr="0054775B">
              <w:t>-</w:t>
            </w:r>
          </w:p>
        </w:tc>
        <w:tc>
          <w:tcPr>
            <w:tcW w:w="399" w:type="pct"/>
            <w:tcBorders>
              <w:top w:val="single" w:sz="6" w:space="0" w:color="000000"/>
              <w:left w:val="nil"/>
              <w:bottom w:val="single" w:sz="6" w:space="0" w:color="000000"/>
              <w:right w:val="nil"/>
            </w:tcBorders>
            <w:shd w:val="clear" w:color="auto" w:fill="auto"/>
            <w:vAlign w:val="center"/>
          </w:tcPr>
          <w:p w14:paraId="67B064E3" w14:textId="3F50B068" w:rsidR="00DA462B" w:rsidRPr="0054775B" w:rsidRDefault="00761AFF">
            <w:pPr>
              <w:pStyle w:val="2024TABLETEXT"/>
              <w:framePr w:hSpace="0" w:wrap="auto" w:vAnchor="margin" w:yAlign="inline"/>
              <w:suppressOverlap w:val="0"/>
            </w:pPr>
            <w:r w:rsidRPr="0054775B">
              <w:t>-</w:t>
            </w:r>
          </w:p>
        </w:tc>
        <w:tc>
          <w:tcPr>
            <w:tcW w:w="450" w:type="pct"/>
            <w:tcBorders>
              <w:top w:val="single" w:sz="6" w:space="0" w:color="000000"/>
              <w:left w:val="nil"/>
              <w:bottom w:val="single" w:sz="6" w:space="0" w:color="000000"/>
              <w:right w:val="nil"/>
            </w:tcBorders>
            <w:vAlign w:val="center"/>
          </w:tcPr>
          <w:p w14:paraId="751B4A5A" w14:textId="7D72DA85" w:rsidR="00DA462B" w:rsidRPr="0054775B" w:rsidRDefault="00761AFF">
            <w:pPr>
              <w:pStyle w:val="2024TABLETEXT"/>
              <w:framePr w:hSpace="0" w:wrap="auto" w:vAnchor="margin" w:yAlign="inline"/>
              <w:suppressOverlap w:val="0"/>
            </w:pPr>
            <w:r w:rsidRPr="0054775B">
              <w:t>-</w:t>
            </w:r>
          </w:p>
        </w:tc>
        <w:tc>
          <w:tcPr>
            <w:tcW w:w="449" w:type="pct"/>
            <w:tcBorders>
              <w:top w:val="single" w:sz="6" w:space="0" w:color="000000"/>
              <w:left w:val="nil"/>
              <w:bottom w:val="single" w:sz="6" w:space="0" w:color="000000"/>
              <w:right w:val="nil"/>
            </w:tcBorders>
            <w:vAlign w:val="center"/>
          </w:tcPr>
          <w:p w14:paraId="3300627F" w14:textId="3A36259D" w:rsidR="00DA462B" w:rsidRPr="0054775B" w:rsidRDefault="00761AFF">
            <w:pPr>
              <w:pStyle w:val="2024TABLETEXT"/>
              <w:framePr w:hSpace="0" w:wrap="auto" w:vAnchor="margin" w:yAlign="inline"/>
              <w:suppressOverlap w:val="0"/>
            </w:pPr>
            <w:r w:rsidRPr="0054775B">
              <w:t>-</w:t>
            </w:r>
          </w:p>
        </w:tc>
        <w:tc>
          <w:tcPr>
            <w:tcW w:w="1403" w:type="pct"/>
            <w:gridSpan w:val="2"/>
            <w:tcBorders>
              <w:top w:val="single" w:sz="6" w:space="0" w:color="000000"/>
              <w:left w:val="nil"/>
              <w:bottom w:val="single" w:sz="6" w:space="0" w:color="000000"/>
              <w:right w:val="nil"/>
            </w:tcBorders>
            <w:vAlign w:val="center"/>
          </w:tcPr>
          <w:p w14:paraId="30CF6918" w14:textId="6F059A19" w:rsidR="00DA462B" w:rsidRPr="0054775B" w:rsidRDefault="00371E77">
            <w:pPr>
              <w:pStyle w:val="2024TABLETEXT"/>
              <w:framePr w:hSpace="0" w:wrap="auto" w:vAnchor="margin" w:yAlign="inline"/>
              <w:suppressOverlap w:val="0"/>
            </w:pPr>
            <w:r w:rsidRPr="0054775B">
              <w:t xml:space="preserve">No </w:t>
            </w:r>
            <w:r w:rsidR="0029059B">
              <w:t>reviews</w:t>
            </w:r>
            <w:r w:rsidR="0029059B" w:rsidRPr="0054775B">
              <w:t xml:space="preserve"> </w:t>
            </w:r>
            <w:r w:rsidRPr="0054775B">
              <w:t>found. The effect of omega-3</w:t>
            </w:r>
            <w:r w:rsidR="00444421">
              <w:t xml:space="preserve"> fatty acids</w:t>
            </w:r>
            <w:r w:rsidRPr="0054775B">
              <w:t xml:space="preserve"> on anxiety-related emotional functioning/mental health burden </w:t>
            </w:r>
            <w:r w:rsidR="00750AC6" w:rsidRPr="0054775B">
              <w:t xml:space="preserve">for people at risk of depression </w:t>
            </w:r>
            <w:r w:rsidRPr="0054775B">
              <w:t>is unknown.</w:t>
            </w:r>
          </w:p>
        </w:tc>
      </w:tr>
      <w:tr w:rsidR="00DA462B" w:rsidRPr="0054775B" w14:paraId="5A861AD0" w14:textId="77777777">
        <w:trPr>
          <w:gridAfter w:val="1"/>
          <w:wAfter w:w="4" w:type="pct"/>
          <w:cantSplit/>
          <w:trHeight w:val="50"/>
        </w:trPr>
        <w:tc>
          <w:tcPr>
            <w:tcW w:w="4996" w:type="pct"/>
            <w:gridSpan w:val="7"/>
            <w:tcBorders>
              <w:top w:val="single" w:sz="6" w:space="0" w:color="000000"/>
              <w:left w:val="nil"/>
              <w:bottom w:val="single" w:sz="6" w:space="0" w:color="000000"/>
              <w:right w:val="nil"/>
            </w:tcBorders>
          </w:tcPr>
          <w:p w14:paraId="2B7A39B8" w14:textId="3B5982A7" w:rsidR="00DA462B" w:rsidRDefault="00DA462B">
            <w:pPr>
              <w:pStyle w:val="2024TABLEFOOTER"/>
            </w:pPr>
            <w:r w:rsidRPr="0054775B">
              <w:t>*Ratings 1-3 = of limited importance to decision making; 4-6 = important, but not critical, to decision making; 7-9 = critical for decision-making</w:t>
            </w:r>
            <w:r w:rsidR="00F22445">
              <w:t>.</w:t>
            </w:r>
          </w:p>
          <w:p w14:paraId="4133381E" w14:textId="44710041" w:rsidR="00F22445" w:rsidRDefault="00F22445" w:rsidP="00F06D23">
            <w:pPr>
              <w:pStyle w:val="2024TABLEFOOTER"/>
            </w:pPr>
            <w:r w:rsidRPr="0054775B">
              <w:t>^SMDs of 0.2, 0.5, and 0.8 are considered small, medium, and large, respectively</w:t>
            </w:r>
            <w:r>
              <w:t xml:space="preserve"> </w:t>
            </w:r>
            <w:r w:rsidR="00F54937">
              <w:rPr>
                <w:noProof/>
              </w:rPr>
              <w:t>(22)</w:t>
            </w:r>
          </w:p>
          <w:p w14:paraId="4CB91878" w14:textId="77777777" w:rsidR="00F22445" w:rsidRPr="0054775B" w:rsidRDefault="00F22445">
            <w:pPr>
              <w:pStyle w:val="2024TABLEFOOTER"/>
            </w:pPr>
          </w:p>
          <w:p w14:paraId="0B050464" w14:textId="1DA028ED" w:rsidR="00DA462B" w:rsidRPr="0054775B" w:rsidRDefault="00A67244">
            <w:pPr>
              <w:pStyle w:val="2024TABLEFOOTER"/>
            </w:pPr>
            <w:r w:rsidRPr="0054775B">
              <w:lastRenderedPageBreak/>
              <w:t>Abbreviations: BDI=Beck Depression Inventory, CDI=Children's Depression Inventory, CDRS=Children's Depression Rating Scale, CGI=Clinician global impression, DHA=Docosahexaenoic acid, EPA=Eicosapentaenoic acid, GAP= Global Assessment of Functioning, GDS=Geriatric depression scale, HDRS=Hamilton Depression Rating Scale, MADRS=Montgomery-Asberg Depression Rating Scale, MINI=Mini-International Neuropsychiatric Interview, OR=Odds ratio, SF-36=RAND 36-Item Short Form Survey Instrument, SMD=Standardised mean difference</w:t>
            </w:r>
          </w:p>
        </w:tc>
      </w:tr>
      <w:tr w:rsidR="00DA462B" w:rsidRPr="0054775B" w14:paraId="7D461CBC" w14:textId="77777777">
        <w:trPr>
          <w:gridAfter w:val="1"/>
          <w:wAfter w:w="4" w:type="pct"/>
          <w:cantSplit/>
          <w:trHeight w:val="236"/>
        </w:trPr>
        <w:tc>
          <w:tcPr>
            <w:tcW w:w="4996" w:type="pct"/>
            <w:gridSpan w:val="7"/>
            <w:tcBorders>
              <w:top w:val="single" w:sz="6" w:space="0" w:color="000000"/>
              <w:left w:val="nil"/>
              <w:bottom w:val="single" w:sz="6" w:space="0" w:color="000000"/>
              <w:right w:val="nil"/>
            </w:tcBorders>
          </w:tcPr>
          <w:p w14:paraId="65BF7706" w14:textId="77777777" w:rsidR="00DA462B" w:rsidRPr="0054775B" w:rsidRDefault="00DA462B">
            <w:pPr>
              <w:pStyle w:val="2024TABLEFOOTER"/>
              <w:rPr>
                <w:b/>
                <w:bCs/>
              </w:rPr>
            </w:pPr>
            <w:r w:rsidRPr="0054775B">
              <w:lastRenderedPageBreak/>
              <w:t>GRADE Working Group grades of evidence</w:t>
            </w:r>
            <w:r w:rsidRPr="0054775B">
              <w:br/>
            </w:r>
            <w:r w:rsidRPr="0054775B">
              <w:rPr>
                <w:b/>
                <w:bCs/>
              </w:rPr>
              <w:t>High certainty:</w:t>
            </w:r>
            <w:r w:rsidRPr="0054775B">
              <w:t xml:space="preserve"> we are very confident that the true effect lies close to that of the estimate of the effect.</w:t>
            </w:r>
            <w:r w:rsidRPr="0054775B">
              <w:br/>
            </w:r>
            <w:r w:rsidRPr="0054775B">
              <w:rPr>
                <w:b/>
                <w:bCs/>
              </w:rPr>
              <w:t>Moderate certainty:</w:t>
            </w:r>
            <w:r w:rsidRPr="0054775B">
              <w:t xml:space="preserve"> we are moderately confident in the effect estimate: the true effect is likely to be close to the estimate of the effect, but there is a possibility that it is substantially different.</w:t>
            </w:r>
            <w:r w:rsidRPr="0054775B">
              <w:br/>
            </w:r>
            <w:r w:rsidRPr="0054775B">
              <w:rPr>
                <w:b/>
                <w:bCs/>
              </w:rPr>
              <w:t>Low certainty:</w:t>
            </w:r>
            <w:r w:rsidRPr="0054775B">
              <w:t xml:space="preserve"> our confidence in the effect estimate is limited: the true effect may be substantially different from the estimate of the effect.</w:t>
            </w:r>
            <w:r w:rsidRPr="0054775B">
              <w:br/>
            </w:r>
            <w:r w:rsidRPr="0054775B">
              <w:rPr>
                <w:b/>
                <w:bCs/>
              </w:rPr>
              <w:t>Very low certainty:</w:t>
            </w:r>
            <w:r w:rsidRPr="0054775B">
              <w:t xml:space="preserve"> we have very little confidence in the effect estimate: the true effect is likely to be substantially different from the estimate of effect.</w:t>
            </w:r>
          </w:p>
        </w:tc>
      </w:tr>
      <w:tr w:rsidR="00DA462B" w:rsidRPr="0054775B" w14:paraId="18A94C21" w14:textId="77777777">
        <w:trPr>
          <w:gridAfter w:val="1"/>
          <w:wAfter w:w="4" w:type="pct"/>
          <w:cantSplit/>
          <w:trHeight w:val="236"/>
        </w:trPr>
        <w:tc>
          <w:tcPr>
            <w:tcW w:w="4996" w:type="pct"/>
            <w:gridSpan w:val="7"/>
            <w:tcBorders>
              <w:top w:val="single" w:sz="6" w:space="0" w:color="000000"/>
              <w:left w:val="nil"/>
              <w:bottom w:val="single" w:sz="6" w:space="0" w:color="000000"/>
              <w:right w:val="nil"/>
            </w:tcBorders>
          </w:tcPr>
          <w:p w14:paraId="05C9464C" w14:textId="77777777" w:rsidR="00DA462B" w:rsidRPr="0054775B" w:rsidRDefault="00DA462B">
            <w:pPr>
              <w:pStyle w:val="2024TABLEFOOTER"/>
            </w:pPr>
            <w:r w:rsidRPr="0054775B">
              <w:t>Explanations</w:t>
            </w:r>
          </w:p>
          <w:p w14:paraId="75E2CB97" w14:textId="4C193A2F" w:rsidR="00DA462B" w:rsidRPr="0054775B" w:rsidRDefault="007F5FA5" w:rsidP="00107BEE">
            <w:pPr>
              <w:pStyle w:val="2024TABLEFOOTER"/>
              <w:numPr>
                <w:ilvl w:val="0"/>
                <w:numId w:val="20"/>
              </w:numPr>
            </w:pPr>
            <w:r>
              <w:t xml:space="preserve">Low risk of bias assessed across primary studies (no change for risk of bias). </w:t>
            </w:r>
            <w:r w:rsidR="00606794" w:rsidRPr="0054775B">
              <w:t xml:space="preserve">Population in the included review was restricted to </w:t>
            </w:r>
            <w:r>
              <w:t xml:space="preserve">pregnant women at risk of </w:t>
            </w:r>
            <w:r w:rsidR="00606794" w:rsidRPr="0054775B">
              <w:t xml:space="preserve">perinatal depression only (downgraded one for indirectness). </w:t>
            </w:r>
            <w:r w:rsidR="004139F0">
              <w:t>Low risk of inconsistency, overlapping confidence intervals, low and non-</w:t>
            </w:r>
            <w:r>
              <w:t>significant</w:t>
            </w:r>
            <w:r w:rsidR="004139F0">
              <w:t xml:space="preserve"> I</w:t>
            </w:r>
            <w:r w:rsidR="004139F0" w:rsidRPr="001428E8">
              <w:rPr>
                <w:vertAlign w:val="superscript"/>
              </w:rPr>
              <w:t>2</w:t>
            </w:r>
            <w:r>
              <w:t xml:space="preserve"> and Chi</w:t>
            </w:r>
            <w:r w:rsidRPr="001428E8">
              <w:rPr>
                <w:vertAlign w:val="superscript"/>
              </w:rPr>
              <w:t>2</w:t>
            </w:r>
            <w:r w:rsidR="00DA462B" w:rsidRPr="0054775B">
              <w:t xml:space="preserve"> </w:t>
            </w:r>
            <w:r w:rsidR="00B9442F" w:rsidRPr="00B9442F">
              <w:t xml:space="preserve">values </w:t>
            </w:r>
            <w:r w:rsidR="00DA462B" w:rsidRPr="0054775B">
              <w:t>(</w:t>
            </w:r>
            <w:r>
              <w:t>no change</w:t>
            </w:r>
            <w:r w:rsidR="00DA462B" w:rsidRPr="0054775B">
              <w:t xml:space="preserve"> for </w:t>
            </w:r>
            <w:r w:rsidR="00606794" w:rsidRPr="0054775B">
              <w:t xml:space="preserve">inconsistency). </w:t>
            </w:r>
            <w:r w:rsidRPr="001428E8">
              <w:t>Pooled effect confidence intervals within MCID (SMD = 0.2) (no change for imprecision).</w:t>
            </w:r>
            <w:r>
              <w:rPr>
                <w:rFonts w:ascii="AppleSystemUIFont" w:eastAsiaTheme="minorHAnsi" w:hAnsi="AppleSystemUIFont" w:cs="AppleSystemUIFont"/>
                <w:sz w:val="26"/>
                <w:szCs w:val="26"/>
                <w:lang w:val="en-GB" w:eastAsia="en-US"/>
              </w:rPr>
              <w:t xml:space="preserve"> </w:t>
            </w:r>
            <w:r w:rsidR="00B2626E">
              <w:t>Publication bias assessed by review authors, no evidence of bias supported by non-significant Egger’s test (no change for publication bias).</w:t>
            </w:r>
          </w:p>
        </w:tc>
      </w:tr>
    </w:tbl>
    <w:p w14:paraId="451C0A3D" w14:textId="77777777" w:rsidR="00DA462B" w:rsidRPr="0054775B" w:rsidRDefault="00DA462B" w:rsidP="00DA462B">
      <w:pPr>
        <w:tabs>
          <w:tab w:val="left" w:pos="3382"/>
        </w:tabs>
      </w:pPr>
    </w:p>
    <w:p w14:paraId="79C68031" w14:textId="73EF4E7D" w:rsidR="00505B1B" w:rsidRPr="0054775B" w:rsidRDefault="00DA462B" w:rsidP="00DA462B">
      <w:pPr>
        <w:tabs>
          <w:tab w:val="left" w:pos="3382"/>
        </w:tabs>
        <w:sectPr w:rsidR="00505B1B" w:rsidRPr="0054775B" w:rsidSect="006A72DC">
          <w:pgSz w:w="16840" w:h="11910" w:orient="landscape"/>
          <w:pgMar w:top="1340" w:right="280" w:bottom="1340" w:left="1356" w:header="720" w:footer="720" w:gutter="0"/>
          <w:cols w:space="720"/>
          <w:docGrid w:linePitch="299"/>
        </w:sectPr>
      </w:pPr>
      <w:r w:rsidRPr="0054775B">
        <w:tab/>
      </w:r>
    </w:p>
    <w:p w14:paraId="37661011" w14:textId="58AA8D6B" w:rsidR="00764746" w:rsidRPr="0054775B" w:rsidRDefault="00980972" w:rsidP="00F9201F">
      <w:pPr>
        <w:pStyle w:val="2024HEADER2"/>
      </w:pPr>
      <w:bookmarkStart w:id="89" w:name="_Toc179379621"/>
      <w:r w:rsidRPr="0054775B">
        <w:lastRenderedPageBreak/>
        <w:t xml:space="preserve">Dysmenorrhea, </w:t>
      </w:r>
      <w:r w:rsidR="0012437F" w:rsidRPr="0054775B">
        <w:t>C</w:t>
      </w:r>
      <w:r w:rsidRPr="0054775B">
        <w:t>ruciferous indoles (indole-3-carbinol, di-indolylmethane)</w:t>
      </w:r>
      <w:bookmarkEnd w:id="89"/>
    </w:p>
    <w:p w14:paraId="137EE4C4" w14:textId="77777777" w:rsidR="008308E9" w:rsidRPr="0054775B" w:rsidRDefault="008308E9" w:rsidP="009E6F7F">
      <w:pPr>
        <w:pStyle w:val="2024HEADER3"/>
        <w:rPr>
          <w:rFonts w:ascii="Aptos" w:hAnsi="Aptos"/>
        </w:rPr>
      </w:pPr>
      <w:r w:rsidRPr="0054775B">
        <w:rPr>
          <w:rFonts w:ascii="Aptos" w:hAnsi="Aptos"/>
        </w:rPr>
        <w:t>Description of condition</w:t>
      </w:r>
    </w:p>
    <w:p w14:paraId="07ADDD90" w14:textId="2FA4377D" w:rsidR="009C417F" w:rsidRPr="0054775B" w:rsidRDefault="00444B8A" w:rsidP="009E6F7F">
      <w:r w:rsidRPr="0054775B">
        <w:t xml:space="preserve">Dysmenorrhea, also known as painful periods, is a common </w:t>
      </w:r>
      <w:r w:rsidR="00967F32" w:rsidRPr="0054775B">
        <w:t>gynaecological</w:t>
      </w:r>
      <w:r w:rsidRPr="0054775B">
        <w:t xml:space="preserve"> condition characteri</w:t>
      </w:r>
      <w:r w:rsidR="00967F32" w:rsidRPr="0054775B">
        <w:t>s</w:t>
      </w:r>
      <w:r w:rsidRPr="0054775B">
        <w:t xml:space="preserve">ed by severe and recurrent pain during menstruation. It affects a significant proportion of individuals who menstruate, with estimates suggesting a global prevalence </w:t>
      </w:r>
      <w:r w:rsidR="00250093" w:rsidRPr="0054775B">
        <w:t xml:space="preserve">of </w:t>
      </w:r>
      <w:r w:rsidR="00781002" w:rsidRPr="0054775B">
        <w:t>over 70%</w:t>
      </w:r>
      <w:r w:rsidRPr="0054775B">
        <w:t xml:space="preserve"> </w:t>
      </w:r>
      <w:r w:rsidR="00F54937">
        <w:rPr>
          <w:noProof/>
        </w:rPr>
        <w:t>(119)</w:t>
      </w:r>
      <w:r w:rsidRPr="0054775B">
        <w:t>. In Australia,</w:t>
      </w:r>
      <w:r w:rsidR="00470A0F" w:rsidRPr="0054775B">
        <w:t xml:space="preserve"> a recent cross-sectional study</w:t>
      </w:r>
      <w:r w:rsidR="00850DBC" w:rsidRPr="0054775B">
        <w:t xml:space="preserve"> of women aged 13-25 years</w:t>
      </w:r>
      <w:r w:rsidR="009C417F" w:rsidRPr="0054775B">
        <w:t xml:space="preserve">, over 92% of respondents reported </w:t>
      </w:r>
      <w:r w:rsidR="00CC310A" w:rsidRPr="0054775B">
        <w:t xml:space="preserve">experiencing </w:t>
      </w:r>
      <w:r w:rsidR="009C417F" w:rsidRPr="0054775B">
        <w:t>dysmenorrhea</w:t>
      </w:r>
      <w:r w:rsidR="00850DBC" w:rsidRPr="0054775B">
        <w:t xml:space="preserve"> </w:t>
      </w:r>
      <w:r w:rsidR="00F54937">
        <w:rPr>
          <w:noProof/>
        </w:rPr>
        <w:t>(120)</w:t>
      </w:r>
      <w:r w:rsidR="009C417F" w:rsidRPr="0054775B">
        <w:t>.</w:t>
      </w:r>
    </w:p>
    <w:p w14:paraId="410CA554" w14:textId="1B7C753A" w:rsidR="00444B8A" w:rsidRPr="0054775B" w:rsidRDefault="00444B8A" w:rsidP="009E6F7F">
      <w:r w:rsidRPr="0054775B">
        <w:t>The symptoms of dysmenorrhea can vary in intensity and duration, but typically include lower abdominal cramps, pelvic pain, back pain, nausea, vomiting, diarrhea, fatigue, and headaches</w:t>
      </w:r>
      <w:r w:rsidR="00EE3427" w:rsidRPr="0054775B">
        <w:t xml:space="preserve"> </w:t>
      </w:r>
      <w:r w:rsidR="00F54937">
        <w:rPr>
          <w:noProof/>
        </w:rPr>
        <w:t>(121)</w:t>
      </w:r>
      <w:r w:rsidRPr="0054775B">
        <w:t xml:space="preserve">. These symptoms can significantly impact daily life, leading to school or work absenteeism, decreased productivity, and impaired social functioning </w:t>
      </w:r>
      <w:r w:rsidR="00F54937">
        <w:rPr>
          <w:noProof/>
        </w:rPr>
        <w:t>(121, 122)</w:t>
      </w:r>
      <w:r w:rsidR="00D2447F" w:rsidRPr="0054775B">
        <w:t xml:space="preserve">. </w:t>
      </w:r>
      <w:r w:rsidRPr="0054775B">
        <w:t xml:space="preserve"> </w:t>
      </w:r>
    </w:p>
    <w:p w14:paraId="3AD9C9B6" w14:textId="646FD425" w:rsidR="00444B8A" w:rsidRPr="0054775B" w:rsidRDefault="00444B8A" w:rsidP="009E6F7F">
      <w:r w:rsidRPr="0054775B">
        <w:t>Dysmenorrhea can be classified as either primary (no identifiable cause) or secondary (due to an underlying condition such as endometriosis, pelvic inflammatory disease, or uterine fibroids</w:t>
      </w:r>
      <w:r w:rsidR="002F0A88" w:rsidRPr="0054775B">
        <w:t>, accounting for approximately 10% of cases</w:t>
      </w:r>
      <w:r w:rsidRPr="0054775B">
        <w:t>)</w:t>
      </w:r>
      <w:r w:rsidR="00CB3659" w:rsidRPr="0054775B">
        <w:t xml:space="preserve"> </w:t>
      </w:r>
      <w:r w:rsidR="00F54937">
        <w:rPr>
          <w:noProof/>
        </w:rPr>
        <w:t>(122)</w:t>
      </w:r>
      <w:r w:rsidRPr="0054775B">
        <w:t xml:space="preserve">. </w:t>
      </w:r>
      <w:r w:rsidR="00CB3659" w:rsidRPr="0054775B">
        <w:t>Diagnosis of dysmenorrhea relies on a detailed medical history</w:t>
      </w:r>
      <w:r w:rsidR="002F0A88" w:rsidRPr="0054775B">
        <w:t>, sometimes with</w:t>
      </w:r>
      <w:r w:rsidR="00CB3659" w:rsidRPr="0054775B">
        <w:t xml:space="preserve"> physical </w:t>
      </w:r>
      <w:r w:rsidR="002F0A88" w:rsidRPr="0054775B">
        <w:t xml:space="preserve">pelvic </w:t>
      </w:r>
      <w:r w:rsidR="00CB3659" w:rsidRPr="0054775B">
        <w:t>examination.</w:t>
      </w:r>
    </w:p>
    <w:p w14:paraId="061AE27D" w14:textId="77777777" w:rsidR="008308E9" w:rsidRPr="0054775B" w:rsidRDefault="008308E9" w:rsidP="009E6F7F">
      <w:pPr>
        <w:pStyle w:val="2024HEADER3"/>
        <w:rPr>
          <w:rFonts w:ascii="Aptos" w:hAnsi="Aptos"/>
        </w:rPr>
      </w:pPr>
      <w:r w:rsidRPr="0054775B">
        <w:rPr>
          <w:rFonts w:ascii="Aptos" w:hAnsi="Aptos"/>
        </w:rPr>
        <w:t>Description of the intervention</w:t>
      </w:r>
    </w:p>
    <w:p w14:paraId="07E770F6" w14:textId="2033E9AD" w:rsidR="002B46DC" w:rsidRPr="0054775B" w:rsidRDefault="002B46DC" w:rsidP="009E6F7F">
      <w:r w:rsidRPr="0054775B">
        <w:t xml:space="preserve">Cruciferous indoles are a class of secondary metabolites found predominantly in cruciferous vegetables, a plant family that includes cabbage, broccoli, </w:t>
      </w:r>
      <w:r w:rsidR="00111EE4" w:rsidRPr="0054775B">
        <w:t>b</w:t>
      </w:r>
      <w:r w:rsidRPr="0054775B">
        <w:t xml:space="preserve">russels sprouts, cauliflower, and kale. </w:t>
      </w:r>
      <w:r w:rsidR="00690583" w:rsidRPr="0054775B">
        <w:t xml:space="preserve">They are consumed primarily through the dietary intake of their parent vegetables. </w:t>
      </w:r>
      <w:r w:rsidRPr="0054775B">
        <w:t xml:space="preserve">The most well-studied cruciferous indoles are indole-3-carbinol (I3C) and its </w:t>
      </w:r>
      <w:r w:rsidR="009B4822" w:rsidRPr="0054775B">
        <w:t xml:space="preserve">biologically active dimer, </w:t>
      </w:r>
      <w:r w:rsidRPr="0054775B">
        <w:t>di</w:t>
      </w:r>
      <w:r w:rsidR="00B37C28" w:rsidRPr="0054775B">
        <w:t>i</w:t>
      </w:r>
      <w:r w:rsidRPr="0054775B">
        <w:t>ndolylmethane</w:t>
      </w:r>
      <w:r w:rsidR="00EE2F2D" w:rsidRPr="0054775B">
        <w:t xml:space="preserve"> </w:t>
      </w:r>
      <w:r w:rsidR="00F54937">
        <w:rPr>
          <w:noProof/>
        </w:rPr>
        <w:t>(123)</w:t>
      </w:r>
      <w:r w:rsidRPr="0054775B">
        <w:t>.</w:t>
      </w:r>
      <w:r w:rsidR="00D9686C" w:rsidRPr="0054775B">
        <w:t xml:space="preserve"> </w:t>
      </w:r>
      <w:r w:rsidR="009D70C9" w:rsidRPr="0054775B">
        <w:t>Di</w:t>
      </w:r>
      <w:r w:rsidR="00B37C28" w:rsidRPr="0054775B">
        <w:t>i</w:t>
      </w:r>
      <w:r w:rsidR="009D70C9" w:rsidRPr="0054775B">
        <w:t xml:space="preserve">ndolylmethane is not naturally abundant in food </w:t>
      </w:r>
      <w:r w:rsidR="00487F95" w:rsidRPr="0054775B">
        <w:t>sources but</w:t>
      </w:r>
      <w:r w:rsidR="009D70C9" w:rsidRPr="0054775B">
        <w:t xml:space="preserve"> can be formed in the acidic environment of the stomach after I3C consumption or obtained through dietary supplements. </w:t>
      </w:r>
      <w:r w:rsidRPr="0054775B">
        <w:t xml:space="preserve">Factors like cooking methods, processing, and even variations within the gut microbiome can influence the final indole compounds and their bioavailability </w:t>
      </w:r>
      <w:r w:rsidR="00F54937">
        <w:rPr>
          <w:noProof/>
        </w:rPr>
        <w:t>(123)</w:t>
      </w:r>
      <w:r w:rsidR="00487F95" w:rsidRPr="0054775B">
        <w:t>.</w:t>
      </w:r>
    </w:p>
    <w:p w14:paraId="7BD57A8A" w14:textId="2B541D07" w:rsidR="002B46DC" w:rsidRPr="0054775B" w:rsidRDefault="002B46DC" w:rsidP="009E6F7F">
      <w:r w:rsidRPr="0054775B">
        <w:t>Research on cruciferous indoles, particularly I3C and DIM, suggests potential biological activities relevant to health and disease prevention</w:t>
      </w:r>
      <w:r w:rsidR="00784B31" w:rsidRPr="0054775B">
        <w:t xml:space="preserve">, though evidence is still </w:t>
      </w:r>
      <w:r w:rsidR="009D70C9" w:rsidRPr="0054775B">
        <w:t>in its infancy</w:t>
      </w:r>
      <w:r w:rsidRPr="0054775B">
        <w:t xml:space="preserve">. Potential mechanisms under investigation include modulating estrogen metabolism, antioxidant effects, and influencing cell </w:t>
      </w:r>
      <w:r w:rsidR="00D9686C" w:rsidRPr="0054775B">
        <w:t>signalling</w:t>
      </w:r>
      <w:r w:rsidRPr="0054775B">
        <w:t xml:space="preserve"> pathways </w:t>
      </w:r>
      <w:r w:rsidR="00F54937">
        <w:rPr>
          <w:noProof/>
        </w:rPr>
        <w:t>(124)</w:t>
      </w:r>
      <w:r w:rsidR="00784B31" w:rsidRPr="0054775B">
        <w:t xml:space="preserve">. </w:t>
      </w:r>
    </w:p>
    <w:p w14:paraId="506F7A20" w14:textId="77777777" w:rsidR="008308E9" w:rsidRPr="0054775B" w:rsidRDefault="008308E9" w:rsidP="009E6F7F">
      <w:pPr>
        <w:pStyle w:val="2024HEADER3"/>
        <w:rPr>
          <w:rFonts w:ascii="Aptos" w:hAnsi="Aptos"/>
        </w:rPr>
      </w:pPr>
      <w:r w:rsidRPr="0054775B">
        <w:rPr>
          <w:rFonts w:ascii="Aptos" w:hAnsi="Aptos"/>
        </w:rPr>
        <w:t>Prioritised outcomes</w:t>
      </w:r>
    </w:p>
    <w:p w14:paraId="5C9DAF07" w14:textId="5D7D06CB" w:rsidR="00184383" w:rsidRPr="0054775B" w:rsidRDefault="00184383" w:rsidP="009E6F7F">
      <w:r w:rsidRPr="0054775B">
        <w:t xml:space="preserve">Seven priority outcomes were </w:t>
      </w:r>
      <w:r w:rsidR="007F404D" w:rsidRPr="0054775B">
        <w:t xml:space="preserve">identified by NTWC as part of the Outcome Prioritisation Exercise. These are listed below by order of priority. </w:t>
      </w:r>
      <w:r w:rsidRPr="0054775B">
        <w:t>Outcomes were rated by their importance to decision-making, with those rated 7-9 being critical for decision-making.</w:t>
      </w:r>
    </w:p>
    <w:p w14:paraId="070B94A8" w14:textId="3026B858" w:rsidR="00764746" w:rsidRPr="0054775B" w:rsidRDefault="00696696" w:rsidP="009760CB">
      <w:pPr>
        <w:pStyle w:val="2024TABLECAPTION"/>
        <w:rPr>
          <w:rFonts w:ascii="Aptos" w:hAnsi="Aptos"/>
        </w:rPr>
      </w:pPr>
      <w:bookmarkStart w:id="90" w:name="_Toc185261601"/>
      <w:r w:rsidRPr="0054775B">
        <w:rPr>
          <w:rFonts w:ascii="Aptos" w:hAnsi="Aptos"/>
        </w:rPr>
        <w:t xml:space="preserve">Table </w:t>
      </w:r>
      <w:r w:rsidR="002F1F6C" w:rsidRPr="0054775B">
        <w:rPr>
          <w:rFonts w:ascii="Aptos" w:hAnsi="Aptos"/>
        </w:rPr>
        <w:fldChar w:fldCharType="begin"/>
      </w:r>
      <w:r w:rsidR="002F1F6C" w:rsidRPr="0054775B">
        <w:rPr>
          <w:rFonts w:ascii="Aptos" w:hAnsi="Aptos"/>
        </w:rPr>
        <w:instrText xml:space="preserve"> SEQ Table \* ARABIC </w:instrText>
      </w:r>
      <w:r w:rsidR="002F1F6C" w:rsidRPr="0054775B">
        <w:rPr>
          <w:rFonts w:ascii="Aptos" w:hAnsi="Aptos"/>
        </w:rPr>
        <w:fldChar w:fldCharType="separate"/>
      </w:r>
      <w:r w:rsidR="00CB3AAD" w:rsidRPr="0054775B" w:rsidDel="004E7C54">
        <w:rPr>
          <w:rFonts w:ascii="Aptos" w:hAnsi="Aptos"/>
          <w:noProof/>
        </w:rPr>
        <w:t>23</w:t>
      </w:r>
      <w:r w:rsidR="002F1F6C" w:rsidRPr="0054775B">
        <w:rPr>
          <w:rFonts w:ascii="Aptos" w:hAnsi="Aptos"/>
          <w:noProof/>
        </w:rPr>
        <w:fldChar w:fldCharType="end"/>
      </w:r>
      <w:r w:rsidRPr="0054775B">
        <w:rPr>
          <w:rFonts w:ascii="Aptos" w:hAnsi="Aptos"/>
        </w:rPr>
        <w:t xml:space="preserve">. </w:t>
      </w:r>
      <w:r w:rsidR="00764746" w:rsidRPr="0054775B">
        <w:rPr>
          <w:rFonts w:ascii="Aptos" w:hAnsi="Aptos"/>
        </w:rPr>
        <w:t xml:space="preserve">List of prioritised outcomes – </w:t>
      </w:r>
      <w:r w:rsidR="0012437F" w:rsidRPr="0054775B">
        <w:rPr>
          <w:rFonts w:ascii="Aptos" w:hAnsi="Aptos"/>
        </w:rPr>
        <w:t xml:space="preserve">Dysmenorrhea, Cruciferous indoles (indole-3-carbinol, diindolylmethane) </w:t>
      </w:r>
      <w:r w:rsidR="00764746" w:rsidRPr="0054775B">
        <w:rPr>
          <w:rFonts w:ascii="Aptos" w:hAnsi="Aptos"/>
        </w:rPr>
        <w:t>(as assessed as part of the Outcome Prioritisation Exercise by NTWC).</w:t>
      </w:r>
      <w:bookmarkEnd w:id="90"/>
      <w:r w:rsidR="00764746" w:rsidRPr="0054775B">
        <w:rPr>
          <w:rFonts w:ascii="Aptos" w:hAnsi="Aptos"/>
        </w:rPr>
        <w:t> </w:t>
      </w:r>
    </w:p>
    <w:tbl>
      <w:tblPr>
        <w:tblW w:w="8500" w:type="dxa"/>
        <w:tblLayout w:type="fixed"/>
        <w:tblCellMar>
          <w:top w:w="28" w:type="dxa"/>
          <w:left w:w="57" w:type="dxa"/>
          <w:bottom w:w="28" w:type="dxa"/>
          <w:right w:w="28" w:type="dxa"/>
        </w:tblCellMar>
        <w:tblLook w:val="04A0" w:firstRow="1" w:lastRow="0" w:firstColumn="1" w:lastColumn="0" w:noHBand="0" w:noVBand="1"/>
      </w:tblPr>
      <w:tblGrid>
        <w:gridCol w:w="333"/>
        <w:gridCol w:w="1363"/>
        <w:gridCol w:w="1701"/>
        <w:gridCol w:w="851"/>
        <w:gridCol w:w="4252"/>
      </w:tblGrid>
      <w:tr w:rsidR="007E3399" w:rsidRPr="0054775B" w14:paraId="67F24952" w14:textId="77777777" w:rsidTr="00685C40">
        <w:trPr>
          <w:trHeight w:val="95"/>
        </w:trPr>
        <w:tc>
          <w:tcPr>
            <w:tcW w:w="333" w:type="dxa"/>
            <w:vMerge w:val="restart"/>
            <w:tcBorders>
              <w:top w:val="single" w:sz="4" w:space="0" w:color="auto"/>
              <w:left w:val="single" w:sz="4" w:space="0" w:color="auto"/>
              <w:right w:val="single" w:sz="4" w:space="0" w:color="auto"/>
            </w:tcBorders>
            <w:shd w:val="clear" w:color="auto" w:fill="D9D9D9" w:themeFill="background1" w:themeFillShade="D9"/>
            <w:vAlign w:val="center"/>
            <w:hideMark/>
          </w:tcPr>
          <w:p w14:paraId="0A9ADE93" w14:textId="596843BE" w:rsidR="00FA7C89" w:rsidRPr="0054775B" w:rsidRDefault="00FA7C89" w:rsidP="00515FE7">
            <w:pPr>
              <w:pStyle w:val="2024TABLEHEADER"/>
            </w:pPr>
            <w:r w:rsidRPr="0054775B">
              <w:t> #</w:t>
            </w:r>
          </w:p>
        </w:tc>
        <w:tc>
          <w:tcPr>
            <w:tcW w:w="1363" w:type="dxa"/>
            <w:vMerge w:val="restart"/>
            <w:tcBorders>
              <w:top w:val="single" w:sz="4" w:space="0" w:color="auto"/>
              <w:left w:val="nil"/>
              <w:right w:val="single" w:sz="4" w:space="0" w:color="auto"/>
            </w:tcBorders>
            <w:shd w:val="clear" w:color="auto" w:fill="D9D9D9" w:themeFill="background1" w:themeFillShade="D9"/>
            <w:vAlign w:val="center"/>
            <w:hideMark/>
          </w:tcPr>
          <w:p w14:paraId="72596D2A" w14:textId="77777777" w:rsidR="00FA7C89" w:rsidRPr="0054775B" w:rsidRDefault="00FA7C89" w:rsidP="00515FE7">
            <w:pPr>
              <w:pStyle w:val="2024TABLEHEADER"/>
              <w:rPr>
                <w:color w:val="000000"/>
              </w:rPr>
            </w:pPr>
            <w:r w:rsidRPr="0054775B">
              <w:t>Priority population</w:t>
            </w:r>
          </w:p>
        </w:tc>
        <w:tc>
          <w:tcPr>
            <w:tcW w:w="1701" w:type="dxa"/>
            <w:vMerge w:val="restart"/>
            <w:tcBorders>
              <w:top w:val="single" w:sz="4" w:space="0" w:color="auto"/>
              <w:left w:val="nil"/>
              <w:right w:val="single" w:sz="4" w:space="0" w:color="auto"/>
            </w:tcBorders>
            <w:shd w:val="clear" w:color="auto" w:fill="D9D9D9" w:themeFill="background1" w:themeFillShade="D9"/>
            <w:vAlign w:val="center"/>
            <w:hideMark/>
          </w:tcPr>
          <w:p w14:paraId="6BBDD433" w14:textId="77777777" w:rsidR="00FA7C89" w:rsidRPr="0054775B" w:rsidRDefault="00FA7C89" w:rsidP="00515FE7">
            <w:pPr>
              <w:pStyle w:val="2024TABLEHEADER"/>
              <w:rPr>
                <w:color w:val="000000"/>
              </w:rPr>
            </w:pPr>
            <w:r w:rsidRPr="0054775B">
              <w:t xml:space="preserve">Priority intervention </w:t>
            </w:r>
          </w:p>
        </w:tc>
        <w:tc>
          <w:tcPr>
            <w:tcW w:w="5103" w:type="dxa"/>
            <w:gridSpan w:val="2"/>
            <w:tcBorders>
              <w:top w:val="single" w:sz="4" w:space="0" w:color="auto"/>
              <w:left w:val="nil"/>
              <w:bottom w:val="single" w:sz="4" w:space="0" w:color="auto"/>
              <w:right w:val="single" w:sz="4" w:space="0" w:color="auto"/>
            </w:tcBorders>
            <w:shd w:val="clear" w:color="auto" w:fill="D9D9D9" w:themeFill="background1" w:themeFillShade="D9"/>
            <w:vAlign w:val="center"/>
          </w:tcPr>
          <w:p w14:paraId="7ECDE1F8" w14:textId="6BABE443" w:rsidR="00FA7C89" w:rsidRPr="0054775B" w:rsidRDefault="00FA7C89" w:rsidP="00515FE7">
            <w:pPr>
              <w:pStyle w:val="2024TABLEHEADER"/>
            </w:pPr>
            <w:r w:rsidRPr="0054775B">
              <w:t>Priority outcomes</w:t>
            </w:r>
          </w:p>
        </w:tc>
      </w:tr>
      <w:tr w:rsidR="007E3399" w:rsidRPr="0054775B" w14:paraId="59E30C35" w14:textId="77777777" w:rsidTr="00685C40">
        <w:trPr>
          <w:trHeight w:val="95"/>
        </w:trPr>
        <w:tc>
          <w:tcPr>
            <w:tcW w:w="333" w:type="dxa"/>
            <w:vMerge/>
            <w:tcBorders>
              <w:left w:val="single" w:sz="4" w:space="0" w:color="auto"/>
              <w:bottom w:val="single" w:sz="4" w:space="0" w:color="auto"/>
              <w:right w:val="single" w:sz="4" w:space="0" w:color="auto"/>
            </w:tcBorders>
            <w:shd w:val="clear" w:color="auto" w:fill="D9D9D9" w:themeFill="background1" w:themeFillShade="D9"/>
            <w:vAlign w:val="center"/>
          </w:tcPr>
          <w:p w14:paraId="54F3C5D9" w14:textId="77777777" w:rsidR="00F32980" w:rsidRPr="0054775B" w:rsidRDefault="00F32980" w:rsidP="00515FE7">
            <w:pPr>
              <w:pStyle w:val="2024TABLEHEADER"/>
            </w:pPr>
          </w:p>
        </w:tc>
        <w:tc>
          <w:tcPr>
            <w:tcW w:w="1363" w:type="dxa"/>
            <w:vMerge/>
            <w:tcBorders>
              <w:left w:val="nil"/>
              <w:bottom w:val="single" w:sz="4" w:space="0" w:color="auto"/>
              <w:right w:val="single" w:sz="4" w:space="0" w:color="auto"/>
            </w:tcBorders>
            <w:shd w:val="clear" w:color="auto" w:fill="D9D9D9" w:themeFill="background1" w:themeFillShade="D9"/>
            <w:vAlign w:val="center"/>
          </w:tcPr>
          <w:p w14:paraId="26FA07BA" w14:textId="77777777" w:rsidR="00F32980" w:rsidRPr="0054775B" w:rsidRDefault="00F32980" w:rsidP="00515FE7">
            <w:pPr>
              <w:pStyle w:val="2024TABLEHEADER"/>
            </w:pPr>
          </w:p>
        </w:tc>
        <w:tc>
          <w:tcPr>
            <w:tcW w:w="1701" w:type="dxa"/>
            <w:vMerge/>
            <w:tcBorders>
              <w:left w:val="nil"/>
              <w:bottom w:val="single" w:sz="4" w:space="0" w:color="auto"/>
              <w:right w:val="single" w:sz="4" w:space="0" w:color="auto"/>
            </w:tcBorders>
            <w:shd w:val="clear" w:color="auto" w:fill="D9D9D9" w:themeFill="background1" w:themeFillShade="D9"/>
            <w:vAlign w:val="center"/>
          </w:tcPr>
          <w:p w14:paraId="610721A4" w14:textId="77777777" w:rsidR="00F32980" w:rsidRPr="0054775B" w:rsidRDefault="00F32980" w:rsidP="00515FE7">
            <w:pPr>
              <w:pStyle w:val="2024TABLEHEADER"/>
            </w:pPr>
          </w:p>
        </w:tc>
        <w:tc>
          <w:tcPr>
            <w:tcW w:w="851" w:type="dxa"/>
            <w:tcBorders>
              <w:top w:val="nil"/>
              <w:left w:val="nil"/>
              <w:bottom w:val="single" w:sz="4" w:space="0" w:color="auto"/>
              <w:right w:val="single" w:sz="4" w:space="0" w:color="auto"/>
            </w:tcBorders>
            <w:shd w:val="clear" w:color="auto" w:fill="D9D9D9" w:themeFill="background1" w:themeFillShade="D9"/>
            <w:vAlign w:val="center"/>
          </w:tcPr>
          <w:p w14:paraId="69A27DD2" w14:textId="77777777" w:rsidR="00F32980" w:rsidRPr="0054775B" w:rsidRDefault="00F32980" w:rsidP="00515FE7">
            <w:pPr>
              <w:pStyle w:val="2024TABLEHEADER"/>
            </w:pPr>
            <w:r w:rsidRPr="0054775B">
              <w:t>NTWC Rating</w:t>
            </w:r>
          </w:p>
        </w:tc>
        <w:tc>
          <w:tcPr>
            <w:tcW w:w="4252" w:type="dxa"/>
            <w:tcBorders>
              <w:top w:val="nil"/>
              <w:left w:val="nil"/>
              <w:bottom w:val="single" w:sz="4" w:space="0" w:color="auto"/>
              <w:right w:val="single" w:sz="4" w:space="0" w:color="auto"/>
            </w:tcBorders>
            <w:shd w:val="clear" w:color="auto" w:fill="D9D9D9" w:themeFill="background1" w:themeFillShade="D9"/>
            <w:vAlign w:val="center"/>
          </w:tcPr>
          <w:p w14:paraId="19C1DB0D" w14:textId="72F7BEBB" w:rsidR="00F32980" w:rsidRPr="0054775B" w:rsidRDefault="00F32980" w:rsidP="00515FE7">
            <w:pPr>
              <w:pStyle w:val="2024TABLEHEADER"/>
            </w:pPr>
            <w:r w:rsidRPr="0054775B">
              <w:t>Outcome</w:t>
            </w:r>
            <w:r>
              <w:t xml:space="preserve"> domain</w:t>
            </w:r>
          </w:p>
        </w:tc>
      </w:tr>
      <w:tr w:rsidR="00C061AE" w:rsidRPr="0054775B" w14:paraId="70319459" w14:textId="77777777" w:rsidTr="0043715E">
        <w:trPr>
          <w:trHeight w:val="95"/>
        </w:trPr>
        <w:tc>
          <w:tcPr>
            <w:tcW w:w="333" w:type="dxa"/>
            <w:vMerge w:val="restart"/>
            <w:tcBorders>
              <w:left w:val="single" w:sz="4" w:space="0" w:color="auto"/>
              <w:right w:val="single" w:sz="4" w:space="0" w:color="auto"/>
            </w:tcBorders>
            <w:shd w:val="clear" w:color="auto" w:fill="auto"/>
            <w:vAlign w:val="center"/>
          </w:tcPr>
          <w:p w14:paraId="124D3DA0" w14:textId="79340E00" w:rsidR="00C061AE" w:rsidRPr="00FA7C89" w:rsidRDefault="00C061AE" w:rsidP="002F646D">
            <w:pPr>
              <w:pStyle w:val="2024TABLEHEADER"/>
              <w:spacing w:before="0" w:after="0"/>
              <w:rPr>
                <w:b w:val="0"/>
                <w:bCs w:val="0"/>
              </w:rPr>
            </w:pPr>
            <w:r w:rsidRPr="00FA7C89">
              <w:rPr>
                <w:b w:val="0"/>
                <w:bCs w:val="0"/>
              </w:rPr>
              <w:t>6</w:t>
            </w:r>
          </w:p>
        </w:tc>
        <w:tc>
          <w:tcPr>
            <w:tcW w:w="1363" w:type="dxa"/>
            <w:vMerge w:val="restart"/>
            <w:tcBorders>
              <w:left w:val="nil"/>
              <w:right w:val="single" w:sz="4" w:space="0" w:color="auto"/>
            </w:tcBorders>
            <w:shd w:val="clear" w:color="auto" w:fill="auto"/>
            <w:vAlign w:val="center"/>
          </w:tcPr>
          <w:p w14:paraId="3841D122" w14:textId="302AC5C2" w:rsidR="00C061AE" w:rsidRPr="00FA7C89" w:rsidRDefault="00C061AE" w:rsidP="002F646D">
            <w:pPr>
              <w:pStyle w:val="2024TABLEHEADER"/>
              <w:spacing w:before="0" w:after="0"/>
              <w:rPr>
                <w:b w:val="0"/>
                <w:bCs w:val="0"/>
              </w:rPr>
            </w:pPr>
            <w:r w:rsidRPr="00FA7C89">
              <w:rPr>
                <w:b w:val="0"/>
                <w:bCs w:val="0"/>
              </w:rPr>
              <w:t>Dysmenorrhea</w:t>
            </w:r>
          </w:p>
        </w:tc>
        <w:tc>
          <w:tcPr>
            <w:tcW w:w="1701" w:type="dxa"/>
            <w:vMerge w:val="restart"/>
            <w:tcBorders>
              <w:left w:val="nil"/>
              <w:right w:val="single" w:sz="4" w:space="0" w:color="auto"/>
            </w:tcBorders>
            <w:shd w:val="clear" w:color="auto" w:fill="auto"/>
            <w:vAlign w:val="center"/>
          </w:tcPr>
          <w:p w14:paraId="5000CD0F" w14:textId="0BA22BA5" w:rsidR="00C061AE" w:rsidRPr="00685C40" w:rsidRDefault="00C061AE" w:rsidP="002F646D">
            <w:pPr>
              <w:pStyle w:val="2024TABLEHEADER"/>
              <w:spacing w:before="0" w:after="0"/>
              <w:rPr>
                <w:b w:val="0"/>
                <w:bCs w:val="0"/>
              </w:rPr>
            </w:pPr>
            <w:r w:rsidRPr="00685C40">
              <w:rPr>
                <w:b w:val="0"/>
                <w:bCs w:val="0"/>
              </w:rPr>
              <w:t xml:space="preserve">Cruciferous Indoles (indole-3- </w:t>
            </w:r>
            <w:r w:rsidRPr="00685C40">
              <w:rPr>
                <w:b w:val="0"/>
                <w:bCs w:val="0"/>
              </w:rPr>
              <w:lastRenderedPageBreak/>
              <w:t>carbinol, diindolylmethane)</w:t>
            </w:r>
          </w:p>
        </w:tc>
        <w:tc>
          <w:tcPr>
            <w:tcW w:w="851" w:type="dxa"/>
            <w:tcBorders>
              <w:top w:val="nil"/>
              <w:left w:val="nil"/>
              <w:bottom w:val="single" w:sz="4" w:space="0" w:color="auto"/>
              <w:right w:val="single" w:sz="4" w:space="0" w:color="auto"/>
            </w:tcBorders>
            <w:shd w:val="clear" w:color="auto" w:fill="auto"/>
            <w:vAlign w:val="center"/>
          </w:tcPr>
          <w:p w14:paraId="49C78BC5" w14:textId="101D3D7A" w:rsidR="00C061AE" w:rsidRPr="00685C40" w:rsidRDefault="00C061AE" w:rsidP="002F646D">
            <w:pPr>
              <w:pStyle w:val="2024TABLEHEADER"/>
              <w:spacing w:before="0" w:after="0"/>
              <w:rPr>
                <w:b w:val="0"/>
                <w:bCs w:val="0"/>
              </w:rPr>
            </w:pPr>
            <w:r w:rsidRPr="00685C40">
              <w:rPr>
                <w:b w:val="0"/>
                <w:bCs w:val="0"/>
              </w:rPr>
              <w:lastRenderedPageBreak/>
              <w:t>9</w:t>
            </w:r>
          </w:p>
        </w:tc>
        <w:tc>
          <w:tcPr>
            <w:tcW w:w="4252" w:type="dxa"/>
            <w:tcBorders>
              <w:top w:val="nil"/>
              <w:left w:val="nil"/>
              <w:bottom w:val="single" w:sz="4" w:space="0" w:color="auto"/>
              <w:right w:val="single" w:sz="4" w:space="0" w:color="auto"/>
            </w:tcBorders>
            <w:shd w:val="clear" w:color="auto" w:fill="auto"/>
          </w:tcPr>
          <w:p w14:paraId="0749DDCF" w14:textId="4B8EE1E0" w:rsidR="00C061AE" w:rsidRPr="00685C40" w:rsidRDefault="00C061AE" w:rsidP="002F646D">
            <w:pPr>
              <w:pStyle w:val="2024TABLEHEADER"/>
              <w:spacing w:before="0" w:after="0"/>
              <w:rPr>
                <w:b w:val="0"/>
                <w:bCs w:val="0"/>
              </w:rPr>
            </w:pPr>
            <w:r w:rsidRPr="00685C40">
              <w:rPr>
                <w:b w:val="0"/>
                <w:bCs w:val="0"/>
              </w:rPr>
              <w:t>Abdominal pain burden</w:t>
            </w:r>
          </w:p>
        </w:tc>
      </w:tr>
      <w:tr w:rsidR="00C061AE" w:rsidRPr="0054775B" w14:paraId="2F4C8FF4" w14:textId="77777777" w:rsidTr="00685C40">
        <w:trPr>
          <w:trHeight w:val="95"/>
        </w:trPr>
        <w:tc>
          <w:tcPr>
            <w:tcW w:w="333" w:type="dxa"/>
            <w:vMerge/>
            <w:tcBorders>
              <w:left w:val="single" w:sz="4" w:space="0" w:color="auto"/>
              <w:right w:val="single" w:sz="4" w:space="0" w:color="auto"/>
            </w:tcBorders>
            <w:shd w:val="clear" w:color="auto" w:fill="auto"/>
            <w:vAlign w:val="center"/>
          </w:tcPr>
          <w:p w14:paraId="2681FFD1" w14:textId="77777777" w:rsidR="00C061AE" w:rsidRPr="0054775B" w:rsidRDefault="00C061AE" w:rsidP="002F646D">
            <w:pPr>
              <w:pStyle w:val="2024TABLEHEADER"/>
              <w:spacing w:before="0" w:after="0"/>
            </w:pPr>
          </w:p>
        </w:tc>
        <w:tc>
          <w:tcPr>
            <w:tcW w:w="1363" w:type="dxa"/>
            <w:vMerge/>
            <w:tcBorders>
              <w:left w:val="nil"/>
              <w:right w:val="single" w:sz="4" w:space="0" w:color="auto"/>
            </w:tcBorders>
            <w:shd w:val="clear" w:color="auto" w:fill="auto"/>
            <w:vAlign w:val="center"/>
          </w:tcPr>
          <w:p w14:paraId="643FADA5" w14:textId="77777777" w:rsidR="00C061AE" w:rsidRPr="0054775B" w:rsidRDefault="00C061AE" w:rsidP="002F646D">
            <w:pPr>
              <w:pStyle w:val="2024TABLEHEADER"/>
              <w:spacing w:before="0" w:after="0"/>
            </w:pPr>
          </w:p>
        </w:tc>
        <w:tc>
          <w:tcPr>
            <w:tcW w:w="1701" w:type="dxa"/>
            <w:vMerge/>
            <w:tcBorders>
              <w:left w:val="nil"/>
              <w:right w:val="single" w:sz="4" w:space="0" w:color="auto"/>
            </w:tcBorders>
            <w:shd w:val="clear" w:color="auto" w:fill="auto"/>
            <w:vAlign w:val="center"/>
          </w:tcPr>
          <w:p w14:paraId="79F58009" w14:textId="77777777" w:rsidR="00C061AE" w:rsidRPr="0054775B" w:rsidRDefault="00C061AE" w:rsidP="002F646D">
            <w:pPr>
              <w:pStyle w:val="2024TABLEHEADER"/>
              <w:spacing w:before="0" w:after="0"/>
            </w:pPr>
          </w:p>
        </w:tc>
        <w:tc>
          <w:tcPr>
            <w:tcW w:w="851" w:type="dxa"/>
            <w:tcBorders>
              <w:top w:val="nil"/>
              <w:left w:val="nil"/>
              <w:bottom w:val="single" w:sz="4" w:space="0" w:color="auto"/>
              <w:right w:val="single" w:sz="4" w:space="0" w:color="auto"/>
            </w:tcBorders>
            <w:shd w:val="clear" w:color="auto" w:fill="auto"/>
            <w:vAlign w:val="center"/>
          </w:tcPr>
          <w:p w14:paraId="5A3DC517" w14:textId="72142D66" w:rsidR="00C061AE" w:rsidRPr="00685C40" w:rsidRDefault="00C061AE" w:rsidP="002F646D">
            <w:pPr>
              <w:pStyle w:val="2024TABLEHEADER"/>
              <w:spacing w:before="0" w:after="0"/>
              <w:rPr>
                <w:b w:val="0"/>
                <w:bCs w:val="0"/>
              </w:rPr>
            </w:pPr>
            <w:r w:rsidRPr="00685C40">
              <w:rPr>
                <w:b w:val="0"/>
                <w:bCs w:val="0"/>
              </w:rPr>
              <w:t>9</w:t>
            </w:r>
          </w:p>
        </w:tc>
        <w:tc>
          <w:tcPr>
            <w:tcW w:w="4252" w:type="dxa"/>
            <w:tcBorders>
              <w:top w:val="nil"/>
              <w:left w:val="nil"/>
              <w:bottom w:val="single" w:sz="4" w:space="0" w:color="auto"/>
              <w:right w:val="single" w:sz="4" w:space="0" w:color="auto"/>
            </w:tcBorders>
            <w:shd w:val="clear" w:color="auto" w:fill="auto"/>
            <w:vAlign w:val="center"/>
          </w:tcPr>
          <w:p w14:paraId="0EBEEBE2" w14:textId="437C2392" w:rsidR="00C061AE" w:rsidRPr="00685C40" w:rsidRDefault="00C061AE" w:rsidP="002F646D">
            <w:pPr>
              <w:pStyle w:val="2024TABLEHEADER"/>
              <w:spacing w:before="0" w:after="0"/>
              <w:rPr>
                <w:b w:val="0"/>
                <w:bCs w:val="0"/>
              </w:rPr>
            </w:pPr>
            <w:r w:rsidRPr="00685C40">
              <w:rPr>
                <w:b w:val="0"/>
                <w:bCs w:val="0"/>
              </w:rPr>
              <w:t>Physiological symptoms of dysmenorrhoea</w:t>
            </w:r>
          </w:p>
        </w:tc>
      </w:tr>
      <w:tr w:rsidR="00C061AE" w:rsidRPr="0054775B" w14:paraId="78354584" w14:textId="77777777" w:rsidTr="00685C40">
        <w:trPr>
          <w:trHeight w:val="95"/>
        </w:trPr>
        <w:tc>
          <w:tcPr>
            <w:tcW w:w="333" w:type="dxa"/>
            <w:vMerge/>
            <w:tcBorders>
              <w:left w:val="single" w:sz="4" w:space="0" w:color="auto"/>
              <w:right w:val="single" w:sz="4" w:space="0" w:color="auto"/>
            </w:tcBorders>
            <w:shd w:val="clear" w:color="auto" w:fill="auto"/>
            <w:vAlign w:val="center"/>
          </w:tcPr>
          <w:p w14:paraId="37EB2F4F" w14:textId="77777777" w:rsidR="00C061AE" w:rsidRPr="0054775B" w:rsidRDefault="00C061AE" w:rsidP="002F646D">
            <w:pPr>
              <w:pStyle w:val="2024TABLEHEADER"/>
              <w:spacing w:before="0" w:after="0"/>
            </w:pPr>
          </w:p>
        </w:tc>
        <w:tc>
          <w:tcPr>
            <w:tcW w:w="1363" w:type="dxa"/>
            <w:vMerge/>
            <w:tcBorders>
              <w:left w:val="nil"/>
              <w:right w:val="single" w:sz="4" w:space="0" w:color="auto"/>
            </w:tcBorders>
            <w:shd w:val="clear" w:color="auto" w:fill="auto"/>
            <w:vAlign w:val="center"/>
          </w:tcPr>
          <w:p w14:paraId="5482B500" w14:textId="77777777" w:rsidR="00C061AE" w:rsidRPr="0054775B" w:rsidRDefault="00C061AE" w:rsidP="002F646D">
            <w:pPr>
              <w:pStyle w:val="2024TABLEHEADER"/>
              <w:spacing w:before="0" w:after="0"/>
            </w:pPr>
          </w:p>
        </w:tc>
        <w:tc>
          <w:tcPr>
            <w:tcW w:w="1701" w:type="dxa"/>
            <w:vMerge/>
            <w:tcBorders>
              <w:left w:val="nil"/>
              <w:right w:val="single" w:sz="4" w:space="0" w:color="auto"/>
            </w:tcBorders>
            <w:shd w:val="clear" w:color="auto" w:fill="auto"/>
            <w:vAlign w:val="center"/>
          </w:tcPr>
          <w:p w14:paraId="3566AFE5" w14:textId="77777777" w:rsidR="00C061AE" w:rsidRPr="0054775B" w:rsidRDefault="00C061AE" w:rsidP="002F646D">
            <w:pPr>
              <w:pStyle w:val="2024TABLEHEADER"/>
              <w:spacing w:before="0" w:after="0"/>
            </w:pPr>
          </w:p>
        </w:tc>
        <w:tc>
          <w:tcPr>
            <w:tcW w:w="851" w:type="dxa"/>
            <w:tcBorders>
              <w:top w:val="nil"/>
              <w:left w:val="nil"/>
              <w:bottom w:val="single" w:sz="4" w:space="0" w:color="auto"/>
              <w:right w:val="single" w:sz="4" w:space="0" w:color="auto"/>
            </w:tcBorders>
            <w:shd w:val="clear" w:color="auto" w:fill="auto"/>
            <w:vAlign w:val="center"/>
          </w:tcPr>
          <w:p w14:paraId="3F76B770" w14:textId="300FA3ED" w:rsidR="00C061AE" w:rsidRPr="00685C40" w:rsidRDefault="00C061AE" w:rsidP="002F646D">
            <w:pPr>
              <w:pStyle w:val="2024TABLEHEADER"/>
              <w:spacing w:before="0" w:after="0"/>
              <w:rPr>
                <w:b w:val="0"/>
                <w:bCs w:val="0"/>
              </w:rPr>
            </w:pPr>
            <w:r w:rsidRPr="00685C40">
              <w:rPr>
                <w:b w:val="0"/>
                <w:bCs w:val="0"/>
              </w:rPr>
              <w:t>9</w:t>
            </w:r>
          </w:p>
        </w:tc>
        <w:tc>
          <w:tcPr>
            <w:tcW w:w="4252" w:type="dxa"/>
            <w:tcBorders>
              <w:top w:val="nil"/>
              <w:left w:val="nil"/>
              <w:bottom w:val="single" w:sz="4" w:space="0" w:color="auto"/>
              <w:right w:val="single" w:sz="4" w:space="0" w:color="auto"/>
            </w:tcBorders>
            <w:shd w:val="clear" w:color="auto" w:fill="auto"/>
            <w:vAlign w:val="center"/>
          </w:tcPr>
          <w:p w14:paraId="486815F5" w14:textId="0C6D5FAD" w:rsidR="00C061AE" w:rsidRPr="00685C40" w:rsidRDefault="00C061AE" w:rsidP="002F646D">
            <w:pPr>
              <w:pStyle w:val="2024TABLEHEADER"/>
              <w:spacing w:before="0" w:after="0"/>
              <w:rPr>
                <w:b w:val="0"/>
                <w:bCs w:val="0"/>
              </w:rPr>
            </w:pPr>
            <w:r w:rsidRPr="00685C40">
              <w:rPr>
                <w:b w:val="0"/>
                <w:bCs w:val="0"/>
              </w:rPr>
              <w:t>Physical function burden from dysmenorrhoea (diahorrea, constipation, gastric upset, nausea)</w:t>
            </w:r>
          </w:p>
        </w:tc>
      </w:tr>
      <w:tr w:rsidR="00C061AE" w:rsidRPr="0054775B" w14:paraId="2DEEA0A3" w14:textId="77777777" w:rsidTr="0043715E">
        <w:trPr>
          <w:trHeight w:val="95"/>
        </w:trPr>
        <w:tc>
          <w:tcPr>
            <w:tcW w:w="333" w:type="dxa"/>
            <w:vMerge/>
            <w:tcBorders>
              <w:left w:val="single" w:sz="4" w:space="0" w:color="auto"/>
              <w:right w:val="single" w:sz="4" w:space="0" w:color="auto"/>
            </w:tcBorders>
            <w:shd w:val="clear" w:color="auto" w:fill="auto"/>
            <w:vAlign w:val="center"/>
          </w:tcPr>
          <w:p w14:paraId="5DDBCA1B" w14:textId="77777777" w:rsidR="00C061AE" w:rsidRPr="0054775B" w:rsidRDefault="00C061AE" w:rsidP="002F646D">
            <w:pPr>
              <w:pStyle w:val="2024TABLEHEADER"/>
              <w:spacing w:before="0" w:after="0"/>
            </w:pPr>
          </w:p>
        </w:tc>
        <w:tc>
          <w:tcPr>
            <w:tcW w:w="1363" w:type="dxa"/>
            <w:vMerge/>
            <w:tcBorders>
              <w:left w:val="nil"/>
              <w:right w:val="single" w:sz="4" w:space="0" w:color="auto"/>
            </w:tcBorders>
            <w:shd w:val="clear" w:color="auto" w:fill="auto"/>
            <w:vAlign w:val="center"/>
          </w:tcPr>
          <w:p w14:paraId="53E5586E" w14:textId="77777777" w:rsidR="00C061AE" w:rsidRPr="0054775B" w:rsidRDefault="00C061AE" w:rsidP="002F646D">
            <w:pPr>
              <w:pStyle w:val="2024TABLEHEADER"/>
              <w:spacing w:before="0" w:after="0"/>
            </w:pPr>
          </w:p>
        </w:tc>
        <w:tc>
          <w:tcPr>
            <w:tcW w:w="1701" w:type="dxa"/>
            <w:vMerge/>
            <w:tcBorders>
              <w:left w:val="nil"/>
              <w:right w:val="single" w:sz="4" w:space="0" w:color="auto"/>
            </w:tcBorders>
            <w:shd w:val="clear" w:color="auto" w:fill="auto"/>
            <w:vAlign w:val="center"/>
          </w:tcPr>
          <w:p w14:paraId="207E6003" w14:textId="77777777" w:rsidR="00C061AE" w:rsidRPr="0054775B" w:rsidRDefault="00C061AE" w:rsidP="002F646D">
            <w:pPr>
              <w:pStyle w:val="2024TABLEHEADER"/>
              <w:spacing w:before="0" w:after="0"/>
            </w:pPr>
          </w:p>
        </w:tc>
        <w:tc>
          <w:tcPr>
            <w:tcW w:w="851" w:type="dxa"/>
            <w:tcBorders>
              <w:top w:val="nil"/>
              <w:left w:val="nil"/>
              <w:bottom w:val="single" w:sz="4" w:space="0" w:color="auto"/>
              <w:right w:val="single" w:sz="4" w:space="0" w:color="auto"/>
            </w:tcBorders>
            <w:shd w:val="clear" w:color="auto" w:fill="auto"/>
            <w:vAlign w:val="center"/>
          </w:tcPr>
          <w:p w14:paraId="2B3603B8" w14:textId="4C4B3876" w:rsidR="00C061AE" w:rsidRPr="00685C40" w:rsidRDefault="00C061AE" w:rsidP="002F646D">
            <w:pPr>
              <w:pStyle w:val="2024TABLEHEADER"/>
              <w:spacing w:before="0" w:after="0"/>
              <w:rPr>
                <w:b w:val="0"/>
                <w:bCs w:val="0"/>
              </w:rPr>
            </w:pPr>
            <w:r w:rsidRPr="00685C40">
              <w:rPr>
                <w:b w:val="0"/>
                <w:bCs w:val="0"/>
              </w:rPr>
              <w:t>9</w:t>
            </w:r>
          </w:p>
        </w:tc>
        <w:tc>
          <w:tcPr>
            <w:tcW w:w="4252" w:type="dxa"/>
            <w:tcBorders>
              <w:top w:val="nil"/>
              <w:left w:val="nil"/>
              <w:bottom w:val="single" w:sz="4" w:space="0" w:color="auto"/>
              <w:right w:val="single" w:sz="4" w:space="0" w:color="auto"/>
            </w:tcBorders>
            <w:shd w:val="clear" w:color="auto" w:fill="auto"/>
          </w:tcPr>
          <w:p w14:paraId="52397F43" w14:textId="5AFC15D6" w:rsidR="00C061AE" w:rsidRPr="00685C40" w:rsidRDefault="00C061AE" w:rsidP="002F646D">
            <w:pPr>
              <w:pStyle w:val="2024TABLEHEADER"/>
              <w:spacing w:before="0" w:after="0"/>
              <w:rPr>
                <w:b w:val="0"/>
                <w:bCs w:val="0"/>
              </w:rPr>
            </w:pPr>
            <w:r w:rsidRPr="00685C40">
              <w:rPr>
                <w:b w:val="0"/>
                <w:bCs w:val="0"/>
              </w:rPr>
              <w:t>Global improvement of dysmenorrhoea</w:t>
            </w:r>
          </w:p>
        </w:tc>
      </w:tr>
      <w:tr w:rsidR="00C061AE" w:rsidRPr="0054775B" w14:paraId="11417089" w14:textId="77777777" w:rsidTr="0043715E">
        <w:trPr>
          <w:trHeight w:val="95"/>
        </w:trPr>
        <w:tc>
          <w:tcPr>
            <w:tcW w:w="333" w:type="dxa"/>
            <w:vMerge/>
            <w:tcBorders>
              <w:left w:val="single" w:sz="4" w:space="0" w:color="auto"/>
              <w:right w:val="single" w:sz="4" w:space="0" w:color="auto"/>
            </w:tcBorders>
            <w:shd w:val="clear" w:color="auto" w:fill="auto"/>
            <w:vAlign w:val="center"/>
          </w:tcPr>
          <w:p w14:paraId="02219C78" w14:textId="77777777" w:rsidR="00C061AE" w:rsidRPr="0054775B" w:rsidRDefault="00C061AE" w:rsidP="002F646D">
            <w:pPr>
              <w:pStyle w:val="2024TABLEHEADER"/>
              <w:spacing w:before="0" w:after="0"/>
            </w:pPr>
          </w:p>
        </w:tc>
        <w:tc>
          <w:tcPr>
            <w:tcW w:w="1363" w:type="dxa"/>
            <w:vMerge/>
            <w:tcBorders>
              <w:left w:val="nil"/>
              <w:right w:val="single" w:sz="4" w:space="0" w:color="auto"/>
            </w:tcBorders>
            <w:shd w:val="clear" w:color="auto" w:fill="auto"/>
            <w:vAlign w:val="center"/>
          </w:tcPr>
          <w:p w14:paraId="5E7C65C8" w14:textId="77777777" w:rsidR="00C061AE" w:rsidRPr="0054775B" w:rsidRDefault="00C061AE" w:rsidP="002F646D">
            <w:pPr>
              <w:pStyle w:val="2024TABLEHEADER"/>
              <w:spacing w:before="0" w:after="0"/>
            </w:pPr>
          </w:p>
        </w:tc>
        <w:tc>
          <w:tcPr>
            <w:tcW w:w="1701" w:type="dxa"/>
            <w:vMerge/>
            <w:tcBorders>
              <w:left w:val="nil"/>
              <w:right w:val="single" w:sz="4" w:space="0" w:color="auto"/>
            </w:tcBorders>
            <w:shd w:val="clear" w:color="auto" w:fill="auto"/>
            <w:vAlign w:val="center"/>
          </w:tcPr>
          <w:p w14:paraId="6559A0B8" w14:textId="77777777" w:rsidR="00C061AE" w:rsidRPr="0054775B" w:rsidRDefault="00C061AE" w:rsidP="002F646D">
            <w:pPr>
              <w:pStyle w:val="2024TABLEHEADER"/>
              <w:spacing w:before="0" w:after="0"/>
            </w:pPr>
          </w:p>
        </w:tc>
        <w:tc>
          <w:tcPr>
            <w:tcW w:w="851" w:type="dxa"/>
            <w:tcBorders>
              <w:top w:val="nil"/>
              <w:left w:val="nil"/>
              <w:bottom w:val="single" w:sz="4" w:space="0" w:color="auto"/>
              <w:right w:val="single" w:sz="4" w:space="0" w:color="auto"/>
            </w:tcBorders>
            <w:shd w:val="clear" w:color="auto" w:fill="auto"/>
            <w:vAlign w:val="center"/>
          </w:tcPr>
          <w:p w14:paraId="3A779560" w14:textId="45418845" w:rsidR="00C061AE" w:rsidRPr="00685C40" w:rsidRDefault="00C061AE" w:rsidP="002F646D">
            <w:pPr>
              <w:pStyle w:val="2024TABLEHEADER"/>
              <w:spacing w:before="0" w:after="0"/>
              <w:rPr>
                <w:b w:val="0"/>
                <w:bCs w:val="0"/>
              </w:rPr>
            </w:pPr>
            <w:r w:rsidRPr="00685C40">
              <w:rPr>
                <w:b w:val="0"/>
                <w:bCs w:val="0"/>
              </w:rPr>
              <w:t>8</w:t>
            </w:r>
          </w:p>
        </w:tc>
        <w:tc>
          <w:tcPr>
            <w:tcW w:w="4252" w:type="dxa"/>
            <w:tcBorders>
              <w:top w:val="nil"/>
              <w:left w:val="nil"/>
              <w:bottom w:val="single" w:sz="4" w:space="0" w:color="auto"/>
              <w:right w:val="single" w:sz="4" w:space="0" w:color="auto"/>
            </w:tcBorders>
            <w:shd w:val="clear" w:color="auto" w:fill="auto"/>
          </w:tcPr>
          <w:p w14:paraId="18AA583F" w14:textId="13DE901B" w:rsidR="00C061AE" w:rsidRPr="00685C40" w:rsidRDefault="00C061AE" w:rsidP="002F646D">
            <w:pPr>
              <w:pStyle w:val="2024TABLEHEADER"/>
              <w:spacing w:before="0" w:after="0"/>
              <w:rPr>
                <w:b w:val="0"/>
                <w:bCs w:val="0"/>
              </w:rPr>
            </w:pPr>
            <w:r w:rsidRPr="00685C40">
              <w:rPr>
                <w:b w:val="0"/>
                <w:bCs w:val="0"/>
              </w:rPr>
              <w:t>Consumption of pain killers</w:t>
            </w:r>
          </w:p>
        </w:tc>
      </w:tr>
      <w:tr w:rsidR="00C061AE" w:rsidRPr="0054775B" w14:paraId="4D84A49F" w14:textId="77777777" w:rsidTr="0043715E">
        <w:trPr>
          <w:trHeight w:val="95"/>
        </w:trPr>
        <w:tc>
          <w:tcPr>
            <w:tcW w:w="333" w:type="dxa"/>
            <w:vMerge/>
            <w:tcBorders>
              <w:left w:val="single" w:sz="4" w:space="0" w:color="auto"/>
              <w:right w:val="single" w:sz="4" w:space="0" w:color="auto"/>
            </w:tcBorders>
            <w:shd w:val="clear" w:color="auto" w:fill="auto"/>
            <w:vAlign w:val="center"/>
          </w:tcPr>
          <w:p w14:paraId="76D28F66" w14:textId="77777777" w:rsidR="00C061AE" w:rsidRPr="0054775B" w:rsidRDefault="00C061AE" w:rsidP="002F646D">
            <w:pPr>
              <w:pStyle w:val="2024TABLEHEADER"/>
              <w:spacing w:before="0" w:after="0"/>
            </w:pPr>
          </w:p>
        </w:tc>
        <w:tc>
          <w:tcPr>
            <w:tcW w:w="1363" w:type="dxa"/>
            <w:vMerge/>
            <w:tcBorders>
              <w:left w:val="nil"/>
              <w:right w:val="single" w:sz="4" w:space="0" w:color="auto"/>
            </w:tcBorders>
            <w:shd w:val="clear" w:color="auto" w:fill="auto"/>
            <w:vAlign w:val="center"/>
          </w:tcPr>
          <w:p w14:paraId="06D4404F" w14:textId="77777777" w:rsidR="00C061AE" w:rsidRPr="0054775B" w:rsidRDefault="00C061AE" w:rsidP="002F646D">
            <w:pPr>
              <w:pStyle w:val="2024TABLEHEADER"/>
              <w:spacing w:before="0" w:after="0"/>
            </w:pPr>
          </w:p>
        </w:tc>
        <w:tc>
          <w:tcPr>
            <w:tcW w:w="1701" w:type="dxa"/>
            <w:vMerge/>
            <w:tcBorders>
              <w:left w:val="nil"/>
              <w:right w:val="single" w:sz="4" w:space="0" w:color="auto"/>
            </w:tcBorders>
            <w:shd w:val="clear" w:color="auto" w:fill="auto"/>
            <w:vAlign w:val="center"/>
          </w:tcPr>
          <w:p w14:paraId="17B3BABE" w14:textId="77777777" w:rsidR="00C061AE" w:rsidRPr="0054775B" w:rsidRDefault="00C061AE" w:rsidP="002F646D">
            <w:pPr>
              <w:pStyle w:val="2024TABLEHEADER"/>
              <w:spacing w:before="0" w:after="0"/>
            </w:pPr>
          </w:p>
        </w:tc>
        <w:tc>
          <w:tcPr>
            <w:tcW w:w="851" w:type="dxa"/>
            <w:tcBorders>
              <w:top w:val="nil"/>
              <w:left w:val="nil"/>
              <w:bottom w:val="single" w:sz="4" w:space="0" w:color="auto"/>
              <w:right w:val="single" w:sz="4" w:space="0" w:color="auto"/>
            </w:tcBorders>
            <w:shd w:val="clear" w:color="auto" w:fill="auto"/>
            <w:vAlign w:val="center"/>
          </w:tcPr>
          <w:p w14:paraId="650FCCA9" w14:textId="4E31208C" w:rsidR="00C061AE" w:rsidRPr="00685C40" w:rsidRDefault="00C061AE" w:rsidP="002F646D">
            <w:pPr>
              <w:pStyle w:val="2024TABLEHEADER"/>
              <w:spacing w:before="0" w:after="0"/>
              <w:rPr>
                <w:b w:val="0"/>
                <w:bCs w:val="0"/>
              </w:rPr>
            </w:pPr>
            <w:r w:rsidRPr="00685C40">
              <w:rPr>
                <w:b w:val="0"/>
                <w:bCs w:val="0"/>
              </w:rPr>
              <w:t>8</w:t>
            </w:r>
          </w:p>
        </w:tc>
        <w:tc>
          <w:tcPr>
            <w:tcW w:w="4252" w:type="dxa"/>
            <w:tcBorders>
              <w:top w:val="nil"/>
              <w:left w:val="nil"/>
              <w:bottom w:val="single" w:sz="4" w:space="0" w:color="auto"/>
              <w:right w:val="single" w:sz="4" w:space="0" w:color="auto"/>
            </w:tcBorders>
            <w:shd w:val="clear" w:color="auto" w:fill="auto"/>
          </w:tcPr>
          <w:p w14:paraId="2A2B4DBB" w14:textId="5C4B1BB9" w:rsidR="00C061AE" w:rsidRPr="00685C40" w:rsidRDefault="00C061AE" w:rsidP="002F646D">
            <w:pPr>
              <w:pStyle w:val="2024TABLEHEADER"/>
              <w:spacing w:before="0" w:after="0"/>
              <w:rPr>
                <w:b w:val="0"/>
                <w:bCs w:val="0"/>
              </w:rPr>
            </w:pPr>
            <w:r w:rsidRPr="00685C40">
              <w:rPr>
                <w:b w:val="0"/>
                <w:bCs w:val="0"/>
              </w:rPr>
              <w:t>Quality of life</w:t>
            </w:r>
          </w:p>
        </w:tc>
      </w:tr>
      <w:tr w:rsidR="00C061AE" w:rsidRPr="0054775B" w14:paraId="7072EAF2" w14:textId="77777777" w:rsidTr="00685C40">
        <w:trPr>
          <w:trHeight w:val="95"/>
        </w:trPr>
        <w:tc>
          <w:tcPr>
            <w:tcW w:w="333" w:type="dxa"/>
            <w:vMerge/>
            <w:tcBorders>
              <w:left w:val="single" w:sz="4" w:space="0" w:color="auto"/>
              <w:bottom w:val="single" w:sz="4" w:space="0" w:color="auto"/>
              <w:right w:val="single" w:sz="4" w:space="0" w:color="auto"/>
            </w:tcBorders>
            <w:shd w:val="clear" w:color="auto" w:fill="auto"/>
            <w:vAlign w:val="center"/>
          </w:tcPr>
          <w:p w14:paraId="0427057C" w14:textId="77777777" w:rsidR="00C061AE" w:rsidRPr="0054775B" w:rsidRDefault="00C061AE" w:rsidP="002F646D">
            <w:pPr>
              <w:pStyle w:val="2024TABLEHEADER"/>
              <w:spacing w:before="0" w:after="0"/>
            </w:pPr>
          </w:p>
        </w:tc>
        <w:tc>
          <w:tcPr>
            <w:tcW w:w="1363" w:type="dxa"/>
            <w:vMerge/>
            <w:tcBorders>
              <w:left w:val="nil"/>
              <w:bottom w:val="single" w:sz="4" w:space="0" w:color="auto"/>
              <w:right w:val="single" w:sz="4" w:space="0" w:color="auto"/>
            </w:tcBorders>
            <w:shd w:val="clear" w:color="auto" w:fill="auto"/>
            <w:vAlign w:val="center"/>
          </w:tcPr>
          <w:p w14:paraId="680A219D" w14:textId="77777777" w:rsidR="00C061AE" w:rsidRPr="0054775B" w:rsidRDefault="00C061AE" w:rsidP="002F646D">
            <w:pPr>
              <w:pStyle w:val="2024TABLEHEADER"/>
              <w:spacing w:before="0" w:after="0"/>
            </w:pPr>
          </w:p>
        </w:tc>
        <w:tc>
          <w:tcPr>
            <w:tcW w:w="1701" w:type="dxa"/>
            <w:vMerge/>
            <w:tcBorders>
              <w:left w:val="nil"/>
              <w:bottom w:val="single" w:sz="4" w:space="0" w:color="auto"/>
              <w:right w:val="single" w:sz="4" w:space="0" w:color="auto"/>
            </w:tcBorders>
            <w:shd w:val="clear" w:color="auto" w:fill="auto"/>
            <w:vAlign w:val="center"/>
          </w:tcPr>
          <w:p w14:paraId="67B86D62" w14:textId="77777777" w:rsidR="00C061AE" w:rsidRPr="0054775B" w:rsidRDefault="00C061AE" w:rsidP="002F646D">
            <w:pPr>
              <w:pStyle w:val="2024TABLEHEADER"/>
              <w:spacing w:before="0" w:after="0"/>
            </w:pPr>
          </w:p>
        </w:tc>
        <w:tc>
          <w:tcPr>
            <w:tcW w:w="851" w:type="dxa"/>
            <w:tcBorders>
              <w:top w:val="nil"/>
              <w:left w:val="nil"/>
              <w:bottom w:val="single" w:sz="4" w:space="0" w:color="auto"/>
              <w:right w:val="single" w:sz="4" w:space="0" w:color="auto"/>
            </w:tcBorders>
            <w:shd w:val="clear" w:color="auto" w:fill="auto"/>
            <w:vAlign w:val="center"/>
          </w:tcPr>
          <w:p w14:paraId="29493147" w14:textId="59B3EE3B" w:rsidR="00C061AE" w:rsidRPr="00685C40" w:rsidRDefault="00C061AE" w:rsidP="002F646D">
            <w:pPr>
              <w:pStyle w:val="2024TABLEHEADER"/>
              <w:spacing w:before="0" w:after="0"/>
              <w:rPr>
                <w:b w:val="0"/>
                <w:bCs w:val="0"/>
              </w:rPr>
            </w:pPr>
            <w:r w:rsidRPr="00685C40">
              <w:rPr>
                <w:b w:val="0"/>
                <w:bCs w:val="0"/>
              </w:rPr>
              <w:t>7</w:t>
            </w:r>
          </w:p>
        </w:tc>
        <w:tc>
          <w:tcPr>
            <w:tcW w:w="4252" w:type="dxa"/>
            <w:tcBorders>
              <w:top w:val="nil"/>
              <w:left w:val="nil"/>
              <w:bottom w:val="single" w:sz="4" w:space="0" w:color="auto"/>
              <w:right w:val="single" w:sz="4" w:space="0" w:color="auto"/>
            </w:tcBorders>
            <w:shd w:val="clear" w:color="auto" w:fill="auto"/>
          </w:tcPr>
          <w:p w14:paraId="77F4411D" w14:textId="48735FB9" w:rsidR="00C061AE" w:rsidRPr="00685C40" w:rsidRDefault="00C061AE" w:rsidP="002F646D">
            <w:pPr>
              <w:pStyle w:val="2024TABLEHEADER"/>
              <w:spacing w:before="0" w:after="0"/>
              <w:rPr>
                <w:b w:val="0"/>
                <w:bCs w:val="0"/>
              </w:rPr>
            </w:pPr>
            <w:r w:rsidRPr="00685C40">
              <w:rPr>
                <w:b w:val="0"/>
                <w:bCs w:val="0"/>
              </w:rPr>
              <w:t>Restriction of daily life activities</w:t>
            </w:r>
          </w:p>
        </w:tc>
      </w:tr>
    </w:tbl>
    <w:p w14:paraId="5B518EA8" w14:textId="77777777" w:rsidR="00764746" w:rsidRPr="0054775B" w:rsidRDefault="00764746" w:rsidP="009760CB">
      <w:pPr>
        <w:pStyle w:val="2024TABLEFOOTER"/>
      </w:pPr>
      <w:r w:rsidRPr="0054775B">
        <w:t>Abbreviations: BP=blood pressure; HRQoL=health-related quality of life</w:t>
      </w:r>
    </w:p>
    <w:p w14:paraId="36C2EE13" w14:textId="77777777" w:rsidR="00A2289A" w:rsidRPr="0054775B" w:rsidRDefault="00A2289A" w:rsidP="009E6F7F">
      <w:pPr>
        <w:pStyle w:val="2024HEADER3"/>
        <w:rPr>
          <w:rFonts w:ascii="Aptos" w:hAnsi="Aptos"/>
        </w:rPr>
      </w:pPr>
      <w:r w:rsidRPr="0054775B">
        <w:rPr>
          <w:rFonts w:ascii="Aptos" w:hAnsi="Aptos"/>
        </w:rPr>
        <w:t>Search findings</w:t>
      </w:r>
    </w:p>
    <w:p w14:paraId="6F34207F" w14:textId="631BE029" w:rsidR="00A2289A" w:rsidRPr="0054775B" w:rsidRDefault="00A2289A" w:rsidP="009E6F7F">
      <w:pPr>
        <w:rPr>
          <w:highlight w:val="yellow"/>
        </w:rPr>
      </w:pPr>
      <w:r w:rsidRPr="0054775B">
        <w:t xml:space="preserve">In total, </w:t>
      </w:r>
      <w:r w:rsidR="00D7398B" w:rsidRPr="0054775B">
        <w:t>13</w:t>
      </w:r>
      <w:r w:rsidR="00034B03" w:rsidRPr="0054775B">
        <w:t>8</w:t>
      </w:r>
      <w:r w:rsidRPr="0054775B">
        <w:t xml:space="preserve"> </w:t>
      </w:r>
      <w:r w:rsidR="0029059B">
        <w:t>reviews</w:t>
      </w:r>
      <w:r w:rsidR="0029059B" w:rsidRPr="0054775B">
        <w:t xml:space="preserve"> </w:t>
      </w:r>
      <w:r w:rsidRPr="0054775B">
        <w:t xml:space="preserve">were </w:t>
      </w:r>
      <w:r w:rsidR="00034B03" w:rsidRPr="0054775B">
        <w:t xml:space="preserve">screened following </w:t>
      </w:r>
      <w:r w:rsidR="0002710E" w:rsidRPr="0054775B">
        <w:t>de-duplication</w:t>
      </w:r>
      <w:r w:rsidRPr="0054775B">
        <w:t xml:space="preserve">. </w:t>
      </w:r>
      <w:r w:rsidR="000A7D2D" w:rsidRPr="0054775B">
        <w:t>O</w:t>
      </w:r>
      <w:r w:rsidRPr="0054775B">
        <w:t xml:space="preserve">ne </w:t>
      </w:r>
      <w:r w:rsidR="00B1193F" w:rsidRPr="0054775B">
        <w:t>ad</w:t>
      </w:r>
      <w:r w:rsidR="00DC0392" w:rsidRPr="0054775B">
        <w:t>ditional</w:t>
      </w:r>
      <w:r w:rsidR="00B1193F" w:rsidRPr="0054775B">
        <w:t xml:space="preserve"> </w:t>
      </w:r>
      <w:r w:rsidR="003C2AC9">
        <w:t>review</w:t>
      </w:r>
      <w:r w:rsidR="003C2AC9" w:rsidRPr="0054775B">
        <w:t xml:space="preserve"> </w:t>
      </w:r>
      <w:r w:rsidRPr="0054775B">
        <w:t>provided by the Department’s call for evidence</w:t>
      </w:r>
      <w:r w:rsidR="007E7A34" w:rsidRPr="0054775B">
        <w:t xml:space="preserve"> </w:t>
      </w:r>
      <w:r w:rsidR="005A50A2" w:rsidRPr="0054775B">
        <w:t>was relevant for this population-</w:t>
      </w:r>
      <w:r w:rsidR="0032560B">
        <w:t>supplement pair</w:t>
      </w:r>
      <w:r w:rsidR="000A7D2D" w:rsidRPr="0054775B">
        <w:t xml:space="preserve"> and was screened</w:t>
      </w:r>
      <w:r w:rsidR="007E7A34" w:rsidRPr="0054775B">
        <w:t xml:space="preserve"> (see Appendix </w:t>
      </w:r>
      <w:r w:rsidR="00B456A1">
        <w:t>C</w:t>
      </w:r>
      <w:r w:rsidR="0097317A">
        <w:t>2</w:t>
      </w:r>
      <w:r w:rsidR="007E7A34" w:rsidRPr="0054775B">
        <w:t>)</w:t>
      </w:r>
      <w:r w:rsidRPr="0054775B">
        <w:t xml:space="preserve">. After title and abstract screening, </w:t>
      </w:r>
      <w:r w:rsidR="00915277" w:rsidRPr="0054775B">
        <w:t>2</w:t>
      </w:r>
      <w:r w:rsidRPr="0054775B">
        <w:t xml:space="preserve"> </w:t>
      </w:r>
      <w:r w:rsidR="0029059B">
        <w:t>reviews</w:t>
      </w:r>
      <w:r w:rsidR="0029059B" w:rsidRPr="0054775B">
        <w:t xml:space="preserve"> </w:t>
      </w:r>
      <w:r w:rsidRPr="0054775B">
        <w:t>were assessed for eligibility at full-text screening, where:</w:t>
      </w:r>
      <w:r w:rsidRPr="0054775B">
        <w:rPr>
          <w:highlight w:val="yellow"/>
        </w:rPr>
        <w:t xml:space="preserve"> </w:t>
      </w:r>
    </w:p>
    <w:p w14:paraId="3DCFA0EC" w14:textId="73A70AB4" w:rsidR="00A2289A" w:rsidRPr="0054775B" w:rsidRDefault="00915277" w:rsidP="00107BEE">
      <w:pPr>
        <w:pStyle w:val="ListParagraph"/>
        <w:numPr>
          <w:ilvl w:val="0"/>
          <w:numId w:val="6"/>
        </w:numPr>
      </w:pPr>
      <w:r w:rsidRPr="0054775B">
        <w:t>2</w:t>
      </w:r>
      <w:r w:rsidR="00A2289A" w:rsidRPr="0054775B" w:rsidDel="003C2AC9">
        <w:t xml:space="preserve"> </w:t>
      </w:r>
      <w:r w:rsidR="003C2AC9">
        <w:t>reviews</w:t>
      </w:r>
      <w:r w:rsidR="003C2AC9" w:rsidRPr="0054775B">
        <w:t xml:space="preserve"> </w:t>
      </w:r>
      <w:r w:rsidR="00A2289A" w:rsidRPr="0054775B">
        <w:t xml:space="preserve">did not meet inclusion criteria (citation details and </w:t>
      </w:r>
      <w:r w:rsidR="001332AF" w:rsidRPr="0054775B">
        <w:t xml:space="preserve">reasons for exclusion recorded in Appendix </w:t>
      </w:r>
      <w:r w:rsidR="0097317A">
        <w:t>C1</w:t>
      </w:r>
      <w:r w:rsidR="00A2289A" w:rsidRPr="0054775B">
        <w:t xml:space="preserve">) </w:t>
      </w:r>
    </w:p>
    <w:p w14:paraId="615D5014" w14:textId="77777777" w:rsidR="00A2289A" w:rsidRPr="0054775B" w:rsidRDefault="00A2289A" w:rsidP="009E6F7F">
      <w:r w:rsidRPr="0054775B">
        <w:t xml:space="preserve">Following assessment, no reviews met the inclusion criteria. A full PRISMA flowchart is presented below. </w:t>
      </w:r>
    </w:p>
    <w:p w14:paraId="53D60102" w14:textId="7C636E76" w:rsidR="00A2289A" w:rsidRPr="0054775B" w:rsidRDefault="002975B2" w:rsidP="0004713C">
      <w:pPr>
        <w:pStyle w:val="2024TABLECAPTION"/>
      </w:pPr>
      <w:bookmarkStart w:id="91" w:name="_Toc178348009"/>
      <w:r w:rsidRPr="0004713C">
        <w:t xml:space="preserve">Figure </w:t>
      </w:r>
      <w:r w:rsidRPr="0004713C">
        <w:rPr>
          <w:i/>
        </w:rPr>
        <w:fldChar w:fldCharType="begin"/>
      </w:r>
      <w:r w:rsidRPr="001428E8">
        <w:rPr>
          <w:b w:val="0"/>
          <w:i/>
        </w:rPr>
        <w:instrText xml:space="preserve"> SEQ Figure \* ARABIC </w:instrText>
      </w:r>
      <w:r w:rsidRPr="0004713C">
        <w:rPr>
          <w:i/>
        </w:rPr>
        <w:fldChar w:fldCharType="separate"/>
      </w:r>
      <w:r w:rsidR="002C256B">
        <w:rPr>
          <w:noProof/>
        </w:rPr>
        <w:t>6</w:t>
      </w:r>
      <w:r w:rsidRPr="0004713C">
        <w:rPr>
          <w:i/>
        </w:rPr>
        <w:fldChar w:fldCharType="end"/>
      </w:r>
      <w:r w:rsidR="003262BE" w:rsidRPr="0004713C">
        <w:t>.</w:t>
      </w:r>
      <w:r w:rsidR="00A2289A" w:rsidRPr="0054775B">
        <w:t xml:space="preserve"> PRISMA flowchart – </w:t>
      </w:r>
      <w:r w:rsidR="00B52826" w:rsidRPr="0054775B">
        <w:t>Dysmenorrhea, Cruciferous indoles (indole-3-carbinol, di-indolylmethane)</w:t>
      </w:r>
      <w:bookmarkEnd w:id="91"/>
    </w:p>
    <w:p w14:paraId="21D76F7B" w14:textId="0D91A9B8" w:rsidR="00863A84" w:rsidRDefault="001D2614">
      <w:pPr>
        <w:spacing w:before="0" w:after="160" w:line="259" w:lineRule="auto"/>
      </w:pPr>
      <w:r w:rsidRPr="0004713C">
        <w:rPr>
          <w:noProof/>
          <w:highlight w:val="yellow"/>
        </w:rPr>
        <mc:AlternateContent>
          <mc:Choice Requires="wpg">
            <w:drawing>
              <wp:anchor distT="0" distB="0" distL="114300" distR="114300" simplePos="0" relativeHeight="251658254" behindDoc="0" locked="0" layoutInCell="1" allowOverlap="1" wp14:anchorId="145ED607" wp14:editId="0162BE43">
                <wp:simplePos x="0" y="0"/>
                <wp:positionH relativeFrom="margin">
                  <wp:posOffset>0</wp:posOffset>
                </wp:positionH>
                <wp:positionV relativeFrom="paragraph">
                  <wp:posOffset>127000</wp:posOffset>
                </wp:positionV>
                <wp:extent cx="5339080" cy="4417060"/>
                <wp:effectExtent l="0" t="0" r="7620" b="15240"/>
                <wp:wrapSquare wrapText="bothSides"/>
                <wp:docPr id="318790405" name="Group 318790405"/>
                <wp:cNvGraphicFramePr/>
                <a:graphic xmlns:a="http://schemas.openxmlformats.org/drawingml/2006/main">
                  <a:graphicData uri="http://schemas.microsoft.com/office/word/2010/wordprocessingGroup">
                    <wpg:wgp>
                      <wpg:cNvGrpSpPr/>
                      <wpg:grpSpPr>
                        <a:xfrm>
                          <a:off x="0" y="0"/>
                          <a:ext cx="5339080" cy="4417060"/>
                          <a:chOff x="0" y="-75747"/>
                          <a:chExt cx="5536496" cy="4496115"/>
                        </a:xfrm>
                      </wpg:grpSpPr>
                      <wps:wsp>
                        <wps:cNvPr id="1590061891" name="Rectangle 1590061891"/>
                        <wps:cNvSpPr/>
                        <wps:spPr>
                          <a:xfrm>
                            <a:off x="3180705" y="425302"/>
                            <a:ext cx="2355790" cy="83947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6E11836" w14:textId="77777777" w:rsidR="00A2289A" w:rsidRPr="000A34EA" w:rsidRDefault="00A2289A" w:rsidP="009760CB">
                              <w:pPr>
                                <w:pStyle w:val="2024-PRISMA"/>
                              </w:pPr>
                              <w:r w:rsidRPr="000A34EA">
                                <w:t>Records removed before screening:</w:t>
                              </w:r>
                            </w:p>
                            <w:p w14:paraId="646ACC12" w14:textId="77777777" w:rsidR="00A2289A" w:rsidRPr="000A34EA" w:rsidRDefault="00A2289A" w:rsidP="009760CB">
                              <w:pPr>
                                <w:pStyle w:val="2024-PRISMA"/>
                              </w:pPr>
                              <w:r w:rsidRPr="000A34EA">
                                <w:t xml:space="preserve">Duplicate records removed (n = </w:t>
                              </w:r>
                              <w:r>
                                <w:t>1</w:t>
                              </w:r>
                              <w:r w:rsidRPr="000A34EA">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21866048" name="Rectangle 1321866048"/>
                        <wps:cNvSpPr/>
                        <wps:spPr>
                          <a:xfrm>
                            <a:off x="2987749" y="1509823"/>
                            <a:ext cx="1887220" cy="52641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023C36D" w14:textId="77777777" w:rsidR="00A2289A" w:rsidRPr="000A34EA" w:rsidRDefault="00A2289A" w:rsidP="009760CB">
                              <w:pPr>
                                <w:pStyle w:val="2024-PRISMA"/>
                              </w:pPr>
                              <w:r w:rsidRPr="000A34EA">
                                <w:t>Records excluded</w:t>
                              </w:r>
                            </w:p>
                            <w:p w14:paraId="270D143A" w14:textId="77777777" w:rsidR="00A2289A" w:rsidRPr="000A34EA" w:rsidRDefault="00A2289A" w:rsidP="009760CB">
                              <w:pPr>
                                <w:pStyle w:val="2024-PRISMA"/>
                              </w:pPr>
                              <w:r w:rsidRPr="000A34EA">
                                <w:t xml:space="preserve">(n = </w:t>
                              </w:r>
                              <w:r>
                                <w:t>1</w:t>
                              </w:r>
                              <w:r w:rsidR="00A31347">
                                <w:t>3</w:t>
                              </w:r>
                              <w:r w:rsidR="00BC64DD">
                                <w:t>6</w:t>
                              </w:r>
                              <w:r w:rsidRPr="000A34EA">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03465502" name="Rectangle 403465502"/>
                        <wps:cNvSpPr/>
                        <wps:spPr>
                          <a:xfrm>
                            <a:off x="2987749" y="2163620"/>
                            <a:ext cx="2351878" cy="70884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BCDB0A4" w14:textId="77777777" w:rsidR="00A2289A" w:rsidRDefault="00A2289A" w:rsidP="009760CB">
                              <w:pPr>
                                <w:pStyle w:val="2024-PRISMA"/>
                              </w:pPr>
                              <w:r>
                                <w:t>Full-text unavailable</w:t>
                              </w:r>
                              <w:r w:rsidRPr="000A34EA">
                                <w:t xml:space="preserve"> (n</w:t>
                              </w:r>
                              <w:r>
                                <w:t xml:space="preserve"> = 0</w:t>
                              </w:r>
                              <w:r w:rsidRPr="000A34EA">
                                <w:t>)</w:t>
                              </w:r>
                            </w:p>
                            <w:p w14:paraId="5CFE4690" w14:textId="77777777" w:rsidR="00A2289A" w:rsidRPr="000A34EA" w:rsidRDefault="00A2289A" w:rsidP="009760CB">
                              <w:pPr>
                                <w:pStyle w:val="2024-PRISMA"/>
                              </w:pPr>
                              <w:r>
                                <w:t>Ongoing study</w:t>
                              </w:r>
                              <w:r w:rsidRPr="000A34EA">
                                <w:t xml:space="preserve"> (n</w:t>
                              </w:r>
                              <w:r>
                                <w:t xml:space="preserve"> = 0</w:t>
                              </w:r>
                              <w:r w:rsidRPr="000A34EA">
                                <w:t>)</w:t>
                              </w:r>
                            </w:p>
                            <w:p w14:paraId="0F7D97F7" w14:textId="4429B0EF" w:rsidR="001D2614" w:rsidRDefault="001D2614" w:rsidP="009760CB">
                              <w:pPr>
                                <w:pStyle w:val="2024-PRISMA"/>
                              </w:pPr>
                              <w:r>
                                <w:t>Conference abstracts (n = 0)</w:t>
                              </w:r>
                            </w:p>
                            <w:p w14:paraId="21E5EAFD" w14:textId="4CB67A45" w:rsidR="00A2289A" w:rsidRPr="000A34EA" w:rsidRDefault="0097733F" w:rsidP="009760CB">
                              <w:pPr>
                                <w:pStyle w:val="2024-PRISMA"/>
                              </w:pPr>
                              <w:r>
                                <w:t>Reviews</w:t>
                              </w:r>
                              <w:r w:rsidR="00A2289A" w:rsidRPr="000A34EA">
                                <w:t xml:space="preserve"> Awaiting Classification (n = </w:t>
                              </w:r>
                              <w:r w:rsidR="00A2289A">
                                <w:t>0</w:t>
                              </w:r>
                              <w:r w:rsidR="00A2289A" w:rsidRPr="000A34EA">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61094096" name="Rectangle 1261094096"/>
                        <wps:cNvSpPr/>
                        <wps:spPr>
                          <a:xfrm>
                            <a:off x="2987749" y="2955852"/>
                            <a:ext cx="2179320" cy="78585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C74BC3D" w14:textId="77777777" w:rsidR="00A2289A" w:rsidRPr="000A34EA" w:rsidRDefault="00A2289A" w:rsidP="009760CB">
                              <w:pPr>
                                <w:pStyle w:val="2024-PRISMA"/>
                              </w:pPr>
                              <w:r w:rsidRPr="000A34EA">
                                <w:t xml:space="preserve">Reports excluded (n = </w:t>
                              </w:r>
                              <w:r w:rsidR="00E959B1">
                                <w:t>2</w:t>
                              </w:r>
                              <w:r w:rsidRPr="000A34EA">
                                <w:t>):</w:t>
                              </w:r>
                            </w:p>
                            <w:p w14:paraId="756618D8" w14:textId="77777777" w:rsidR="00A2289A" w:rsidRPr="000A34EA" w:rsidRDefault="00A2289A" w:rsidP="009760CB">
                              <w:pPr>
                                <w:pStyle w:val="2024-PRISMA"/>
                              </w:pPr>
                              <w:r w:rsidRPr="000A34EA">
                                <w:t xml:space="preserve">Wrong intervention (n = </w:t>
                              </w:r>
                              <w:r w:rsidR="00E959B1">
                                <w:t>1</w:t>
                              </w:r>
                              <w:r w:rsidRPr="000A34EA">
                                <w:t>)</w:t>
                              </w:r>
                            </w:p>
                            <w:p w14:paraId="68D40882" w14:textId="77777777" w:rsidR="00A2289A" w:rsidRPr="000A34EA" w:rsidRDefault="00A2289A" w:rsidP="009760CB">
                              <w:pPr>
                                <w:pStyle w:val="2024-PRISMA"/>
                              </w:pPr>
                              <w:r>
                                <w:t>Does not meet minimum criteria for systematic review (n = 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88066512" name="Straight Arrow Connector 1588066512"/>
                        <wps:cNvCnPr/>
                        <wps:spPr>
                          <a:xfrm>
                            <a:off x="2424224" y="975833"/>
                            <a:ext cx="756482"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826897791" name="Straight Arrow Connector 826897791"/>
                        <wps:cNvCnPr/>
                        <wps:spPr>
                          <a:xfrm>
                            <a:off x="2392326" y="1720112"/>
                            <a:ext cx="563245"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107611359" name="Straight Arrow Connector 2107611359"/>
                        <wps:cNvCnPr/>
                        <wps:spPr>
                          <a:xfrm>
                            <a:off x="2402958" y="2421861"/>
                            <a:ext cx="563245"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498298734" name="Straight Arrow Connector 1498298734"/>
                        <wps:cNvCnPr/>
                        <wps:spPr>
                          <a:xfrm>
                            <a:off x="2413591" y="3155507"/>
                            <a:ext cx="563245"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147200737" name="Flowchart: Alternate Process 31"/>
                        <wps:cNvSpPr/>
                        <wps:spPr>
                          <a:xfrm rot="16200000">
                            <a:off x="-305389" y="713236"/>
                            <a:ext cx="1009400" cy="332560"/>
                          </a:xfrm>
                          <a:prstGeom prst="flowChartAlternateProcess">
                            <a:avLst/>
                          </a:prstGeom>
                          <a:solidFill>
                            <a:schemeClr val="accent5">
                              <a:lumMod val="60000"/>
                              <a:lumOff val="40000"/>
                            </a:schemeClr>
                          </a:solidFill>
                          <a:ln>
                            <a:solidFill>
                              <a:schemeClr val="tx1"/>
                            </a:solidFill>
                          </a:ln>
                        </wps:spPr>
                        <wps:style>
                          <a:lnRef idx="2">
                            <a:schemeClr val="accent4">
                              <a:shade val="50000"/>
                            </a:schemeClr>
                          </a:lnRef>
                          <a:fillRef idx="1">
                            <a:schemeClr val="accent4"/>
                          </a:fillRef>
                          <a:effectRef idx="0">
                            <a:schemeClr val="accent4"/>
                          </a:effectRef>
                          <a:fontRef idx="minor">
                            <a:schemeClr val="lt1"/>
                          </a:fontRef>
                        </wps:style>
                        <wps:txbx>
                          <w:txbxContent>
                            <w:p w14:paraId="29574EC0" w14:textId="77777777" w:rsidR="00A2289A" w:rsidRPr="001428E8" w:rsidRDefault="00A2289A" w:rsidP="009760CB">
                              <w:pPr>
                                <w:pStyle w:val="2024-PRISMA"/>
                                <w:rPr>
                                  <w:b/>
                                </w:rPr>
                              </w:pPr>
                              <w:r w:rsidRPr="001428E8">
                                <w:rPr>
                                  <w:b/>
                                </w:rPr>
                                <w:t>Identification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42279428" name="Flowchart: Alternate Process 32"/>
                        <wps:cNvSpPr/>
                        <wps:spPr>
                          <a:xfrm rot="16200000">
                            <a:off x="-881264" y="2375897"/>
                            <a:ext cx="2161232" cy="332481"/>
                          </a:xfrm>
                          <a:prstGeom prst="flowChartAlternateProcess">
                            <a:avLst/>
                          </a:prstGeom>
                          <a:solidFill>
                            <a:schemeClr val="accent5">
                              <a:lumMod val="60000"/>
                              <a:lumOff val="40000"/>
                            </a:schemeClr>
                          </a:solidFill>
                          <a:ln>
                            <a:solidFill>
                              <a:schemeClr val="tx1"/>
                            </a:solidFill>
                          </a:ln>
                        </wps:spPr>
                        <wps:style>
                          <a:lnRef idx="2">
                            <a:schemeClr val="accent4">
                              <a:shade val="50000"/>
                            </a:schemeClr>
                          </a:lnRef>
                          <a:fillRef idx="1">
                            <a:schemeClr val="accent4"/>
                          </a:fillRef>
                          <a:effectRef idx="0">
                            <a:schemeClr val="accent4"/>
                          </a:effectRef>
                          <a:fontRef idx="minor">
                            <a:schemeClr val="lt1"/>
                          </a:fontRef>
                        </wps:style>
                        <wps:txbx>
                          <w:txbxContent>
                            <w:p w14:paraId="1574E854" w14:textId="77777777" w:rsidR="00A2289A" w:rsidRPr="001428E8" w:rsidRDefault="00A2289A" w:rsidP="001428E8">
                              <w:pPr>
                                <w:pStyle w:val="2024-PRISMA"/>
                                <w:jc w:val="center"/>
                                <w:rPr>
                                  <w:b/>
                                </w:rPr>
                              </w:pPr>
                              <w:r w:rsidRPr="001428E8">
                                <w:rPr>
                                  <w:b/>
                                </w:rPr>
                                <w:t>Screening</w:t>
                              </w:r>
                            </w:p>
                            <w:p w14:paraId="4101AA6B" w14:textId="77777777" w:rsidR="00A2289A" w:rsidRPr="001428E8" w:rsidRDefault="00A2289A" w:rsidP="001428E8">
                              <w:pPr>
                                <w:pStyle w:val="2024-PRISMA"/>
                                <w:jc w:val="center"/>
                                <w:rPr>
                                  <w: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17032573" name="Flowchart: Alternate Process 33"/>
                        <wps:cNvSpPr/>
                        <wps:spPr>
                          <a:xfrm rot="16200000">
                            <a:off x="-156241" y="3898537"/>
                            <a:ext cx="711091" cy="332572"/>
                          </a:xfrm>
                          <a:prstGeom prst="flowChartAlternateProcess">
                            <a:avLst/>
                          </a:prstGeom>
                          <a:solidFill>
                            <a:schemeClr val="accent5">
                              <a:lumMod val="60000"/>
                              <a:lumOff val="40000"/>
                            </a:schemeClr>
                          </a:solidFill>
                          <a:ln>
                            <a:solidFill>
                              <a:schemeClr val="tx1"/>
                            </a:solidFill>
                          </a:ln>
                        </wps:spPr>
                        <wps:style>
                          <a:lnRef idx="2">
                            <a:schemeClr val="accent4">
                              <a:shade val="50000"/>
                            </a:schemeClr>
                          </a:lnRef>
                          <a:fillRef idx="1">
                            <a:schemeClr val="accent4"/>
                          </a:fillRef>
                          <a:effectRef idx="0">
                            <a:schemeClr val="accent4"/>
                          </a:effectRef>
                          <a:fontRef idx="minor">
                            <a:schemeClr val="lt1"/>
                          </a:fontRef>
                        </wps:style>
                        <wps:txbx>
                          <w:txbxContent>
                            <w:p w14:paraId="77F3A4C8" w14:textId="77777777" w:rsidR="00A2289A" w:rsidRPr="001428E8" w:rsidRDefault="00A2289A" w:rsidP="009760CB">
                              <w:pPr>
                                <w:pStyle w:val="2024-PRISMA"/>
                                <w:rPr>
                                  <w:b/>
                                </w:rPr>
                              </w:pPr>
                              <w:r w:rsidRPr="001428E8">
                                <w:rPr>
                                  <w:b/>
                                </w:rPr>
                                <w:t>Included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46635190" name="Straight Arrow Connector 1746635190"/>
                        <wps:cNvCnPr/>
                        <wps:spPr>
                          <a:xfrm>
                            <a:off x="1339407" y="1233377"/>
                            <a:ext cx="0" cy="28130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936178839" name="Straight Arrow Connector 936178839"/>
                        <wps:cNvCnPr/>
                        <wps:spPr>
                          <a:xfrm>
                            <a:off x="1339407" y="1967023"/>
                            <a:ext cx="0" cy="28130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742971555" name="Straight Arrow Connector 1742971555"/>
                        <wps:cNvCnPr/>
                        <wps:spPr>
                          <a:xfrm>
                            <a:off x="1350040" y="2690037"/>
                            <a:ext cx="0" cy="28130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219238264" name="Straight Arrow Connector 1219238264"/>
                        <wps:cNvCnPr/>
                        <wps:spPr>
                          <a:xfrm>
                            <a:off x="1339406" y="3058066"/>
                            <a:ext cx="0" cy="74612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353517155" name="Flowchart: Alternate Process 29"/>
                        <wps:cNvSpPr/>
                        <wps:spPr>
                          <a:xfrm>
                            <a:off x="0" y="-75747"/>
                            <a:ext cx="5536496" cy="367595"/>
                          </a:xfrm>
                          <a:prstGeom prst="flowChartAlternateProcess">
                            <a:avLst/>
                          </a:prstGeom>
                        </wps:spPr>
                        <wps:style>
                          <a:lnRef idx="2">
                            <a:schemeClr val="accent4">
                              <a:shade val="50000"/>
                            </a:schemeClr>
                          </a:lnRef>
                          <a:fillRef idx="1">
                            <a:schemeClr val="accent4"/>
                          </a:fillRef>
                          <a:effectRef idx="0">
                            <a:schemeClr val="accent4"/>
                          </a:effectRef>
                          <a:fontRef idx="minor">
                            <a:schemeClr val="lt1"/>
                          </a:fontRef>
                        </wps:style>
                        <wps:txbx>
                          <w:txbxContent>
                            <w:p w14:paraId="59058BA9" w14:textId="71532727" w:rsidR="00A2289A" w:rsidRPr="001428E8" w:rsidRDefault="00A2289A" w:rsidP="001428E8">
                              <w:pPr>
                                <w:pStyle w:val="2024-PRISMA"/>
                                <w:jc w:val="center"/>
                                <w:rPr>
                                  <w:b/>
                                </w:rPr>
                              </w:pPr>
                              <w:r w:rsidRPr="001428E8">
                                <w:rPr>
                                  <w:b/>
                                </w:rPr>
                                <w:t xml:space="preserve">Identification of </w:t>
                              </w:r>
                              <w:r w:rsidR="00876B30">
                                <w:rPr>
                                  <w:b/>
                                </w:rPr>
                                <w:t>reviews</w:t>
                              </w:r>
                              <w:r w:rsidR="00876B30" w:rsidRPr="001428E8">
                                <w:rPr>
                                  <w:b/>
                                </w:rPr>
                                <w:t xml:space="preserve"> </w:t>
                              </w:r>
                              <w:r w:rsidRPr="001428E8">
                                <w:rPr>
                                  <w:b/>
                                </w:rPr>
                                <w:t>via databases and registers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25643251" name="Rectangle 1525643251"/>
                        <wps:cNvSpPr/>
                        <wps:spPr>
                          <a:xfrm>
                            <a:off x="499730" y="425302"/>
                            <a:ext cx="2455839" cy="839972"/>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4CBA7BD" w14:textId="292F838B" w:rsidR="00A2289A" w:rsidRPr="000A34EA" w:rsidRDefault="00A2289A" w:rsidP="009760CB">
                              <w:pPr>
                                <w:pStyle w:val="2024-PRISMA"/>
                              </w:pPr>
                              <w:r w:rsidRPr="000A34EA">
                                <w:t>Records identified from:</w:t>
                              </w:r>
                            </w:p>
                            <w:p w14:paraId="53EED33A" w14:textId="77777777" w:rsidR="00A2289A" w:rsidRPr="000A34EA" w:rsidRDefault="00A2289A" w:rsidP="009760CB">
                              <w:pPr>
                                <w:pStyle w:val="2024-PRISMA"/>
                              </w:pPr>
                              <w:r w:rsidRPr="000A34EA">
                                <w:t xml:space="preserve">Databases and registers (n = </w:t>
                              </w:r>
                              <w:r w:rsidR="00A31347">
                                <w:t>138</w:t>
                              </w:r>
                              <w:r w:rsidRPr="000A34EA">
                                <w:t>)</w:t>
                              </w:r>
                            </w:p>
                            <w:p w14:paraId="0C2A428C" w14:textId="77777777" w:rsidR="00A2289A" w:rsidRDefault="00A2289A" w:rsidP="009760CB">
                              <w:pPr>
                                <w:pStyle w:val="2024-PRISMA"/>
                              </w:pPr>
                              <w:r w:rsidRPr="000A34EA">
                                <w:t>Manual</w:t>
                              </w:r>
                              <w:r>
                                <w:t xml:space="preserve"> or </w:t>
                              </w:r>
                              <w:r w:rsidRPr="000A34EA">
                                <w:t xml:space="preserve">citation </w:t>
                              </w:r>
                              <w:r>
                                <w:t xml:space="preserve">searching </w:t>
                              </w:r>
                              <w:r w:rsidRPr="000A34EA">
                                <w:t xml:space="preserve">(n = </w:t>
                              </w:r>
                              <w:r>
                                <w:t>0</w:t>
                              </w:r>
                              <w:r w:rsidRPr="000A34EA">
                                <w:t>)</w:t>
                              </w:r>
                            </w:p>
                            <w:p w14:paraId="4C47AC9B" w14:textId="77777777" w:rsidR="00A2289A" w:rsidRPr="000A34EA" w:rsidRDefault="00A2289A" w:rsidP="009760CB">
                              <w:pPr>
                                <w:pStyle w:val="2024-PRISMA"/>
                              </w:pPr>
                              <w:r>
                                <w:t>Department’s call for evidence</w:t>
                              </w:r>
                              <w:r w:rsidRPr="000A34EA">
                                <w:t xml:space="preserve"> (n = </w:t>
                              </w:r>
                              <w:r w:rsidR="00BC64DD">
                                <w:t>1</w:t>
                              </w:r>
                              <w:r w:rsidRPr="000A34EA">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1175115" name="Rectangle 331175115"/>
                        <wps:cNvSpPr/>
                        <wps:spPr>
                          <a:xfrm>
                            <a:off x="499731" y="1520456"/>
                            <a:ext cx="1887220" cy="52641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4B5958A" w14:textId="77777777" w:rsidR="00A2289A" w:rsidRPr="000A34EA" w:rsidRDefault="00A2289A" w:rsidP="009760CB">
                              <w:pPr>
                                <w:pStyle w:val="2024-PRISMA"/>
                              </w:pPr>
                              <w:r w:rsidRPr="000A34EA">
                                <w:t>Records screened</w:t>
                              </w:r>
                            </w:p>
                            <w:p w14:paraId="7536CA2A" w14:textId="77777777" w:rsidR="00A2289A" w:rsidRPr="000A34EA" w:rsidRDefault="00A2289A" w:rsidP="009760CB">
                              <w:pPr>
                                <w:pStyle w:val="2024-PRISMA"/>
                              </w:pPr>
                              <w:r w:rsidRPr="000A34EA">
                                <w:t xml:space="preserve">(n = </w:t>
                              </w:r>
                              <w:r>
                                <w:t>1</w:t>
                              </w:r>
                              <w:r w:rsidR="00A31347">
                                <w:t>3</w:t>
                              </w:r>
                              <w:r w:rsidR="00BC64DD">
                                <w:t>8</w:t>
                              </w:r>
                              <w:r w:rsidRPr="000A34EA">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93736952" name="Rectangle 1993736952"/>
                        <wps:cNvSpPr/>
                        <wps:spPr>
                          <a:xfrm>
                            <a:off x="499731" y="2977116"/>
                            <a:ext cx="1887220" cy="52641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1F690FD" w14:textId="77777777" w:rsidR="00A2289A" w:rsidRPr="000A34EA" w:rsidRDefault="00A2289A" w:rsidP="009760CB">
                              <w:pPr>
                                <w:pStyle w:val="2024-PRISMA"/>
                              </w:pPr>
                              <w:r w:rsidRPr="000A34EA">
                                <w:t>Reports assessed for eligibility</w:t>
                              </w:r>
                            </w:p>
                            <w:p w14:paraId="7B250AC1" w14:textId="77777777" w:rsidR="00A2289A" w:rsidRPr="000A34EA" w:rsidRDefault="00A2289A" w:rsidP="009760CB">
                              <w:pPr>
                                <w:pStyle w:val="2024-PRISMA"/>
                              </w:pPr>
                              <w:r w:rsidRPr="000A34EA">
                                <w:t xml:space="preserve">(n = </w:t>
                              </w:r>
                              <w:r w:rsidR="00E959B1">
                                <w:t>2</w:t>
                              </w:r>
                              <w:r w:rsidRPr="000A34EA">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45942148" name="Rectangle 1445942148"/>
                        <wps:cNvSpPr/>
                        <wps:spPr>
                          <a:xfrm>
                            <a:off x="489098" y="3802348"/>
                            <a:ext cx="1887220" cy="511952"/>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71A8DF1" w14:textId="7EFA8BDE" w:rsidR="00A2289A" w:rsidRPr="000A34EA" w:rsidRDefault="00876B30" w:rsidP="009760CB">
                              <w:pPr>
                                <w:pStyle w:val="2024-PRISMA"/>
                              </w:pPr>
                              <w:r>
                                <w:t>Reviews</w:t>
                              </w:r>
                              <w:r w:rsidRPr="000A34EA">
                                <w:t xml:space="preserve"> </w:t>
                              </w:r>
                              <w:r w:rsidR="00A2289A" w:rsidRPr="000A34EA">
                                <w:t xml:space="preserve">included in </w:t>
                              </w:r>
                              <w:r>
                                <w:t>over</w:t>
                              </w:r>
                              <w:r w:rsidR="00A2289A" w:rsidRPr="000A34EA">
                                <w:t>view</w:t>
                              </w:r>
                            </w:p>
                            <w:p w14:paraId="30C42BE5" w14:textId="77777777" w:rsidR="00A2289A" w:rsidRPr="000A34EA" w:rsidRDefault="00A2289A" w:rsidP="009760CB">
                              <w:pPr>
                                <w:pStyle w:val="2024-PRISMA"/>
                              </w:pPr>
                              <w:r w:rsidRPr="000A34EA">
                                <w:t xml:space="preserve">(n = </w:t>
                              </w:r>
                              <w:r>
                                <w:t>0</w:t>
                              </w:r>
                              <w:r w:rsidRPr="000A34EA">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5834572" name="Rectangle 55834572"/>
                        <wps:cNvSpPr/>
                        <wps:spPr>
                          <a:xfrm>
                            <a:off x="499731" y="2243470"/>
                            <a:ext cx="1887220" cy="52641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0D4C5C2" w14:textId="77777777" w:rsidR="00A2289A" w:rsidRPr="000A34EA" w:rsidRDefault="00A2289A" w:rsidP="009760CB">
                              <w:pPr>
                                <w:pStyle w:val="2024-PRISMA"/>
                              </w:pPr>
                              <w:r w:rsidRPr="000A34EA">
                                <w:t>Reports sought for retrieval</w:t>
                              </w:r>
                            </w:p>
                            <w:p w14:paraId="2DB38DF3" w14:textId="77777777" w:rsidR="00A2289A" w:rsidRPr="000A34EA" w:rsidRDefault="00A2289A" w:rsidP="009760CB">
                              <w:pPr>
                                <w:pStyle w:val="2024-PRISMA"/>
                              </w:pPr>
                              <w:r w:rsidRPr="000A34EA">
                                <w:t xml:space="preserve">(n = </w:t>
                              </w:r>
                              <w:r w:rsidR="00A31347">
                                <w:t>2</w:t>
                              </w:r>
                              <w:r w:rsidRPr="000A34EA">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45ED607" id="Group 318790405" o:spid="_x0000_s1136" style="position:absolute;margin-left:0;margin-top:10pt;width:420.4pt;height:347.8pt;z-index:251658254;mso-position-horizontal-relative:margin;mso-width-relative:margin;mso-height-relative:margin" coordorigin=",-757" coordsize="55364,449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">
                <v:rect id="Rectangle 1590061891" o:spid="_x0000_s1137" style="position:absolute;left:31807;top:4253;width:23557;height:83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" filled="f" strokecolor="black [3213]" strokeweight="1pt">
                  <v:textbox>
                    <w:txbxContent>
                      <w:p w14:paraId="66E11836" w14:textId="77777777" w:rsidR="00A2289A" w:rsidRPr="000A34EA" w:rsidRDefault="00A2289A" w:rsidP="009760CB">
                        <w:pPr>
                          <w:pStyle w:val="2024-PRISMA"/>
                        </w:pPr>
                        <w:r w:rsidRPr="000A34EA">
                          <w:t>Records removed before screening:</w:t>
                        </w:r>
                      </w:p>
                      <w:p w14:paraId="646ACC12" w14:textId="77777777" w:rsidR="00A2289A" w:rsidRPr="000A34EA" w:rsidRDefault="00A2289A" w:rsidP="009760CB">
                        <w:pPr>
                          <w:pStyle w:val="2024-PRISMA"/>
                        </w:pPr>
                        <w:r w:rsidRPr="000A34EA">
                          <w:t xml:space="preserve">Duplicate records removed (n = </w:t>
                        </w:r>
                        <w:r>
                          <w:t>1</w:t>
                        </w:r>
                        <w:r w:rsidRPr="000A34EA">
                          <w:t>)</w:t>
                        </w:r>
                      </w:p>
                    </w:txbxContent>
                  </v:textbox>
                </v:rect>
                <v:rect id="Rectangle 1321866048" o:spid="_x0000_s1138" style="position:absolute;left:29877;top:15098;width:18872;height:52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" filled="f" strokecolor="black [3213]" strokeweight="1pt">
                  <v:textbox>
                    <w:txbxContent>
                      <w:p w14:paraId="7023C36D" w14:textId="77777777" w:rsidR="00A2289A" w:rsidRPr="000A34EA" w:rsidRDefault="00A2289A" w:rsidP="009760CB">
                        <w:pPr>
                          <w:pStyle w:val="2024-PRISMA"/>
                        </w:pPr>
                        <w:r w:rsidRPr="000A34EA">
                          <w:t>Records excluded</w:t>
                        </w:r>
                      </w:p>
                      <w:p w14:paraId="270D143A" w14:textId="77777777" w:rsidR="00A2289A" w:rsidRPr="000A34EA" w:rsidRDefault="00A2289A" w:rsidP="009760CB">
                        <w:pPr>
                          <w:pStyle w:val="2024-PRISMA"/>
                        </w:pPr>
                        <w:r w:rsidRPr="000A34EA">
                          <w:t xml:space="preserve">(n = </w:t>
                        </w:r>
                        <w:r>
                          <w:t>1</w:t>
                        </w:r>
                        <w:r w:rsidR="00A31347">
                          <w:t>3</w:t>
                        </w:r>
                        <w:r w:rsidR="00BC64DD">
                          <w:t>6</w:t>
                        </w:r>
                        <w:r w:rsidRPr="000A34EA">
                          <w:t>)</w:t>
                        </w:r>
                      </w:p>
                    </w:txbxContent>
                  </v:textbox>
                </v:rect>
                <v:rect id="Rectangle 403465502" o:spid="_x0000_s1139" style="position:absolute;left:29877;top:21636;width:23519;height:70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" filled="f" strokecolor="black [3213]" strokeweight="1pt">
                  <v:textbox>
                    <w:txbxContent>
                      <w:p w14:paraId="3BCDB0A4" w14:textId="77777777" w:rsidR="00A2289A" w:rsidRDefault="00A2289A" w:rsidP="009760CB">
                        <w:pPr>
                          <w:pStyle w:val="2024-PRISMA"/>
                        </w:pPr>
                        <w:r>
                          <w:t>Full-text unavailable</w:t>
                        </w:r>
                        <w:r w:rsidRPr="000A34EA">
                          <w:t xml:space="preserve"> (n</w:t>
                        </w:r>
                        <w:r>
                          <w:t xml:space="preserve"> = 0</w:t>
                        </w:r>
                        <w:r w:rsidRPr="000A34EA">
                          <w:t>)</w:t>
                        </w:r>
                      </w:p>
                      <w:p w14:paraId="5CFE4690" w14:textId="77777777" w:rsidR="00A2289A" w:rsidRPr="000A34EA" w:rsidRDefault="00A2289A" w:rsidP="009760CB">
                        <w:pPr>
                          <w:pStyle w:val="2024-PRISMA"/>
                        </w:pPr>
                        <w:r>
                          <w:t>Ongoing study</w:t>
                        </w:r>
                        <w:r w:rsidRPr="000A34EA">
                          <w:t xml:space="preserve"> (n</w:t>
                        </w:r>
                        <w:r>
                          <w:t xml:space="preserve"> = 0</w:t>
                        </w:r>
                        <w:r w:rsidRPr="000A34EA">
                          <w:t>)</w:t>
                        </w:r>
                      </w:p>
                      <w:p w14:paraId="0F7D97F7" w14:textId="4429B0EF" w:rsidR="001D2614" w:rsidRDefault="001D2614" w:rsidP="009760CB">
                        <w:pPr>
                          <w:pStyle w:val="2024-PRISMA"/>
                        </w:pPr>
                        <w:r>
                          <w:t>Conference abstracts (n = 0)</w:t>
                        </w:r>
                      </w:p>
                      <w:p w14:paraId="21E5EAFD" w14:textId="4CB67A45" w:rsidR="00A2289A" w:rsidRPr="000A34EA" w:rsidRDefault="0097733F" w:rsidP="009760CB">
                        <w:pPr>
                          <w:pStyle w:val="2024-PRISMA"/>
                        </w:pPr>
                        <w:r>
                          <w:t>Reviews</w:t>
                        </w:r>
                        <w:r w:rsidR="00A2289A" w:rsidRPr="000A34EA">
                          <w:t xml:space="preserve"> Awaiting Classification (n = </w:t>
                        </w:r>
                        <w:r w:rsidR="00A2289A">
                          <w:t>0</w:t>
                        </w:r>
                        <w:r w:rsidR="00A2289A" w:rsidRPr="000A34EA">
                          <w:t>)</w:t>
                        </w:r>
                      </w:p>
                    </w:txbxContent>
                  </v:textbox>
                </v:rect>
                <v:rect id="Rectangle 1261094096" o:spid="_x0000_s1140" style="position:absolute;left:29877;top:29558;width:21793;height:78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" filled="f" strokecolor="black [3213]" strokeweight="1pt">
                  <v:textbox>
                    <w:txbxContent>
                      <w:p w14:paraId="0C74BC3D" w14:textId="77777777" w:rsidR="00A2289A" w:rsidRPr="000A34EA" w:rsidRDefault="00A2289A" w:rsidP="009760CB">
                        <w:pPr>
                          <w:pStyle w:val="2024-PRISMA"/>
                        </w:pPr>
                        <w:r w:rsidRPr="000A34EA">
                          <w:t xml:space="preserve">Reports excluded (n = </w:t>
                        </w:r>
                        <w:r w:rsidR="00E959B1">
                          <w:t>2</w:t>
                        </w:r>
                        <w:r w:rsidRPr="000A34EA">
                          <w:t>):</w:t>
                        </w:r>
                      </w:p>
                      <w:p w14:paraId="756618D8" w14:textId="77777777" w:rsidR="00A2289A" w:rsidRPr="000A34EA" w:rsidRDefault="00A2289A" w:rsidP="009760CB">
                        <w:pPr>
                          <w:pStyle w:val="2024-PRISMA"/>
                        </w:pPr>
                        <w:r w:rsidRPr="000A34EA">
                          <w:t xml:space="preserve">Wrong intervention (n = </w:t>
                        </w:r>
                        <w:r w:rsidR="00E959B1">
                          <w:t>1</w:t>
                        </w:r>
                        <w:r w:rsidRPr="000A34EA">
                          <w:t>)</w:t>
                        </w:r>
                      </w:p>
                      <w:p w14:paraId="68D40882" w14:textId="77777777" w:rsidR="00A2289A" w:rsidRPr="000A34EA" w:rsidRDefault="00A2289A" w:rsidP="009760CB">
                        <w:pPr>
                          <w:pStyle w:val="2024-PRISMA"/>
                        </w:pPr>
                        <w:r>
                          <w:t>Does not meet minimum criteria for systematic review (n = 1)</w:t>
                        </w:r>
                      </w:p>
                    </w:txbxContent>
                  </v:textbox>
                </v:rect>
                <v:shape id="Straight Arrow Connector 1588066512" o:spid="_x0000_s1141" type="#_x0000_t32" style="position:absolute;left:24242;top:9758;width:756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" strokecolor="black [3213]" strokeweight=".5pt">
                  <v:stroke endarrow="block" joinstyle="miter"/>
                </v:shape>
                <v:shape id="Straight Arrow Connector 826897791" o:spid="_x0000_s1142" type="#_x0000_t32" style="position:absolute;left:23923;top:17201;width:563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" strokecolor="black [3213]" strokeweight=".5pt">
                  <v:stroke endarrow="block" joinstyle="miter"/>
                </v:shape>
                <v:shape id="Straight Arrow Connector 2107611359" o:spid="_x0000_s1143" type="#_x0000_t32" style="position:absolute;left:24029;top:24218;width:563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" strokecolor="black [3213]" strokeweight=".5pt">
                  <v:stroke endarrow="block" joinstyle="miter"/>
                </v:shape>
                <v:shape id="Straight Arrow Connector 1498298734" o:spid="_x0000_s1144" type="#_x0000_t32" style="position:absolute;left:24135;top:31555;width:563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" strokecolor="black [3213]" strokeweight=".5pt">
                  <v:stroke endarrow="block" joinstyle="miter"/>
                </v:shape>
                <v:shape id="Flowchart: Alternate Process 31" o:spid="_x0000_s1145" type="#_x0000_t176" style="position:absolute;left:-3054;top:7132;width:10094;height:3325;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" fillcolor="#9cc2e5 [1944]" strokecolor="black [3213]" strokeweight="1pt">
                  <v:textbox>
                    <w:txbxContent>
                      <w:p w14:paraId="29574EC0" w14:textId="77777777" w:rsidR="00A2289A" w:rsidRPr="001428E8" w:rsidRDefault="00A2289A" w:rsidP="009760CB">
                        <w:pPr>
                          <w:pStyle w:val="2024-PRISMA"/>
                          <w:rPr>
                            <w:b/>
                          </w:rPr>
                        </w:pPr>
                        <w:r w:rsidRPr="001428E8">
                          <w:rPr>
                            <w:b/>
                          </w:rPr>
                          <w:t>Identification</w:t>
                        </w:r>
                      </w:p>
                    </w:txbxContent>
                  </v:textbox>
                </v:shape>
                <v:shape id="Flowchart: Alternate Process 32" o:spid="_x0000_s1146" type="#_x0000_t176" style="position:absolute;left:-8813;top:23759;width:21612;height:3324;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" fillcolor="#9cc2e5 [1944]" strokecolor="black [3213]" strokeweight="1pt">
                  <v:textbox>
                    <w:txbxContent>
                      <w:p w14:paraId="1574E854" w14:textId="77777777" w:rsidR="00A2289A" w:rsidRPr="001428E8" w:rsidRDefault="00A2289A" w:rsidP="001428E8">
                        <w:pPr>
                          <w:pStyle w:val="2024-PRISMA"/>
                          <w:jc w:val="center"/>
                          <w:rPr>
                            <w:b/>
                          </w:rPr>
                        </w:pPr>
                        <w:r w:rsidRPr="001428E8">
                          <w:rPr>
                            <w:b/>
                          </w:rPr>
                          <w:t>Screening</w:t>
                        </w:r>
                      </w:p>
                      <w:p w14:paraId="4101AA6B" w14:textId="77777777" w:rsidR="00A2289A" w:rsidRPr="001428E8" w:rsidRDefault="00A2289A" w:rsidP="001428E8">
                        <w:pPr>
                          <w:pStyle w:val="2024-PRISMA"/>
                          <w:jc w:val="center"/>
                          <w:rPr>
                            <w:b/>
                          </w:rPr>
                        </w:pPr>
                      </w:p>
                    </w:txbxContent>
                  </v:textbox>
                </v:shape>
                <v:shape id="Flowchart: Alternate Process 33" o:spid="_x0000_s1147" type="#_x0000_t176" style="position:absolute;left:-1563;top:38985;width:7111;height:3325;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" fillcolor="#9cc2e5 [1944]" strokecolor="black [3213]" strokeweight="1pt">
                  <v:textbox>
                    <w:txbxContent>
                      <w:p w14:paraId="77F3A4C8" w14:textId="77777777" w:rsidR="00A2289A" w:rsidRPr="001428E8" w:rsidRDefault="00A2289A" w:rsidP="009760CB">
                        <w:pPr>
                          <w:pStyle w:val="2024-PRISMA"/>
                          <w:rPr>
                            <w:b/>
                          </w:rPr>
                        </w:pPr>
                        <w:r w:rsidRPr="001428E8">
                          <w:rPr>
                            <w:b/>
                          </w:rPr>
                          <w:t>Included</w:t>
                        </w:r>
                      </w:p>
                    </w:txbxContent>
                  </v:textbox>
                </v:shape>
                <v:shape id="Straight Arrow Connector 1746635190" o:spid="_x0000_s1148" type="#_x0000_t32" style="position:absolute;left:13394;top:12333;width:0;height:281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" strokecolor="black [3213]" strokeweight=".5pt">
                  <v:stroke endarrow="block" joinstyle="miter"/>
                </v:shape>
                <v:shape id="Straight Arrow Connector 936178839" o:spid="_x0000_s1149" type="#_x0000_t32" style="position:absolute;left:13394;top:19670;width:0;height:281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" strokecolor="black [3213]" strokeweight=".5pt">
                  <v:stroke endarrow="block" joinstyle="miter"/>
                </v:shape>
                <v:shape id="Straight Arrow Connector 1742971555" o:spid="_x0000_s1150" type="#_x0000_t32" style="position:absolute;left:13500;top:26900;width:0;height:281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" strokecolor="black [3213]" strokeweight=".5pt">
                  <v:stroke endarrow="block" joinstyle="miter"/>
                </v:shape>
                <v:shape id="Straight Arrow Connector 1219238264" o:spid="_x0000_s1151" type="#_x0000_t32" style="position:absolute;left:13394;top:30580;width:0;height:746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" strokecolor="black [3213]" strokeweight=".5pt">
                  <v:stroke endarrow="block" joinstyle="miter"/>
                </v:shape>
                <v:shape id="Flowchart: Alternate Process 29" o:spid="_x0000_s1152" type="#_x0000_t176" style="position:absolute;top:-757;width:55364;height:36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" fillcolor="#ffc000 [3207]" strokecolor="#7f5f00 [1607]" strokeweight="1pt">
                  <v:textbox>
                    <w:txbxContent>
                      <w:p w14:paraId="59058BA9" w14:textId="71532727" w:rsidR="00A2289A" w:rsidRPr="001428E8" w:rsidRDefault="00A2289A" w:rsidP="001428E8">
                        <w:pPr>
                          <w:pStyle w:val="2024-PRISMA"/>
                          <w:jc w:val="center"/>
                          <w:rPr>
                            <w:b/>
                          </w:rPr>
                        </w:pPr>
                        <w:r w:rsidRPr="001428E8">
                          <w:rPr>
                            <w:b/>
                          </w:rPr>
                          <w:t xml:space="preserve">Identification of </w:t>
                        </w:r>
                        <w:r w:rsidR="00876B30">
                          <w:rPr>
                            <w:b/>
                          </w:rPr>
                          <w:t>reviews</w:t>
                        </w:r>
                        <w:r w:rsidR="00876B30" w:rsidRPr="001428E8">
                          <w:rPr>
                            <w:b/>
                          </w:rPr>
                          <w:t xml:space="preserve"> </w:t>
                        </w:r>
                        <w:r w:rsidRPr="001428E8">
                          <w:rPr>
                            <w:b/>
                          </w:rPr>
                          <w:t>via databases and registers</w:t>
                        </w:r>
                      </w:p>
                    </w:txbxContent>
                  </v:textbox>
                </v:shape>
                <v:rect id="Rectangle 1525643251" o:spid="_x0000_s1153" style="position:absolute;left:4997;top:4253;width:24558;height:83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" fillcolor="white [3212]" strokecolor="black [3213]" strokeweight="1pt">
                  <v:textbox>
                    <w:txbxContent>
                      <w:p w14:paraId="44CBA7BD" w14:textId="292F838B" w:rsidR="00A2289A" w:rsidRPr="000A34EA" w:rsidRDefault="00A2289A" w:rsidP="009760CB">
                        <w:pPr>
                          <w:pStyle w:val="2024-PRISMA"/>
                        </w:pPr>
                        <w:r w:rsidRPr="000A34EA">
                          <w:t>Records identified from:</w:t>
                        </w:r>
                      </w:p>
                      <w:p w14:paraId="53EED33A" w14:textId="77777777" w:rsidR="00A2289A" w:rsidRPr="000A34EA" w:rsidRDefault="00A2289A" w:rsidP="009760CB">
                        <w:pPr>
                          <w:pStyle w:val="2024-PRISMA"/>
                        </w:pPr>
                        <w:r w:rsidRPr="000A34EA">
                          <w:t xml:space="preserve">Databases and registers (n = </w:t>
                        </w:r>
                        <w:r w:rsidR="00A31347">
                          <w:t>138</w:t>
                        </w:r>
                        <w:r w:rsidRPr="000A34EA">
                          <w:t>)</w:t>
                        </w:r>
                      </w:p>
                      <w:p w14:paraId="0C2A428C" w14:textId="77777777" w:rsidR="00A2289A" w:rsidRDefault="00A2289A" w:rsidP="009760CB">
                        <w:pPr>
                          <w:pStyle w:val="2024-PRISMA"/>
                        </w:pPr>
                        <w:r w:rsidRPr="000A34EA">
                          <w:t>Manual</w:t>
                        </w:r>
                        <w:r>
                          <w:t xml:space="preserve"> or </w:t>
                        </w:r>
                        <w:r w:rsidRPr="000A34EA">
                          <w:t xml:space="preserve">citation </w:t>
                        </w:r>
                        <w:r>
                          <w:t xml:space="preserve">searching </w:t>
                        </w:r>
                        <w:r w:rsidRPr="000A34EA">
                          <w:t xml:space="preserve">(n = </w:t>
                        </w:r>
                        <w:r>
                          <w:t>0</w:t>
                        </w:r>
                        <w:r w:rsidRPr="000A34EA">
                          <w:t>)</w:t>
                        </w:r>
                      </w:p>
                      <w:p w14:paraId="4C47AC9B" w14:textId="77777777" w:rsidR="00A2289A" w:rsidRPr="000A34EA" w:rsidRDefault="00A2289A" w:rsidP="009760CB">
                        <w:pPr>
                          <w:pStyle w:val="2024-PRISMA"/>
                        </w:pPr>
                        <w:r>
                          <w:t>Department’s call for evidence</w:t>
                        </w:r>
                        <w:r w:rsidRPr="000A34EA">
                          <w:t xml:space="preserve"> (n = </w:t>
                        </w:r>
                        <w:r w:rsidR="00BC64DD">
                          <w:t>1</w:t>
                        </w:r>
                        <w:r w:rsidRPr="000A34EA">
                          <w:t>)</w:t>
                        </w:r>
                      </w:p>
                    </w:txbxContent>
                  </v:textbox>
                </v:rect>
                <v:rect id="Rectangle 331175115" o:spid="_x0000_s1154" style="position:absolute;left:4997;top:15204;width:18872;height:52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" fillcolor="white [3212]" strokecolor="black [3213]" strokeweight="1pt">
                  <v:textbox>
                    <w:txbxContent>
                      <w:p w14:paraId="74B5958A" w14:textId="77777777" w:rsidR="00A2289A" w:rsidRPr="000A34EA" w:rsidRDefault="00A2289A" w:rsidP="009760CB">
                        <w:pPr>
                          <w:pStyle w:val="2024-PRISMA"/>
                        </w:pPr>
                        <w:r w:rsidRPr="000A34EA">
                          <w:t>Records screened</w:t>
                        </w:r>
                      </w:p>
                      <w:p w14:paraId="7536CA2A" w14:textId="77777777" w:rsidR="00A2289A" w:rsidRPr="000A34EA" w:rsidRDefault="00A2289A" w:rsidP="009760CB">
                        <w:pPr>
                          <w:pStyle w:val="2024-PRISMA"/>
                        </w:pPr>
                        <w:r w:rsidRPr="000A34EA">
                          <w:t xml:space="preserve">(n = </w:t>
                        </w:r>
                        <w:r>
                          <w:t>1</w:t>
                        </w:r>
                        <w:r w:rsidR="00A31347">
                          <w:t>3</w:t>
                        </w:r>
                        <w:r w:rsidR="00BC64DD">
                          <w:t>8</w:t>
                        </w:r>
                        <w:r w:rsidRPr="000A34EA">
                          <w:t>)</w:t>
                        </w:r>
                      </w:p>
                    </w:txbxContent>
                  </v:textbox>
                </v:rect>
                <v:rect id="Rectangle 1993736952" o:spid="_x0000_s1155" style="position:absolute;left:4997;top:29771;width:18872;height:52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" fillcolor="white [3212]" strokecolor="black [3213]" strokeweight="1pt">
                  <v:textbox>
                    <w:txbxContent>
                      <w:p w14:paraId="51F690FD" w14:textId="77777777" w:rsidR="00A2289A" w:rsidRPr="000A34EA" w:rsidRDefault="00A2289A" w:rsidP="009760CB">
                        <w:pPr>
                          <w:pStyle w:val="2024-PRISMA"/>
                        </w:pPr>
                        <w:r w:rsidRPr="000A34EA">
                          <w:t>Reports assessed for eligibility</w:t>
                        </w:r>
                      </w:p>
                      <w:p w14:paraId="7B250AC1" w14:textId="77777777" w:rsidR="00A2289A" w:rsidRPr="000A34EA" w:rsidRDefault="00A2289A" w:rsidP="009760CB">
                        <w:pPr>
                          <w:pStyle w:val="2024-PRISMA"/>
                        </w:pPr>
                        <w:r w:rsidRPr="000A34EA">
                          <w:t xml:space="preserve">(n = </w:t>
                        </w:r>
                        <w:r w:rsidR="00E959B1">
                          <w:t>2</w:t>
                        </w:r>
                        <w:r w:rsidRPr="000A34EA">
                          <w:t>)</w:t>
                        </w:r>
                      </w:p>
                    </w:txbxContent>
                  </v:textbox>
                </v:rect>
                <v:rect id="Rectangle 1445942148" o:spid="_x0000_s1156" style="position:absolute;left:4890;top:38023;width:18873;height:51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" fillcolor="white [3212]" strokecolor="black [3213]" strokeweight="1pt">
                  <v:textbox>
                    <w:txbxContent>
                      <w:p w14:paraId="571A8DF1" w14:textId="7EFA8BDE" w:rsidR="00A2289A" w:rsidRPr="000A34EA" w:rsidRDefault="00876B30" w:rsidP="009760CB">
                        <w:pPr>
                          <w:pStyle w:val="2024-PRISMA"/>
                        </w:pPr>
                        <w:r>
                          <w:t>Reviews</w:t>
                        </w:r>
                        <w:r w:rsidRPr="000A34EA">
                          <w:t xml:space="preserve"> </w:t>
                        </w:r>
                        <w:r w:rsidR="00A2289A" w:rsidRPr="000A34EA">
                          <w:t xml:space="preserve">included in </w:t>
                        </w:r>
                        <w:r>
                          <w:t>over</w:t>
                        </w:r>
                        <w:r w:rsidR="00A2289A" w:rsidRPr="000A34EA">
                          <w:t>view</w:t>
                        </w:r>
                      </w:p>
                      <w:p w14:paraId="30C42BE5" w14:textId="77777777" w:rsidR="00A2289A" w:rsidRPr="000A34EA" w:rsidRDefault="00A2289A" w:rsidP="009760CB">
                        <w:pPr>
                          <w:pStyle w:val="2024-PRISMA"/>
                        </w:pPr>
                        <w:r w:rsidRPr="000A34EA">
                          <w:t xml:space="preserve">(n = </w:t>
                        </w:r>
                        <w:r>
                          <w:t>0</w:t>
                        </w:r>
                        <w:r w:rsidRPr="000A34EA">
                          <w:t>)</w:t>
                        </w:r>
                      </w:p>
                    </w:txbxContent>
                  </v:textbox>
                </v:rect>
                <v:rect id="Rectangle 55834572" o:spid="_x0000_s1157" style="position:absolute;left:4997;top:22434;width:18872;height:52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" fillcolor="white [3212]" strokecolor="black [3213]" strokeweight="1pt">
                  <v:textbox>
                    <w:txbxContent>
                      <w:p w14:paraId="70D4C5C2" w14:textId="77777777" w:rsidR="00A2289A" w:rsidRPr="000A34EA" w:rsidRDefault="00A2289A" w:rsidP="009760CB">
                        <w:pPr>
                          <w:pStyle w:val="2024-PRISMA"/>
                        </w:pPr>
                        <w:r w:rsidRPr="000A34EA">
                          <w:t>Reports sought for retrieval</w:t>
                        </w:r>
                      </w:p>
                      <w:p w14:paraId="2DB38DF3" w14:textId="77777777" w:rsidR="00A2289A" w:rsidRPr="000A34EA" w:rsidRDefault="00A2289A" w:rsidP="009760CB">
                        <w:pPr>
                          <w:pStyle w:val="2024-PRISMA"/>
                        </w:pPr>
                        <w:r w:rsidRPr="000A34EA">
                          <w:t xml:space="preserve">(n = </w:t>
                        </w:r>
                        <w:r w:rsidR="00A31347">
                          <w:t>2</w:t>
                        </w:r>
                        <w:r w:rsidRPr="000A34EA">
                          <w:t>)</w:t>
                        </w:r>
                      </w:p>
                    </w:txbxContent>
                  </v:textbox>
                </v:rect>
                <w10:wrap type="square" anchorx="margin"/>
              </v:group>
            </w:pict>
          </mc:Fallback>
        </mc:AlternateContent>
      </w:r>
      <w:r w:rsidR="00863A84">
        <w:br w:type="page"/>
      </w:r>
    </w:p>
    <w:p w14:paraId="6990E978" w14:textId="77777777" w:rsidR="00863A84" w:rsidRPr="00863A84" w:rsidRDefault="00863A84" w:rsidP="00005F45"/>
    <w:p w14:paraId="53F17939" w14:textId="77777777" w:rsidR="00A2289A" w:rsidRPr="0054775B" w:rsidRDefault="00A2289A" w:rsidP="009E6F7F">
      <w:pPr>
        <w:pStyle w:val="2024HEADER3"/>
        <w:rPr>
          <w:rFonts w:ascii="Aptos" w:hAnsi="Aptos"/>
        </w:rPr>
      </w:pPr>
      <w:r w:rsidRPr="0054775B">
        <w:rPr>
          <w:rFonts w:ascii="Aptos" w:hAnsi="Aptos"/>
        </w:rPr>
        <w:t>Description of included reviews</w:t>
      </w:r>
    </w:p>
    <w:p w14:paraId="71C47531" w14:textId="77777777" w:rsidR="00A2289A" w:rsidRPr="0054775B" w:rsidRDefault="00A2289A" w:rsidP="009E6F7F">
      <w:r w:rsidRPr="0054775B">
        <w:t>No reviews met inclusion criteria.</w:t>
      </w:r>
    </w:p>
    <w:p w14:paraId="18D0D1D0" w14:textId="77777777" w:rsidR="00A2289A" w:rsidRPr="0054775B" w:rsidRDefault="00A2289A" w:rsidP="009E6F7F">
      <w:pPr>
        <w:pStyle w:val="2024HEADER3"/>
        <w:rPr>
          <w:rFonts w:ascii="Aptos" w:hAnsi="Aptos"/>
        </w:rPr>
      </w:pPr>
      <w:r w:rsidRPr="0054775B">
        <w:rPr>
          <w:rFonts w:ascii="Aptos" w:hAnsi="Aptos"/>
        </w:rPr>
        <w:t>Assessment of risk of bias of included systematic reviews</w:t>
      </w:r>
    </w:p>
    <w:p w14:paraId="2C81B7C7" w14:textId="72AC3D6B" w:rsidR="008308E9" w:rsidRPr="0054775B" w:rsidRDefault="00A2289A" w:rsidP="009760CB">
      <w:r w:rsidRPr="0054775B">
        <w:t>No reviews met inclusion criteria.</w:t>
      </w:r>
    </w:p>
    <w:p w14:paraId="63D4E75D" w14:textId="77777777" w:rsidR="002F03F2" w:rsidRPr="0054775B" w:rsidRDefault="002F03F2" w:rsidP="00107BEE">
      <w:pPr>
        <w:pStyle w:val="2024HEADER3"/>
        <w:numPr>
          <w:ilvl w:val="2"/>
          <w:numId w:val="14"/>
        </w:numPr>
        <w:rPr>
          <w:rFonts w:ascii="Aptos" w:hAnsi="Aptos"/>
        </w:rPr>
      </w:pPr>
      <w:r w:rsidRPr="0054775B">
        <w:rPr>
          <w:rFonts w:ascii="Aptos" w:hAnsi="Aptos"/>
        </w:rPr>
        <w:t xml:space="preserve">Results </w:t>
      </w:r>
    </w:p>
    <w:p w14:paraId="3A90E603" w14:textId="1C6905DC" w:rsidR="002F03F2" w:rsidRPr="0054775B" w:rsidRDefault="002F03F2" w:rsidP="009760CB">
      <w:r w:rsidRPr="0054775B">
        <w:t>No reviews met inclusion criteria.</w:t>
      </w:r>
    </w:p>
    <w:p w14:paraId="07740C9C" w14:textId="77777777" w:rsidR="008308E9" w:rsidRPr="0054775B" w:rsidRDefault="008308E9" w:rsidP="009E6F7F">
      <w:pPr>
        <w:pStyle w:val="2024HEADER3"/>
        <w:rPr>
          <w:rFonts w:ascii="Aptos" w:hAnsi="Aptos"/>
        </w:rPr>
      </w:pPr>
      <w:r w:rsidRPr="0054775B">
        <w:rPr>
          <w:rFonts w:ascii="Aptos" w:hAnsi="Aptos"/>
        </w:rPr>
        <w:t>Summary of findings and evidence statements</w:t>
      </w:r>
    </w:p>
    <w:p w14:paraId="5380B9F9" w14:textId="2825B26F" w:rsidR="00DA1B3E" w:rsidRPr="0054775B" w:rsidRDefault="00DA1B3E" w:rsidP="009E6F7F">
      <w:r w:rsidRPr="0054775B">
        <w:t xml:space="preserve">The effect of </w:t>
      </w:r>
      <w:r w:rsidR="00916962" w:rsidRPr="0054775B">
        <w:t>c</w:t>
      </w:r>
      <w:r w:rsidRPr="0054775B">
        <w:t>ruciferous indoles on abdominal pain burden, physiological symptoms of dysmenorrhoea, physical function burden from dysmenorrhoea (</w:t>
      </w:r>
      <w:r w:rsidR="003A76C9" w:rsidRPr="0054775B">
        <w:t>diarrhoea</w:t>
      </w:r>
      <w:r w:rsidRPr="0054775B">
        <w:t>, constipation, gastric upset, nausea), global improvement of dysmenorrhoea, consumption of pain killers, quality of life, restriction of daily life activities in people with dysmenorrhea is unknown.</w:t>
      </w:r>
    </w:p>
    <w:p w14:paraId="443575DE" w14:textId="77777777" w:rsidR="000F5E0E" w:rsidRPr="0054775B" w:rsidRDefault="000F5E0E" w:rsidP="009E6F7F">
      <w:pPr>
        <w:rPr>
          <w:color w:val="C00000"/>
          <w:spacing w:val="-2"/>
          <w:w w:val="105"/>
          <w:sz w:val="28"/>
          <w:szCs w:val="28"/>
        </w:rPr>
      </w:pPr>
      <w:r w:rsidRPr="0054775B">
        <w:br w:type="page"/>
      </w:r>
    </w:p>
    <w:p w14:paraId="3899BA2F" w14:textId="435DAEA0" w:rsidR="00764746" w:rsidRPr="0054775B" w:rsidRDefault="00980972" w:rsidP="00F9201F">
      <w:pPr>
        <w:pStyle w:val="2024HEADER2"/>
      </w:pPr>
      <w:bookmarkStart w:id="92" w:name="_Toc179379622"/>
      <w:r w:rsidRPr="0054775B">
        <w:lastRenderedPageBreak/>
        <w:t>Premenstrual syndrome</w:t>
      </w:r>
      <w:r w:rsidR="0012437F" w:rsidRPr="0054775B">
        <w:t xml:space="preserve"> (PMS)</w:t>
      </w:r>
      <w:r w:rsidRPr="0054775B">
        <w:t xml:space="preserve">, </w:t>
      </w:r>
      <w:r w:rsidR="0012437F" w:rsidRPr="0054775B">
        <w:t>C</w:t>
      </w:r>
      <w:r w:rsidRPr="0054775B">
        <w:t>ruciferous indoles (indole-3-carbinol, diindolylmethane)</w:t>
      </w:r>
      <w:bookmarkEnd w:id="92"/>
    </w:p>
    <w:p w14:paraId="157AF68E" w14:textId="77777777" w:rsidR="008308E9" w:rsidRPr="0054775B" w:rsidRDefault="008308E9" w:rsidP="009E6F7F">
      <w:pPr>
        <w:pStyle w:val="2024HEADER3"/>
        <w:rPr>
          <w:rFonts w:ascii="Aptos" w:hAnsi="Aptos"/>
        </w:rPr>
      </w:pPr>
      <w:r w:rsidRPr="0054775B">
        <w:rPr>
          <w:rFonts w:ascii="Aptos" w:hAnsi="Aptos"/>
        </w:rPr>
        <w:t>Description of condition</w:t>
      </w:r>
    </w:p>
    <w:p w14:paraId="077BDFD0" w14:textId="1ABF0DCD" w:rsidR="007B2A52" w:rsidRPr="0054775B" w:rsidRDefault="004A286B" w:rsidP="009E6F7F">
      <w:r w:rsidRPr="0054775B">
        <w:t xml:space="preserve">Premenstrual Syndrome (PMS) is a complex condition encompassing a cluster of physical, emotional, and </w:t>
      </w:r>
      <w:r w:rsidR="00087405" w:rsidRPr="0054775B">
        <w:t>behavioural</w:t>
      </w:r>
      <w:r w:rsidRPr="0054775B">
        <w:t xml:space="preserve"> symptoms that occur cyclically in the luteal phase of the menstrual cycle and </w:t>
      </w:r>
      <w:r w:rsidR="00D50A04" w:rsidRPr="0054775B">
        <w:t>subsides</w:t>
      </w:r>
      <w:r w:rsidRPr="0054775B">
        <w:t xml:space="preserve"> with menstruation onset</w:t>
      </w:r>
      <w:r w:rsidR="00EC3D89" w:rsidRPr="0054775B">
        <w:t xml:space="preserve"> </w:t>
      </w:r>
      <w:r w:rsidR="00F54937">
        <w:rPr>
          <w:noProof/>
        </w:rPr>
        <w:t>(125, 126)</w:t>
      </w:r>
      <w:r w:rsidRPr="0054775B">
        <w:t xml:space="preserve">. While many individuals experience mild premenstrual changes, PMS involves symptoms severe enough to significantly disrupt daily functioning and quality of life. A more severe form, </w:t>
      </w:r>
      <w:r w:rsidR="009500BC" w:rsidRPr="0054775B">
        <w:t>p</w:t>
      </w:r>
      <w:r w:rsidRPr="0054775B">
        <w:t xml:space="preserve">remenstrual </w:t>
      </w:r>
      <w:r w:rsidR="009500BC" w:rsidRPr="0054775B">
        <w:t xml:space="preserve">dysphoric disorder </w:t>
      </w:r>
      <w:r w:rsidRPr="0054775B">
        <w:t>(PMDD), is characteri</w:t>
      </w:r>
      <w:r w:rsidR="009500BC" w:rsidRPr="0054775B">
        <w:t>s</w:t>
      </w:r>
      <w:r w:rsidRPr="0054775B">
        <w:t xml:space="preserve">ed by </w:t>
      </w:r>
      <w:r w:rsidR="009500BC" w:rsidRPr="0054775B">
        <w:t xml:space="preserve">additional </w:t>
      </w:r>
      <w:r w:rsidRPr="0054775B">
        <w:t xml:space="preserve">mood-related symptoms with marked impairment </w:t>
      </w:r>
      <w:r w:rsidR="00F54937">
        <w:rPr>
          <w:noProof/>
        </w:rPr>
        <w:t>(126)</w:t>
      </w:r>
      <w:r w:rsidR="003435EE" w:rsidRPr="0054775B">
        <w:t>.</w:t>
      </w:r>
      <w:r w:rsidR="00B57702" w:rsidRPr="0054775B">
        <w:t xml:space="preserve"> </w:t>
      </w:r>
      <w:r w:rsidR="007B2A52" w:rsidRPr="0054775B">
        <w:t xml:space="preserve">Globally, the prevalence of PMS </w:t>
      </w:r>
      <w:r w:rsidR="00131AAB" w:rsidRPr="0054775B">
        <w:t>requiring treatment is</w:t>
      </w:r>
      <w:r w:rsidR="007B2A52" w:rsidRPr="0054775B">
        <w:t xml:space="preserve"> estimated </w:t>
      </w:r>
      <w:r w:rsidR="00131AAB" w:rsidRPr="0054775B">
        <w:t>at</w:t>
      </w:r>
      <w:r w:rsidR="007B2A52" w:rsidRPr="0054775B">
        <w:t xml:space="preserve"> </w:t>
      </w:r>
      <w:r w:rsidR="00131AAB" w:rsidRPr="0054775B">
        <w:t>30-40</w:t>
      </w:r>
      <w:r w:rsidR="007B2A52" w:rsidRPr="0054775B">
        <w:t>% of reproductive-aged individuals</w:t>
      </w:r>
      <w:r w:rsidR="00131AAB" w:rsidRPr="0054775B">
        <w:t xml:space="preserve"> </w:t>
      </w:r>
      <w:r w:rsidR="00C61E0B" w:rsidRPr="0054775B">
        <w:t>and</w:t>
      </w:r>
      <w:r w:rsidR="007B2A52" w:rsidRPr="0054775B">
        <w:t xml:space="preserve"> PMDD affecting </w:t>
      </w:r>
      <w:r w:rsidR="00C61E0B" w:rsidRPr="0054775B">
        <w:t>3-8</w:t>
      </w:r>
      <w:r w:rsidR="007B2A52" w:rsidRPr="0054775B">
        <w:t xml:space="preserve">% </w:t>
      </w:r>
      <w:r w:rsidR="00F54937">
        <w:rPr>
          <w:noProof/>
        </w:rPr>
        <w:t>(125)</w:t>
      </w:r>
      <w:r w:rsidR="00C61E0B" w:rsidRPr="0054775B">
        <w:t xml:space="preserve">. </w:t>
      </w:r>
    </w:p>
    <w:p w14:paraId="77A0EB44" w14:textId="755E9DBC" w:rsidR="00792DAF" w:rsidRPr="0054775B" w:rsidRDefault="004A286B" w:rsidP="009E6F7F">
      <w:r w:rsidRPr="0054775B">
        <w:t xml:space="preserve">Diagnosing PMS relies on prospective charting </w:t>
      </w:r>
      <w:r w:rsidR="00205E54" w:rsidRPr="0054775B">
        <w:t xml:space="preserve">emotional and physical symptoms associated with menstrual cycle </w:t>
      </w:r>
      <w:r w:rsidR="00F54937">
        <w:rPr>
          <w:noProof/>
        </w:rPr>
        <w:t>(125)</w:t>
      </w:r>
      <w:r w:rsidRPr="0054775B">
        <w:t xml:space="preserve">. Symptoms vary between individuals and may include mood swings, irritability, depression, anxiety, bloating, breast tenderness, fatigue, food cravings, and cognitive difficulties </w:t>
      </w:r>
      <w:r w:rsidR="00F54937">
        <w:rPr>
          <w:noProof/>
        </w:rPr>
        <w:t>(125)</w:t>
      </w:r>
      <w:r w:rsidR="001A20B3" w:rsidRPr="0054775B">
        <w:t xml:space="preserve">. </w:t>
      </w:r>
      <w:r w:rsidRPr="0054775B">
        <w:t>PMS can significantly impact an individual's physical and mental health, affecting social relationships, work or academic performance, and overall well-being</w:t>
      </w:r>
      <w:r w:rsidR="001A20B3" w:rsidRPr="0054775B">
        <w:t xml:space="preserve">. </w:t>
      </w:r>
      <w:r w:rsidR="0026122A" w:rsidRPr="0054775B">
        <w:t>As the causes</w:t>
      </w:r>
      <w:r w:rsidR="00792DAF" w:rsidRPr="0054775B">
        <w:t xml:space="preserve"> of PMS </w:t>
      </w:r>
      <w:r w:rsidR="0026122A" w:rsidRPr="0054775B">
        <w:t>are</w:t>
      </w:r>
      <w:r w:rsidR="00792DAF" w:rsidRPr="0054775B">
        <w:t xml:space="preserve"> unknown, treatment </w:t>
      </w:r>
      <w:r w:rsidR="0026122A" w:rsidRPr="0054775B">
        <w:t>is targeted at</w:t>
      </w:r>
      <w:r w:rsidR="00792DAF" w:rsidRPr="0054775B">
        <w:t xml:space="preserve"> </w:t>
      </w:r>
      <w:r w:rsidR="0026122A" w:rsidRPr="0054775B">
        <w:t>relieving symptoms</w:t>
      </w:r>
      <w:r w:rsidR="000B7B7F" w:rsidRPr="0054775B">
        <w:t xml:space="preserve">. Pharmacological and non-pharmacological </w:t>
      </w:r>
      <w:r w:rsidR="00B40DF4" w:rsidRPr="0054775B">
        <w:t>t</w:t>
      </w:r>
      <w:r w:rsidR="00792DAF" w:rsidRPr="0054775B">
        <w:t>reatment</w:t>
      </w:r>
      <w:r w:rsidR="00B40DF4" w:rsidRPr="0054775B">
        <w:t xml:space="preserve"> </w:t>
      </w:r>
      <w:r w:rsidR="00792DAF" w:rsidRPr="0054775B">
        <w:t>of PMS</w:t>
      </w:r>
      <w:r w:rsidR="00B40DF4" w:rsidRPr="0054775B">
        <w:t xml:space="preserve"> are used, including </w:t>
      </w:r>
      <w:r w:rsidR="007B2A52" w:rsidRPr="0054775B">
        <w:t xml:space="preserve">dietary supplementation </w:t>
      </w:r>
      <w:r w:rsidR="00F54937">
        <w:rPr>
          <w:noProof/>
        </w:rPr>
        <w:t>(125)</w:t>
      </w:r>
      <w:r w:rsidR="00792DAF" w:rsidRPr="0054775B">
        <w:t>. </w:t>
      </w:r>
    </w:p>
    <w:p w14:paraId="29517310" w14:textId="77777777" w:rsidR="008308E9" w:rsidRPr="0054775B" w:rsidRDefault="008308E9" w:rsidP="009E6F7F">
      <w:pPr>
        <w:pStyle w:val="2024HEADER3"/>
        <w:rPr>
          <w:rFonts w:ascii="Aptos" w:hAnsi="Aptos"/>
        </w:rPr>
      </w:pPr>
      <w:r w:rsidRPr="0054775B">
        <w:rPr>
          <w:rFonts w:ascii="Aptos" w:hAnsi="Aptos"/>
        </w:rPr>
        <w:t>Description of the intervention</w:t>
      </w:r>
    </w:p>
    <w:p w14:paraId="66CE7DCE" w14:textId="3AA35B0E" w:rsidR="00AC3843" w:rsidRPr="0054775B" w:rsidRDefault="00AC3843" w:rsidP="009E6F7F">
      <w:r w:rsidRPr="0054775B">
        <w:t xml:space="preserve">Cruciferous indoles are a class of secondary metabolites found predominantly in cruciferous vegetables, a plant family that includes cabbage, broccoli, brussels sprouts, cauliflower, and kale. They are consumed primarily through the dietary intake of their parent vegetables. The most well-studied cruciferous indoles are indole-3-carbinol (I3C) and its biologically active dimer, diindolylmethane </w:t>
      </w:r>
      <w:r w:rsidR="00F54937">
        <w:rPr>
          <w:noProof/>
        </w:rPr>
        <w:t>(123)</w:t>
      </w:r>
      <w:r w:rsidRPr="0054775B">
        <w:t xml:space="preserve">. Diindolylmethane is not naturally abundant in food sources but can be formed in the acidic environment of the stomach after I3C consumption or obtained through dietary supplements. Factors like cooking methods, processing, and even variations within the gut microbiome can influence the final indole compounds and their bioavailability </w:t>
      </w:r>
      <w:r w:rsidR="00F54937">
        <w:rPr>
          <w:noProof/>
        </w:rPr>
        <w:t>(123)</w:t>
      </w:r>
      <w:r w:rsidRPr="0054775B">
        <w:t>.</w:t>
      </w:r>
    </w:p>
    <w:p w14:paraId="576F604E" w14:textId="3154CEC3" w:rsidR="00AC3843" w:rsidRPr="0054775B" w:rsidRDefault="00AC3843" w:rsidP="009E6F7F">
      <w:r w:rsidRPr="0054775B">
        <w:t xml:space="preserve">Research on cruciferous indoles, particularly I3C and DIM, suggests potential biological activities relevant to health and disease prevention, though evidence is still in its infancy. Potential mechanisms under investigation include modulating estrogen metabolism, antioxidant effects, and influencing cell signalling pathways </w:t>
      </w:r>
      <w:r w:rsidR="00F54937">
        <w:rPr>
          <w:noProof/>
        </w:rPr>
        <w:t>(124)</w:t>
      </w:r>
      <w:r w:rsidRPr="0054775B">
        <w:t xml:space="preserve">. </w:t>
      </w:r>
    </w:p>
    <w:p w14:paraId="34B7FF9C" w14:textId="77777777" w:rsidR="008308E9" w:rsidRPr="0054775B" w:rsidRDefault="008308E9" w:rsidP="009E6F7F">
      <w:pPr>
        <w:pStyle w:val="2024HEADER3"/>
        <w:rPr>
          <w:rFonts w:ascii="Aptos" w:hAnsi="Aptos"/>
        </w:rPr>
      </w:pPr>
      <w:r w:rsidRPr="0054775B">
        <w:rPr>
          <w:rFonts w:ascii="Aptos" w:hAnsi="Aptos"/>
        </w:rPr>
        <w:t>Prioritised outcomes</w:t>
      </w:r>
    </w:p>
    <w:p w14:paraId="7D9DA8B4" w14:textId="38B94170" w:rsidR="00905BEB" w:rsidRPr="0054775B" w:rsidRDefault="00905BEB" w:rsidP="009E6F7F">
      <w:r w:rsidRPr="0054775B">
        <w:t xml:space="preserve">Seven priority outcomes were </w:t>
      </w:r>
      <w:r w:rsidR="007F404D" w:rsidRPr="0054775B">
        <w:t xml:space="preserve">identified by NTWC as part of the Outcome Prioritisation Exercise. These are listed below by order of priority. </w:t>
      </w:r>
      <w:r w:rsidRPr="0054775B">
        <w:t>Outcomes were rated by their importance to decision-making, with those rated 7-9 being critical for decision-making.</w:t>
      </w:r>
    </w:p>
    <w:p w14:paraId="768CC06A" w14:textId="2EE469EA" w:rsidR="00764746" w:rsidRPr="0054775B" w:rsidRDefault="00846BEA" w:rsidP="009760CB">
      <w:pPr>
        <w:pStyle w:val="2024TABLECAPTION"/>
        <w:rPr>
          <w:rFonts w:ascii="Aptos" w:hAnsi="Aptos"/>
        </w:rPr>
      </w:pPr>
      <w:bookmarkStart w:id="93" w:name="_Toc185261602"/>
      <w:r w:rsidRPr="0054775B">
        <w:rPr>
          <w:rFonts w:ascii="Aptos" w:hAnsi="Aptos"/>
        </w:rPr>
        <w:t xml:space="preserve">Table </w:t>
      </w:r>
      <w:r w:rsidR="002F1F6C" w:rsidRPr="0054775B">
        <w:rPr>
          <w:rFonts w:ascii="Aptos" w:hAnsi="Aptos"/>
        </w:rPr>
        <w:fldChar w:fldCharType="begin"/>
      </w:r>
      <w:r w:rsidR="002F1F6C" w:rsidRPr="0054775B">
        <w:rPr>
          <w:rFonts w:ascii="Aptos" w:hAnsi="Aptos"/>
        </w:rPr>
        <w:instrText xml:space="preserve"> SEQ Table \* ARABIC </w:instrText>
      </w:r>
      <w:r w:rsidR="002F1F6C" w:rsidRPr="0054775B">
        <w:rPr>
          <w:rFonts w:ascii="Aptos" w:hAnsi="Aptos"/>
        </w:rPr>
        <w:fldChar w:fldCharType="separate"/>
      </w:r>
      <w:r w:rsidR="00CB3AAD" w:rsidRPr="0054775B" w:rsidDel="004E7C54">
        <w:rPr>
          <w:rFonts w:ascii="Aptos" w:hAnsi="Aptos"/>
          <w:noProof/>
        </w:rPr>
        <w:t>24</w:t>
      </w:r>
      <w:r w:rsidR="002F1F6C" w:rsidRPr="0054775B">
        <w:rPr>
          <w:rFonts w:ascii="Aptos" w:hAnsi="Aptos"/>
          <w:noProof/>
        </w:rPr>
        <w:fldChar w:fldCharType="end"/>
      </w:r>
      <w:r w:rsidRPr="0054775B">
        <w:rPr>
          <w:rFonts w:ascii="Aptos" w:hAnsi="Aptos"/>
        </w:rPr>
        <w:t xml:space="preserve">. </w:t>
      </w:r>
      <w:r w:rsidR="00764746" w:rsidRPr="0054775B">
        <w:rPr>
          <w:rFonts w:ascii="Aptos" w:hAnsi="Aptos"/>
        </w:rPr>
        <w:t xml:space="preserve">List of prioritised outcomes – </w:t>
      </w:r>
      <w:r w:rsidR="0012437F" w:rsidRPr="0054775B">
        <w:rPr>
          <w:rFonts w:ascii="Aptos" w:hAnsi="Aptos"/>
        </w:rPr>
        <w:t xml:space="preserve">Premenstrual syndrome (PMS), Cruciferous indoles (indole-3-carbinol, di-indolylmethane) </w:t>
      </w:r>
      <w:r w:rsidR="00764746" w:rsidRPr="0054775B">
        <w:rPr>
          <w:rFonts w:ascii="Aptos" w:hAnsi="Aptos"/>
        </w:rPr>
        <w:t>(as assessed as part of the Outcome Prioritisation Exercise by NTWC).</w:t>
      </w:r>
      <w:bookmarkEnd w:id="93"/>
      <w:r w:rsidR="00764746" w:rsidRPr="0054775B">
        <w:rPr>
          <w:rFonts w:ascii="Aptos" w:hAnsi="Aptos"/>
        </w:rPr>
        <w:t> </w:t>
      </w:r>
    </w:p>
    <w:tbl>
      <w:tblPr>
        <w:tblW w:w="8926" w:type="dxa"/>
        <w:tblCellMar>
          <w:top w:w="28" w:type="dxa"/>
          <w:left w:w="57" w:type="dxa"/>
          <w:bottom w:w="28" w:type="dxa"/>
          <w:right w:w="28" w:type="dxa"/>
        </w:tblCellMar>
        <w:tblLook w:val="04A0" w:firstRow="1" w:lastRow="0" w:firstColumn="1" w:lastColumn="0" w:noHBand="0" w:noVBand="1"/>
      </w:tblPr>
      <w:tblGrid>
        <w:gridCol w:w="349"/>
        <w:gridCol w:w="1269"/>
        <w:gridCol w:w="1469"/>
        <w:gridCol w:w="758"/>
        <w:gridCol w:w="5081"/>
      </w:tblGrid>
      <w:tr w:rsidR="00764746" w:rsidRPr="0054775B" w14:paraId="26481570" w14:textId="77777777" w:rsidTr="005E2778">
        <w:trPr>
          <w:trHeight w:val="95"/>
        </w:trPr>
        <w:tc>
          <w:tcPr>
            <w:tcW w:w="0" w:type="auto"/>
            <w:vMerge w:val="restart"/>
            <w:tcBorders>
              <w:top w:val="single" w:sz="4" w:space="0" w:color="auto"/>
              <w:left w:val="single" w:sz="4" w:space="0" w:color="auto"/>
              <w:right w:val="single" w:sz="4" w:space="0" w:color="auto"/>
            </w:tcBorders>
            <w:shd w:val="clear" w:color="auto" w:fill="D9D9D9" w:themeFill="background1" w:themeFillShade="D9"/>
            <w:vAlign w:val="center"/>
            <w:hideMark/>
          </w:tcPr>
          <w:p w14:paraId="10BEA99B" w14:textId="77777777" w:rsidR="00764746" w:rsidRPr="0054775B" w:rsidRDefault="00764746" w:rsidP="00515FE7">
            <w:pPr>
              <w:pStyle w:val="2024TABLEHEADER"/>
            </w:pPr>
            <w:r w:rsidRPr="0054775B">
              <w:t> #</w:t>
            </w:r>
          </w:p>
        </w:tc>
        <w:tc>
          <w:tcPr>
            <w:tcW w:w="1269" w:type="dxa"/>
            <w:vMerge w:val="restart"/>
            <w:tcBorders>
              <w:top w:val="single" w:sz="4" w:space="0" w:color="auto"/>
              <w:left w:val="nil"/>
              <w:right w:val="single" w:sz="4" w:space="0" w:color="auto"/>
            </w:tcBorders>
            <w:shd w:val="clear" w:color="auto" w:fill="D9D9D9" w:themeFill="background1" w:themeFillShade="D9"/>
            <w:vAlign w:val="center"/>
            <w:hideMark/>
          </w:tcPr>
          <w:p w14:paraId="7D7D65F6" w14:textId="77777777" w:rsidR="00764746" w:rsidRPr="0054775B" w:rsidRDefault="00764746" w:rsidP="00515FE7">
            <w:pPr>
              <w:pStyle w:val="2024TABLEHEADER"/>
              <w:rPr>
                <w:color w:val="000000"/>
              </w:rPr>
            </w:pPr>
            <w:r w:rsidRPr="0054775B">
              <w:t>Priority population</w:t>
            </w:r>
          </w:p>
        </w:tc>
        <w:tc>
          <w:tcPr>
            <w:tcW w:w="1469" w:type="dxa"/>
            <w:vMerge w:val="restart"/>
            <w:tcBorders>
              <w:top w:val="single" w:sz="4" w:space="0" w:color="auto"/>
              <w:left w:val="nil"/>
              <w:right w:val="single" w:sz="4" w:space="0" w:color="auto"/>
            </w:tcBorders>
            <w:shd w:val="clear" w:color="auto" w:fill="D9D9D9" w:themeFill="background1" w:themeFillShade="D9"/>
            <w:vAlign w:val="center"/>
            <w:hideMark/>
          </w:tcPr>
          <w:p w14:paraId="4EBD9995" w14:textId="77777777" w:rsidR="00764746" w:rsidRPr="0054775B" w:rsidRDefault="00764746" w:rsidP="00515FE7">
            <w:pPr>
              <w:pStyle w:val="2024TABLEHEADER"/>
              <w:rPr>
                <w:color w:val="000000"/>
              </w:rPr>
            </w:pPr>
            <w:r w:rsidRPr="0054775B">
              <w:t xml:space="preserve">Priority intervention </w:t>
            </w:r>
          </w:p>
        </w:tc>
        <w:tc>
          <w:tcPr>
            <w:tcW w:w="5839" w:type="dxa"/>
            <w:gridSpan w:val="2"/>
            <w:tcBorders>
              <w:top w:val="single" w:sz="4" w:space="0" w:color="auto"/>
              <w:left w:val="nil"/>
              <w:bottom w:val="single" w:sz="4" w:space="0" w:color="auto"/>
              <w:right w:val="single" w:sz="4" w:space="0" w:color="auto"/>
            </w:tcBorders>
            <w:shd w:val="clear" w:color="auto" w:fill="D9D9D9" w:themeFill="background1" w:themeFillShade="D9"/>
            <w:vAlign w:val="center"/>
          </w:tcPr>
          <w:p w14:paraId="5AB9D5B3" w14:textId="77777777" w:rsidR="00764746" w:rsidRPr="0054775B" w:rsidRDefault="00764746" w:rsidP="00515FE7">
            <w:pPr>
              <w:pStyle w:val="2024TABLEHEADER"/>
            </w:pPr>
            <w:r w:rsidRPr="0054775B">
              <w:t>Priority outcomes</w:t>
            </w:r>
          </w:p>
        </w:tc>
      </w:tr>
      <w:tr w:rsidR="005D549A" w:rsidRPr="0054775B" w14:paraId="5452EBB8" w14:textId="77777777" w:rsidTr="0043715E">
        <w:trPr>
          <w:trHeight w:val="95"/>
        </w:trPr>
        <w:tc>
          <w:tcPr>
            <w:tcW w:w="0" w:type="auto"/>
            <w:vMerge/>
            <w:tcBorders>
              <w:left w:val="single" w:sz="4" w:space="0" w:color="auto"/>
              <w:bottom w:val="single" w:sz="4" w:space="0" w:color="auto"/>
              <w:right w:val="single" w:sz="4" w:space="0" w:color="auto"/>
            </w:tcBorders>
            <w:shd w:val="clear" w:color="auto" w:fill="D9D9D9" w:themeFill="background1" w:themeFillShade="D9"/>
            <w:vAlign w:val="center"/>
          </w:tcPr>
          <w:p w14:paraId="366B2242" w14:textId="77777777" w:rsidR="005D549A" w:rsidRPr="0054775B" w:rsidRDefault="005D549A" w:rsidP="00515FE7">
            <w:pPr>
              <w:pStyle w:val="2024TABLEHEADER"/>
            </w:pPr>
          </w:p>
        </w:tc>
        <w:tc>
          <w:tcPr>
            <w:tcW w:w="1269" w:type="dxa"/>
            <w:vMerge/>
            <w:tcBorders>
              <w:left w:val="nil"/>
              <w:bottom w:val="single" w:sz="4" w:space="0" w:color="auto"/>
              <w:right w:val="single" w:sz="4" w:space="0" w:color="auto"/>
            </w:tcBorders>
            <w:shd w:val="clear" w:color="auto" w:fill="D9D9D9" w:themeFill="background1" w:themeFillShade="D9"/>
            <w:vAlign w:val="center"/>
          </w:tcPr>
          <w:p w14:paraId="470E1D23" w14:textId="77777777" w:rsidR="005D549A" w:rsidRPr="0054775B" w:rsidRDefault="005D549A" w:rsidP="00515FE7">
            <w:pPr>
              <w:pStyle w:val="2024TABLEHEADER"/>
            </w:pPr>
          </w:p>
        </w:tc>
        <w:tc>
          <w:tcPr>
            <w:tcW w:w="1469" w:type="dxa"/>
            <w:vMerge/>
            <w:tcBorders>
              <w:left w:val="nil"/>
              <w:bottom w:val="single" w:sz="4" w:space="0" w:color="auto"/>
              <w:right w:val="single" w:sz="4" w:space="0" w:color="auto"/>
            </w:tcBorders>
            <w:shd w:val="clear" w:color="auto" w:fill="D9D9D9" w:themeFill="background1" w:themeFillShade="D9"/>
            <w:vAlign w:val="center"/>
          </w:tcPr>
          <w:p w14:paraId="0380956B" w14:textId="77777777" w:rsidR="005D549A" w:rsidRPr="0054775B" w:rsidRDefault="005D549A" w:rsidP="00515FE7">
            <w:pPr>
              <w:pStyle w:val="2024TABLEHEADER"/>
            </w:pPr>
          </w:p>
        </w:tc>
        <w:tc>
          <w:tcPr>
            <w:tcW w:w="758" w:type="dxa"/>
            <w:tcBorders>
              <w:top w:val="nil"/>
              <w:left w:val="nil"/>
              <w:bottom w:val="single" w:sz="4" w:space="0" w:color="auto"/>
              <w:right w:val="single" w:sz="4" w:space="0" w:color="auto"/>
            </w:tcBorders>
            <w:shd w:val="clear" w:color="auto" w:fill="D9D9D9" w:themeFill="background1" w:themeFillShade="D9"/>
            <w:vAlign w:val="center"/>
          </w:tcPr>
          <w:p w14:paraId="76F0EB35" w14:textId="77777777" w:rsidR="005D549A" w:rsidRPr="0054775B" w:rsidRDefault="005D549A" w:rsidP="00515FE7">
            <w:pPr>
              <w:pStyle w:val="2024TABLEHEADER"/>
            </w:pPr>
            <w:r w:rsidRPr="0054775B">
              <w:t>NTWC Rating</w:t>
            </w:r>
          </w:p>
        </w:tc>
        <w:tc>
          <w:tcPr>
            <w:tcW w:w="5081" w:type="dxa"/>
            <w:tcBorders>
              <w:top w:val="nil"/>
              <w:left w:val="nil"/>
              <w:bottom w:val="single" w:sz="4" w:space="0" w:color="auto"/>
              <w:right w:val="single" w:sz="4" w:space="0" w:color="auto"/>
            </w:tcBorders>
            <w:shd w:val="clear" w:color="auto" w:fill="D9D9D9" w:themeFill="background1" w:themeFillShade="D9"/>
            <w:vAlign w:val="center"/>
          </w:tcPr>
          <w:p w14:paraId="12130889" w14:textId="66D5B86C" w:rsidR="005D549A" w:rsidRPr="0054775B" w:rsidRDefault="005D549A" w:rsidP="00515FE7">
            <w:pPr>
              <w:pStyle w:val="2024TABLEHEADER"/>
            </w:pPr>
            <w:r w:rsidRPr="0054775B">
              <w:t xml:space="preserve">Outcome </w:t>
            </w:r>
            <w:r w:rsidR="00AB15DC">
              <w:t>d</w:t>
            </w:r>
            <w:r w:rsidR="00AB15DC" w:rsidRPr="0054775B">
              <w:t>omain</w:t>
            </w:r>
          </w:p>
          <w:p w14:paraId="1FA6929A" w14:textId="49632E3A" w:rsidR="005D549A" w:rsidRPr="0054775B" w:rsidRDefault="005D549A" w:rsidP="00515FE7">
            <w:pPr>
              <w:pStyle w:val="2024TABLEHEADER"/>
            </w:pPr>
          </w:p>
        </w:tc>
      </w:tr>
    </w:tbl>
    <w:tbl>
      <w:tblPr>
        <w:tblW w:w="8926" w:type="dxa"/>
        <w:tblCellMar>
          <w:top w:w="28" w:type="dxa"/>
          <w:left w:w="57" w:type="dxa"/>
          <w:bottom w:w="28" w:type="dxa"/>
          <w:right w:w="28" w:type="dxa"/>
        </w:tblCellMar>
        <w:tblLook w:val="04A0" w:firstRow="1" w:lastRow="0" w:firstColumn="1" w:lastColumn="0" w:noHBand="0" w:noVBand="1"/>
      </w:tblPr>
      <w:tblGrid>
        <w:gridCol w:w="349"/>
        <w:gridCol w:w="1269"/>
        <w:gridCol w:w="1469"/>
        <w:gridCol w:w="758"/>
        <w:gridCol w:w="5081"/>
      </w:tblGrid>
      <w:tr w:rsidR="005D549A" w:rsidRPr="0054775B" w14:paraId="3FD9C746" w14:textId="77777777" w:rsidTr="0043715E">
        <w:trPr>
          <w:trHeight w:val="95"/>
        </w:trPr>
        <w:tc>
          <w:tcPr>
            <w:tcW w:w="0" w:type="auto"/>
            <w:vMerge w:val="restart"/>
            <w:tcBorders>
              <w:top w:val="nil"/>
              <w:left w:val="single" w:sz="4" w:space="0" w:color="auto"/>
              <w:right w:val="single" w:sz="4" w:space="0" w:color="auto"/>
            </w:tcBorders>
            <w:shd w:val="clear" w:color="auto" w:fill="auto"/>
            <w:vAlign w:val="center"/>
          </w:tcPr>
          <w:p w14:paraId="0C29E084" w14:textId="0B560367" w:rsidR="005D549A" w:rsidRPr="0054775B" w:rsidRDefault="005D549A" w:rsidP="00603677">
            <w:pPr>
              <w:pStyle w:val="2024TABLETEXT"/>
              <w:framePr w:wrap="around"/>
            </w:pPr>
            <w:r w:rsidRPr="0054775B">
              <w:lastRenderedPageBreak/>
              <w:t>7</w:t>
            </w:r>
          </w:p>
        </w:tc>
        <w:tc>
          <w:tcPr>
            <w:tcW w:w="1269" w:type="dxa"/>
            <w:vMerge w:val="restart"/>
            <w:tcBorders>
              <w:top w:val="nil"/>
              <w:left w:val="nil"/>
              <w:right w:val="single" w:sz="4" w:space="0" w:color="auto"/>
            </w:tcBorders>
            <w:shd w:val="clear" w:color="auto" w:fill="auto"/>
            <w:vAlign w:val="center"/>
          </w:tcPr>
          <w:p w14:paraId="3D96E64B" w14:textId="7DCD498D" w:rsidR="005D549A" w:rsidRPr="0054775B" w:rsidRDefault="005D549A" w:rsidP="00603677">
            <w:pPr>
              <w:pStyle w:val="2024TABLETEXT"/>
              <w:framePr w:wrap="around"/>
            </w:pPr>
            <w:r w:rsidRPr="0054775B">
              <w:t>Premenstrual syndrome (PMS)</w:t>
            </w:r>
          </w:p>
        </w:tc>
        <w:tc>
          <w:tcPr>
            <w:tcW w:w="1469" w:type="dxa"/>
            <w:vMerge w:val="restart"/>
            <w:tcBorders>
              <w:top w:val="nil"/>
              <w:left w:val="nil"/>
              <w:right w:val="single" w:sz="4" w:space="0" w:color="auto"/>
            </w:tcBorders>
            <w:shd w:val="clear" w:color="auto" w:fill="auto"/>
            <w:vAlign w:val="center"/>
          </w:tcPr>
          <w:p w14:paraId="610DA9E1" w14:textId="478B9CD6" w:rsidR="005D549A" w:rsidRPr="0054775B" w:rsidRDefault="005D549A" w:rsidP="00603677">
            <w:pPr>
              <w:pStyle w:val="2024TABLETEXT"/>
              <w:framePr w:wrap="around"/>
            </w:pPr>
            <w:r w:rsidRPr="0054775B">
              <w:t>Cruciferous Indoles (indole-3- carbinol, di-indolylmethane)</w:t>
            </w:r>
          </w:p>
        </w:tc>
        <w:tc>
          <w:tcPr>
            <w:tcW w:w="758" w:type="dxa"/>
            <w:tcBorders>
              <w:top w:val="nil"/>
              <w:left w:val="nil"/>
              <w:bottom w:val="single" w:sz="4" w:space="0" w:color="auto"/>
              <w:right w:val="single" w:sz="4" w:space="0" w:color="auto"/>
            </w:tcBorders>
            <w:shd w:val="clear" w:color="auto" w:fill="auto"/>
            <w:vAlign w:val="center"/>
          </w:tcPr>
          <w:p w14:paraId="643B0663" w14:textId="520C85E6" w:rsidR="005D549A" w:rsidRPr="0054775B" w:rsidRDefault="005D549A" w:rsidP="00603677">
            <w:pPr>
              <w:pStyle w:val="2024TABLETEXT"/>
              <w:framePr w:wrap="around"/>
            </w:pPr>
            <w:r w:rsidRPr="0054775B">
              <w:t>9</w:t>
            </w:r>
          </w:p>
        </w:tc>
        <w:tc>
          <w:tcPr>
            <w:tcW w:w="5081" w:type="dxa"/>
            <w:tcBorders>
              <w:top w:val="nil"/>
              <w:left w:val="nil"/>
              <w:bottom w:val="single" w:sz="4" w:space="0" w:color="auto"/>
              <w:right w:val="single" w:sz="4" w:space="0" w:color="auto"/>
            </w:tcBorders>
            <w:shd w:val="clear" w:color="auto" w:fill="auto"/>
          </w:tcPr>
          <w:p w14:paraId="50A0B202" w14:textId="0C156E58" w:rsidR="005D549A" w:rsidRPr="0054775B" w:rsidRDefault="005D549A" w:rsidP="00603677">
            <w:pPr>
              <w:pStyle w:val="2024TABLETEXT"/>
              <w:framePr w:wrap="around"/>
            </w:pPr>
            <w:r w:rsidRPr="0054775B">
              <w:t>Global improvement in PMS or premenstrual/luteal phase symptoms</w:t>
            </w:r>
          </w:p>
        </w:tc>
      </w:tr>
      <w:tr w:rsidR="005D549A" w:rsidRPr="0054775B" w14:paraId="741345E8" w14:textId="77777777" w:rsidTr="0043715E">
        <w:trPr>
          <w:trHeight w:val="95"/>
        </w:trPr>
        <w:tc>
          <w:tcPr>
            <w:tcW w:w="0" w:type="auto"/>
            <w:vMerge/>
            <w:tcBorders>
              <w:left w:val="single" w:sz="4" w:space="0" w:color="auto"/>
              <w:right w:val="single" w:sz="4" w:space="0" w:color="auto"/>
            </w:tcBorders>
            <w:shd w:val="clear" w:color="auto" w:fill="auto"/>
            <w:vAlign w:val="center"/>
          </w:tcPr>
          <w:p w14:paraId="20BEAC63" w14:textId="77777777" w:rsidR="005D549A" w:rsidRPr="0054775B" w:rsidRDefault="005D549A" w:rsidP="00603677">
            <w:pPr>
              <w:pStyle w:val="2024TABLETEXT"/>
              <w:framePr w:wrap="around"/>
            </w:pPr>
          </w:p>
        </w:tc>
        <w:tc>
          <w:tcPr>
            <w:tcW w:w="1269" w:type="dxa"/>
            <w:vMerge/>
            <w:tcBorders>
              <w:left w:val="nil"/>
              <w:right w:val="single" w:sz="4" w:space="0" w:color="auto"/>
            </w:tcBorders>
            <w:shd w:val="clear" w:color="auto" w:fill="auto"/>
            <w:vAlign w:val="center"/>
          </w:tcPr>
          <w:p w14:paraId="4DE81147" w14:textId="77777777" w:rsidR="005D549A" w:rsidRPr="0054775B" w:rsidRDefault="005D549A" w:rsidP="00603677">
            <w:pPr>
              <w:pStyle w:val="2024TABLETEXT"/>
              <w:framePr w:wrap="around"/>
            </w:pPr>
          </w:p>
        </w:tc>
        <w:tc>
          <w:tcPr>
            <w:tcW w:w="1469" w:type="dxa"/>
            <w:vMerge/>
            <w:tcBorders>
              <w:left w:val="nil"/>
              <w:right w:val="single" w:sz="4" w:space="0" w:color="auto"/>
            </w:tcBorders>
            <w:shd w:val="clear" w:color="auto" w:fill="auto"/>
            <w:vAlign w:val="center"/>
          </w:tcPr>
          <w:p w14:paraId="5AEBBD4A" w14:textId="77777777" w:rsidR="005D549A" w:rsidRPr="0054775B" w:rsidRDefault="005D549A" w:rsidP="00603677">
            <w:pPr>
              <w:pStyle w:val="2024TABLETEXT"/>
              <w:framePr w:wrap="around"/>
            </w:pPr>
          </w:p>
        </w:tc>
        <w:tc>
          <w:tcPr>
            <w:tcW w:w="758" w:type="dxa"/>
            <w:tcBorders>
              <w:top w:val="nil"/>
              <w:left w:val="nil"/>
              <w:bottom w:val="single" w:sz="4" w:space="0" w:color="auto"/>
              <w:right w:val="single" w:sz="4" w:space="0" w:color="auto"/>
            </w:tcBorders>
            <w:shd w:val="clear" w:color="auto" w:fill="auto"/>
            <w:vAlign w:val="center"/>
          </w:tcPr>
          <w:p w14:paraId="20C99A53" w14:textId="65E1F3AA" w:rsidR="005D549A" w:rsidRPr="0054775B" w:rsidRDefault="005D549A" w:rsidP="00603677">
            <w:pPr>
              <w:pStyle w:val="2024TABLETEXT"/>
              <w:framePr w:wrap="around"/>
            </w:pPr>
            <w:r w:rsidRPr="0054775B">
              <w:t>8</w:t>
            </w:r>
          </w:p>
        </w:tc>
        <w:tc>
          <w:tcPr>
            <w:tcW w:w="5081" w:type="dxa"/>
            <w:tcBorders>
              <w:top w:val="nil"/>
              <w:left w:val="nil"/>
              <w:bottom w:val="single" w:sz="4" w:space="0" w:color="auto"/>
              <w:right w:val="single" w:sz="4" w:space="0" w:color="auto"/>
            </w:tcBorders>
            <w:shd w:val="clear" w:color="auto" w:fill="auto"/>
          </w:tcPr>
          <w:p w14:paraId="2AD62341" w14:textId="38492046" w:rsidR="005D549A" w:rsidRPr="0054775B" w:rsidRDefault="005D549A" w:rsidP="00603677">
            <w:pPr>
              <w:pStyle w:val="2024TABLETEXT"/>
              <w:framePr w:wrap="around"/>
            </w:pPr>
            <w:r w:rsidRPr="0054775B">
              <w:t>Global pain burden</w:t>
            </w:r>
          </w:p>
        </w:tc>
      </w:tr>
      <w:tr w:rsidR="0076168F" w:rsidRPr="0054775B" w14:paraId="35C067B0" w14:textId="77777777" w:rsidTr="0043715E">
        <w:trPr>
          <w:trHeight w:val="95"/>
        </w:trPr>
        <w:tc>
          <w:tcPr>
            <w:tcW w:w="0" w:type="auto"/>
            <w:vMerge/>
            <w:tcBorders>
              <w:left w:val="single" w:sz="4" w:space="0" w:color="auto"/>
              <w:right w:val="single" w:sz="4" w:space="0" w:color="auto"/>
            </w:tcBorders>
            <w:shd w:val="clear" w:color="auto" w:fill="auto"/>
            <w:vAlign w:val="center"/>
          </w:tcPr>
          <w:p w14:paraId="226DD88F" w14:textId="77777777" w:rsidR="0076168F" w:rsidRPr="0054775B" w:rsidRDefault="0076168F" w:rsidP="00603677">
            <w:pPr>
              <w:pStyle w:val="2024TABLETEXT"/>
              <w:framePr w:wrap="around"/>
            </w:pPr>
          </w:p>
        </w:tc>
        <w:tc>
          <w:tcPr>
            <w:tcW w:w="1269" w:type="dxa"/>
            <w:vMerge/>
            <w:tcBorders>
              <w:left w:val="nil"/>
              <w:right w:val="single" w:sz="4" w:space="0" w:color="auto"/>
            </w:tcBorders>
            <w:shd w:val="clear" w:color="auto" w:fill="auto"/>
            <w:vAlign w:val="center"/>
          </w:tcPr>
          <w:p w14:paraId="6B19A26A" w14:textId="77777777" w:rsidR="0076168F" w:rsidRPr="0054775B" w:rsidRDefault="0076168F" w:rsidP="00603677">
            <w:pPr>
              <w:pStyle w:val="2024TABLETEXT"/>
              <w:framePr w:wrap="around"/>
            </w:pPr>
          </w:p>
        </w:tc>
        <w:tc>
          <w:tcPr>
            <w:tcW w:w="1469" w:type="dxa"/>
            <w:vMerge/>
            <w:tcBorders>
              <w:left w:val="nil"/>
              <w:right w:val="single" w:sz="4" w:space="0" w:color="auto"/>
            </w:tcBorders>
            <w:shd w:val="clear" w:color="auto" w:fill="auto"/>
            <w:vAlign w:val="center"/>
          </w:tcPr>
          <w:p w14:paraId="5178ACC0" w14:textId="77777777" w:rsidR="0076168F" w:rsidRPr="0054775B" w:rsidRDefault="0076168F" w:rsidP="00603677">
            <w:pPr>
              <w:pStyle w:val="2024TABLETEXT"/>
              <w:framePr w:wrap="around"/>
            </w:pPr>
          </w:p>
        </w:tc>
        <w:tc>
          <w:tcPr>
            <w:tcW w:w="758" w:type="dxa"/>
            <w:tcBorders>
              <w:top w:val="nil"/>
              <w:left w:val="nil"/>
              <w:bottom w:val="single" w:sz="4" w:space="0" w:color="auto"/>
              <w:right w:val="single" w:sz="4" w:space="0" w:color="auto"/>
            </w:tcBorders>
            <w:shd w:val="clear" w:color="auto" w:fill="auto"/>
            <w:vAlign w:val="center"/>
          </w:tcPr>
          <w:p w14:paraId="1D881F56" w14:textId="46727742" w:rsidR="0076168F" w:rsidRPr="0054775B" w:rsidRDefault="0076168F" w:rsidP="00603677">
            <w:pPr>
              <w:pStyle w:val="2024TABLETEXT"/>
              <w:framePr w:wrap="around"/>
            </w:pPr>
            <w:r w:rsidRPr="0054775B">
              <w:t>8</w:t>
            </w:r>
          </w:p>
        </w:tc>
        <w:tc>
          <w:tcPr>
            <w:tcW w:w="5081" w:type="dxa"/>
            <w:tcBorders>
              <w:top w:val="nil"/>
              <w:left w:val="nil"/>
              <w:bottom w:val="single" w:sz="4" w:space="0" w:color="auto"/>
              <w:right w:val="single" w:sz="4" w:space="0" w:color="auto"/>
            </w:tcBorders>
            <w:shd w:val="clear" w:color="auto" w:fill="auto"/>
          </w:tcPr>
          <w:p w14:paraId="147A5FF8" w14:textId="14508BBA" w:rsidR="0076168F" w:rsidRPr="0054775B" w:rsidRDefault="0076168F" w:rsidP="00603677">
            <w:pPr>
              <w:pStyle w:val="2024TABLETEXT"/>
              <w:framePr w:wrap="around"/>
            </w:pPr>
            <w:r w:rsidRPr="0054775B">
              <w:t>Behavioural changes, mood swings or lability</w:t>
            </w:r>
          </w:p>
        </w:tc>
      </w:tr>
      <w:tr w:rsidR="0076168F" w:rsidRPr="0054775B" w14:paraId="26565314" w14:textId="77777777" w:rsidTr="0043715E">
        <w:trPr>
          <w:trHeight w:val="95"/>
        </w:trPr>
        <w:tc>
          <w:tcPr>
            <w:tcW w:w="0" w:type="auto"/>
            <w:vMerge/>
            <w:tcBorders>
              <w:left w:val="single" w:sz="4" w:space="0" w:color="auto"/>
              <w:right w:val="single" w:sz="4" w:space="0" w:color="auto"/>
            </w:tcBorders>
            <w:shd w:val="clear" w:color="auto" w:fill="auto"/>
            <w:vAlign w:val="center"/>
          </w:tcPr>
          <w:p w14:paraId="3156A66D" w14:textId="77777777" w:rsidR="0076168F" w:rsidRPr="0054775B" w:rsidRDefault="0076168F" w:rsidP="00603677">
            <w:pPr>
              <w:pStyle w:val="2024TABLETEXT"/>
              <w:framePr w:wrap="around"/>
            </w:pPr>
          </w:p>
        </w:tc>
        <w:tc>
          <w:tcPr>
            <w:tcW w:w="1269" w:type="dxa"/>
            <w:vMerge/>
            <w:tcBorders>
              <w:left w:val="nil"/>
              <w:right w:val="single" w:sz="4" w:space="0" w:color="auto"/>
            </w:tcBorders>
            <w:shd w:val="clear" w:color="auto" w:fill="auto"/>
            <w:vAlign w:val="center"/>
          </w:tcPr>
          <w:p w14:paraId="643B751E" w14:textId="77777777" w:rsidR="0076168F" w:rsidRPr="0054775B" w:rsidRDefault="0076168F" w:rsidP="00603677">
            <w:pPr>
              <w:pStyle w:val="2024TABLETEXT"/>
              <w:framePr w:wrap="around"/>
            </w:pPr>
          </w:p>
        </w:tc>
        <w:tc>
          <w:tcPr>
            <w:tcW w:w="1469" w:type="dxa"/>
            <w:vMerge/>
            <w:tcBorders>
              <w:left w:val="nil"/>
              <w:right w:val="single" w:sz="4" w:space="0" w:color="auto"/>
            </w:tcBorders>
            <w:shd w:val="clear" w:color="auto" w:fill="auto"/>
            <w:vAlign w:val="center"/>
          </w:tcPr>
          <w:p w14:paraId="5808F1B7" w14:textId="77777777" w:rsidR="0076168F" w:rsidRPr="0054775B" w:rsidRDefault="0076168F" w:rsidP="00603677">
            <w:pPr>
              <w:pStyle w:val="2024TABLETEXT"/>
              <w:framePr w:wrap="around"/>
            </w:pPr>
          </w:p>
        </w:tc>
        <w:tc>
          <w:tcPr>
            <w:tcW w:w="758" w:type="dxa"/>
            <w:tcBorders>
              <w:top w:val="nil"/>
              <w:left w:val="nil"/>
              <w:bottom w:val="single" w:sz="4" w:space="0" w:color="auto"/>
              <w:right w:val="single" w:sz="4" w:space="0" w:color="auto"/>
            </w:tcBorders>
            <w:shd w:val="clear" w:color="auto" w:fill="auto"/>
            <w:vAlign w:val="center"/>
          </w:tcPr>
          <w:p w14:paraId="6A2DCFF2" w14:textId="6F7EC158" w:rsidR="0076168F" w:rsidRPr="0054775B" w:rsidRDefault="0076168F" w:rsidP="00603677">
            <w:pPr>
              <w:pStyle w:val="2024TABLETEXT"/>
              <w:framePr w:wrap="around"/>
            </w:pPr>
            <w:r w:rsidRPr="0054775B">
              <w:t>8</w:t>
            </w:r>
          </w:p>
        </w:tc>
        <w:tc>
          <w:tcPr>
            <w:tcW w:w="5081" w:type="dxa"/>
            <w:tcBorders>
              <w:top w:val="nil"/>
              <w:left w:val="nil"/>
              <w:bottom w:val="single" w:sz="4" w:space="0" w:color="auto"/>
              <w:right w:val="single" w:sz="4" w:space="0" w:color="auto"/>
            </w:tcBorders>
            <w:shd w:val="clear" w:color="auto" w:fill="auto"/>
          </w:tcPr>
          <w:p w14:paraId="6AA0652D" w14:textId="119B20A3" w:rsidR="0076168F" w:rsidRPr="0054775B" w:rsidRDefault="0076168F" w:rsidP="00603677">
            <w:pPr>
              <w:pStyle w:val="2024TABLETEXT"/>
              <w:framePr w:wrap="around"/>
            </w:pPr>
            <w:r w:rsidRPr="0054775B">
              <w:t>Physical function burden from PMS (bloating, appetite changes, food cravings, dizziness, vertigo, nausea, breast tenderness/soreness)</w:t>
            </w:r>
          </w:p>
        </w:tc>
      </w:tr>
      <w:tr w:rsidR="0076168F" w:rsidRPr="0054775B" w14:paraId="1BAF2845" w14:textId="77777777" w:rsidTr="0043715E">
        <w:trPr>
          <w:trHeight w:val="95"/>
        </w:trPr>
        <w:tc>
          <w:tcPr>
            <w:tcW w:w="0" w:type="auto"/>
            <w:vMerge/>
            <w:tcBorders>
              <w:left w:val="single" w:sz="4" w:space="0" w:color="auto"/>
              <w:right w:val="single" w:sz="4" w:space="0" w:color="auto"/>
            </w:tcBorders>
            <w:shd w:val="clear" w:color="auto" w:fill="auto"/>
            <w:vAlign w:val="center"/>
          </w:tcPr>
          <w:p w14:paraId="58BDF70A" w14:textId="77777777" w:rsidR="0076168F" w:rsidRPr="0054775B" w:rsidRDefault="0076168F" w:rsidP="00603677">
            <w:pPr>
              <w:pStyle w:val="2024TABLETEXT"/>
              <w:framePr w:wrap="around"/>
            </w:pPr>
          </w:p>
        </w:tc>
        <w:tc>
          <w:tcPr>
            <w:tcW w:w="1269" w:type="dxa"/>
            <w:vMerge/>
            <w:tcBorders>
              <w:left w:val="nil"/>
              <w:right w:val="single" w:sz="4" w:space="0" w:color="auto"/>
            </w:tcBorders>
            <w:shd w:val="clear" w:color="auto" w:fill="auto"/>
            <w:vAlign w:val="center"/>
          </w:tcPr>
          <w:p w14:paraId="0ABB0D22" w14:textId="77777777" w:rsidR="0076168F" w:rsidRPr="0054775B" w:rsidRDefault="0076168F" w:rsidP="00603677">
            <w:pPr>
              <w:pStyle w:val="2024TABLETEXT"/>
              <w:framePr w:wrap="around"/>
            </w:pPr>
          </w:p>
        </w:tc>
        <w:tc>
          <w:tcPr>
            <w:tcW w:w="1469" w:type="dxa"/>
            <w:vMerge/>
            <w:tcBorders>
              <w:left w:val="nil"/>
              <w:right w:val="single" w:sz="4" w:space="0" w:color="auto"/>
            </w:tcBorders>
            <w:shd w:val="clear" w:color="auto" w:fill="auto"/>
            <w:vAlign w:val="center"/>
          </w:tcPr>
          <w:p w14:paraId="44F3844E" w14:textId="77777777" w:rsidR="0076168F" w:rsidRPr="0054775B" w:rsidRDefault="0076168F" w:rsidP="00603677">
            <w:pPr>
              <w:pStyle w:val="2024TABLETEXT"/>
              <w:framePr w:wrap="around"/>
            </w:pPr>
          </w:p>
        </w:tc>
        <w:tc>
          <w:tcPr>
            <w:tcW w:w="758" w:type="dxa"/>
            <w:tcBorders>
              <w:top w:val="nil"/>
              <w:left w:val="nil"/>
              <w:bottom w:val="single" w:sz="4" w:space="0" w:color="auto"/>
              <w:right w:val="single" w:sz="4" w:space="0" w:color="auto"/>
            </w:tcBorders>
            <w:shd w:val="clear" w:color="auto" w:fill="auto"/>
            <w:vAlign w:val="center"/>
          </w:tcPr>
          <w:p w14:paraId="4D276B98" w14:textId="7004F8D7" w:rsidR="0076168F" w:rsidRPr="0054775B" w:rsidRDefault="0076168F" w:rsidP="00603677">
            <w:pPr>
              <w:pStyle w:val="2024TABLETEXT"/>
              <w:framePr w:wrap="around"/>
            </w:pPr>
            <w:r w:rsidRPr="0054775B">
              <w:t>8</w:t>
            </w:r>
          </w:p>
        </w:tc>
        <w:tc>
          <w:tcPr>
            <w:tcW w:w="5081" w:type="dxa"/>
            <w:tcBorders>
              <w:top w:val="nil"/>
              <w:left w:val="nil"/>
              <w:bottom w:val="single" w:sz="4" w:space="0" w:color="auto"/>
              <w:right w:val="single" w:sz="4" w:space="0" w:color="auto"/>
            </w:tcBorders>
            <w:shd w:val="clear" w:color="auto" w:fill="auto"/>
          </w:tcPr>
          <w:p w14:paraId="425A4252" w14:textId="4097F10B" w:rsidR="0076168F" w:rsidRPr="0054775B" w:rsidRDefault="0076168F" w:rsidP="00603677">
            <w:pPr>
              <w:pStyle w:val="2024TABLETEXT"/>
              <w:framePr w:wrap="around"/>
            </w:pPr>
            <w:r w:rsidRPr="0054775B">
              <w:t>Quality of life</w:t>
            </w:r>
          </w:p>
        </w:tc>
      </w:tr>
      <w:tr w:rsidR="00C37D03" w:rsidRPr="0054775B" w14:paraId="53ED7F74" w14:textId="77777777" w:rsidTr="0043715E">
        <w:trPr>
          <w:trHeight w:val="95"/>
        </w:trPr>
        <w:tc>
          <w:tcPr>
            <w:tcW w:w="0" w:type="auto"/>
            <w:vMerge/>
            <w:tcBorders>
              <w:left w:val="single" w:sz="4" w:space="0" w:color="auto"/>
              <w:right w:val="single" w:sz="4" w:space="0" w:color="auto"/>
            </w:tcBorders>
            <w:shd w:val="clear" w:color="auto" w:fill="auto"/>
            <w:vAlign w:val="center"/>
          </w:tcPr>
          <w:p w14:paraId="29A8A8CC" w14:textId="77777777" w:rsidR="00C37D03" w:rsidRPr="0054775B" w:rsidRDefault="00C37D03" w:rsidP="00603677">
            <w:pPr>
              <w:pStyle w:val="2024TABLETEXT"/>
              <w:framePr w:wrap="around"/>
            </w:pPr>
          </w:p>
        </w:tc>
        <w:tc>
          <w:tcPr>
            <w:tcW w:w="1269" w:type="dxa"/>
            <w:vMerge/>
            <w:tcBorders>
              <w:left w:val="nil"/>
              <w:right w:val="single" w:sz="4" w:space="0" w:color="auto"/>
            </w:tcBorders>
            <w:shd w:val="clear" w:color="auto" w:fill="auto"/>
            <w:vAlign w:val="center"/>
          </w:tcPr>
          <w:p w14:paraId="466069C2" w14:textId="77777777" w:rsidR="00C37D03" w:rsidRPr="0054775B" w:rsidRDefault="00C37D03" w:rsidP="00603677">
            <w:pPr>
              <w:pStyle w:val="2024TABLETEXT"/>
              <w:framePr w:wrap="around"/>
            </w:pPr>
          </w:p>
        </w:tc>
        <w:tc>
          <w:tcPr>
            <w:tcW w:w="1469" w:type="dxa"/>
            <w:vMerge/>
            <w:tcBorders>
              <w:left w:val="nil"/>
              <w:right w:val="single" w:sz="4" w:space="0" w:color="auto"/>
            </w:tcBorders>
            <w:shd w:val="clear" w:color="auto" w:fill="auto"/>
            <w:vAlign w:val="center"/>
          </w:tcPr>
          <w:p w14:paraId="7BC61489" w14:textId="77777777" w:rsidR="00C37D03" w:rsidRPr="0054775B" w:rsidRDefault="00C37D03" w:rsidP="00603677">
            <w:pPr>
              <w:pStyle w:val="2024TABLETEXT"/>
              <w:framePr w:wrap="around"/>
            </w:pPr>
          </w:p>
        </w:tc>
        <w:tc>
          <w:tcPr>
            <w:tcW w:w="758" w:type="dxa"/>
            <w:tcBorders>
              <w:top w:val="nil"/>
              <w:left w:val="nil"/>
              <w:bottom w:val="single" w:sz="4" w:space="0" w:color="auto"/>
              <w:right w:val="single" w:sz="4" w:space="0" w:color="auto"/>
            </w:tcBorders>
            <w:shd w:val="clear" w:color="auto" w:fill="auto"/>
            <w:vAlign w:val="center"/>
          </w:tcPr>
          <w:p w14:paraId="790EBC89" w14:textId="57D4B872" w:rsidR="00C37D03" w:rsidRPr="0054775B" w:rsidRDefault="00C37D03" w:rsidP="00603677">
            <w:pPr>
              <w:pStyle w:val="2024TABLETEXT"/>
              <w:framePr w:wrap="around"/>
            </w:pPr>
            <w:r w:rsidRPr="0054775B">
              <w:t>8</w:t>
            </w:r>
          </w:p>
        </w:tc>
        <w:tc>
          <w:tcPr>
            <w:tcW w:w="5081" w:type="dxa"/>
            <w:tcBorders>
              <w:top w:val="nil"/>
              <w:left w:val="nil"/>
              <w:bottom w:val="single" w:sz="4" w:space="0" w:color="auto"/>
              <w:right w:val="single" w:sz="4" w:space="0" w:color="auto"/>
            </w:tcBorders>
            <w:shd w:val="clear" w:color="auto" w:fill="auto"/>
          </w:tcPr>
          <w:p w14:paraId="1E2A32D9" w14:textId="7CC44CBD" w:rsidR="00C37D03" w:rsidRPr="0054775B" w:rsidRDefault="00C37D03" w:rsidP="00603677">
            <w:pPr>
              <w:pStyle w:val="2024TABLETEXT"/>
              <w:framePr w:wrap="around"/>
            </w:pPr>
            <w:r w:rsidRPr="0054775B">
              <w:t>Change in severity of individual symptoms</w:t>
            </w:r>
          </w:p>
        </w:tc>
      </w:tr>
      <w:tr w:rsidR="00C37D03" w:rsidRPr="0054775B" w14:paraId="5E5DB22D" w14:textId="77777777" w:rsidTr="0043715E">
        <w:trPr>
          <w:trHeight w:val="95"/>
        </w:trPr>
        <w:tc>
          <w:tcPr>
            <w:tcW w:w="0" w:type="auto"/>
            <w:vMerge/>
            <w:tcBorders>
              <w:left w:val="single" w:sz="4" w:space="0" w:color="auto"/>
              <w:bottom w:val="single" w:sz="4" w:space="0" w:color="auto"/>
              <w:right w:val="single" w:sz="4" w:space="0" w:color="auto"/>
            </w:tcBorders>
            <w:shd w:val="clear" w:color="auto" w:fill="auto"/>
            <w:vAlign w:val="center"/>
          </w:tcPr>
          <w:p w14:paraId="593F7010" w14:textId="77777777" w:rsidR="00C37D03" w:rsidRPr="0054775B" w:rsidRDefault="00C37D03" w:rsidP="00603677">
            <w:pPr>
              <w:pStyle w:val="2024TABLETEXT"/>
              <w:framePr w:wrap="around"/>
            </w:pPr>
          </w:p>
        </w:tc>
        <w:tc>
          <w:tcPr>
            <w:tcW w:w="1269" w:type="dxa"/>
            <w:vMerge/>
            <w:tcBorders>
              <w:left w:val="nil"/>
              <w:bottom w:val="single" w:sz="4" w:space="0" w:color="auto"/>
              <w:right w:val="single" w:sz="4" w:space="0" w:color="auto"/>
            </w:tcBorders>
            <w:shd w:val="clear" w:color="auto" w:fill="auto"/>
            <w:vAlign w:val="center"/>
          </w:tcPr>
          <w:p w14:paraId="71BAF75E" w14:textId="77777777" w:rsidR="00C37D03" w:rsidRPr="0054775B" w:rsidRDefault="00C37D03" w:rsidP="00603677">
            <w:pPr>
              <w:pStyle w:val="2024TABLETEXT"/>
              <w:framePr w:wrap="around"/>
            </w:pPr>
          </w:p>
        </w:tc>
        <w:tc>
          <w:tcPr>
            <w:tcW w:w="1469" w:type="dxa"/>
            <w:vMerge/>
            <w:tcBorders>
              <w:left w:val="nil"/>
              <w:bottom w:val="single" w:sz="4" w:space="0" w:color="auto"/>
              <w:right w:val="single" w:sz="4" w:space="0" w:color="auto"/>
            </w:tcBorders>
            <w:shd w:val="clear" w:color="auto" w:fill="auto"/>
            <w:vAlign w:val="center"/>
          </w:tcPr>
          <w:p w14:paraId="2CB0BE05" w14:textId="77777777" w:rsidR="00C37D03" w:rsidRPr="0054775B" w:rsidRDefault="00C37D03" w:rsidP="00603677">
            <w:pPr>
              <w:pStyle w:val="2024TABLETEXT"/>
              <w:framePr w:wrap="around"/>
            </w:pPr>
          </w:p>
        </w:tc>
        <w:tc>
          <w:tcPr>
            <w:tcW w:w="758" w:type="dxa"/>
            <w:tcBorders>
              <w:top w:val="nil"/>
              <w:left w:val="nil"/>
              <w:bottom w:val="single" w:sz="4" w:space="0" w:color="auto"/>
              <w:right w:val="single" w:sz="4" w:space="0" w:color="auto"/>
            </w:tcBorders>
            <w:shd w:val="clear" w:color="auto" w:fill="auto"/>
            <w:vAlign w:val="center"/>
          </w:tcPr>
          <w:p w14:paraId="13769CD0" w14:textId="3146EF09" w:rsidR="00C37D03" w:rsidRPr="0054775B" w:rsidRDefault="00C37D03" w:rsidP="00603677">
            <w:pPr>
              <w:pStyle w:val="2024TABLETEXT"/>
              <w:framePr w:wrap="around"/>
            </w:pPr>
            <w:r w:rsidRPr="0054775B">
              <w:t>7</w:t>
            </w:r>
          </w:p>
        </w:tc>
        <w:tc>
          <w:tcPr>
            <w:tcW w:w="5081" w:type="dxa"/>
            <w:tcBorders>
              <w:top w:val="nil"/>
              <w:left w:val="nil"/>
              <w:bottom w:val="single" w:sz="4" w:space="0" w:color="auto"/>
              <w:right w:val="single" w:sz="4" w:space="0" w:color="auto"/>
            </w:tcBorders>
            <w:shd w:val="clear" w:color="auto" w:fill="auto"/>
          </w:tcPr>
          <w:p w14:paraId="39BB37F0" w14:textId="340BE2ED" w:rsidR="00C37D03" w:rsidRPr="0054775B" w:rsidRDefault="00C37D03" w:rsidP="00603677">
            <w:pPr>
              <w:pStyle w:val="2024TABLETEXT"/>
              <w:framePr w:wrap="around"/>
            </w:pPr>
            <w:r w:rsidRPr="0054775B">
              <w:t>Cognitive function burden from PMS</w:t>
            </w:r>
          </w:p>
        </w:tc>
      </w:tr>
    </w:tbl>
    <w:p w14:paraId="68F2887F" w14:textId="77777777" w:rsidR="007A2D2F" w:rsidRPr="0054775B" w:rsidRDefault="007A2D2F" w:rsidP="009760CB">
      <w:pPr>
        <w:pStyle w:val="2024TABLEFOOTER"/>
      </w:pPr>
      <w:r w:rsidRPr="0054775B">
        <w:t>Abbreviations: BP=blood pressure; HRQoL=health-related quality of life; NTWC=Natural Therapies Working Group</w:t>
      </w:r>
    </w:p>
    <w:p w14:paraId="3B6B67B9" w14:textId="0412791B" w:rsidR="007A2D2F" w:rsidRPr="0054775B" w:rsidRDefault="007A2D2F" w:rsidP="009760CB">
      <w:pPr>
        <w:pStyle w:val="2024TABLEFOOTER"/>
      </w:pPr>
      <w:r w:rsidRPr="0054775B">
        <w:t>*1-3 = of limited importance to decision making; 4-6 = important, but not critical, to decision making; 7-9 = critical for decision-making</w:t>
      </w:r>
    </w:p>
    <w:p w14:paraId="5AAEDC4F" w14:textId="77777777" w:rsidR="007A2D2F" w:rsidRPr="0054775B" w:rsidRDefault="007A2D2F" w:rsidP="009E6F7F">
      <w:pPr>
        <w:pStyle w:val="2024HEADER3"/>
        <w:rPr>
          <w:rFonts w:ascii="Aptos" w:hAnsi="Aptos"/>
        </w:rPr>
      </w:pPr>
      <w:r w:rsidRPr="0054775B">
        <w:rPr>
          <w:rFonts w:ascii="Aptos" w:hAnsi="Aptos"/>
        </w:rPr>
        <w:t>Search findings</w:t>
      </w:r>
    </w:p>
    <w:p w14:paraId="0146B246" w14:textId="43DD630F" w:rsidR="007A2D2F" w:rsidRPr="0054775B" w:rsidRDefault="007A2D2F" w:rsidP="009E6F7F">
      <w:r w:rsidRPr="0054775B">
        <w:t xml:space="preserve">In total, 17 unique </w:t>
      </w:r>
      <w:r w:rsidR="0029059B">
        <w:t>reviews</w:t>
      </w:r>
      <w:r w:rsidR="0029059B" w:rsidRPr="0054775B">
        <w:t xml:space="preserve"> </w:t>
      </w:r>
      <w:r w:rsidRPr="0054775B">
        <w:t xml:space="preserve">were </w:t>
      </w:r>
      <w:r w:rsidR="00632594" w:rsidRPr="0054775B">
        <w:t>found in searches and were screened.</w:t>
      </w:r>
      <w:r w:rsidR="00632594" w:rsidRPr="0054775B" w:rsidDel="0097317A">
        <w:t xml:space="preserve"> </w:t>
      </w:r>
      <w:r w:rsidR="006A7F16" w:rsidRPr="0054775B">
        <w:t xml:space="preserve">None of the </w:t>
      </w:r>
      <w:r w:rsidR="0029059B">
        <w:t>reviews</w:t>
      </w:r>
      <w:r w:rsidR="0029059B" w:rsidRPr="0054775B">
        <w:t xml:space="preserve"> </w:t>
      </w:r>
      <w:r w:rsidR="006A7F16" w:rsidRPr="0054775B">
        <w:t>provided by the Department’s call for evidence were relevant to this population-</w:t>
      </w:r>
      <w:r w:rsidR="0032560B">
        <w:t>supplement pair</w:t>
      </w:r>
      <w:r w:rsidR="006A7F16" w:rsidRPr="0054775B">
        <w:t xml:space="preserve">. </w:t>
      </w:r>
      <w:r w:rsidRPr="0054775B">
        <w:t xml:space="preserve">After title and abstract screening, </w:t>
      </w:r>
      <w:r w:rsidR="00726129" w:rsidRPr="0054775B">
        <w:t>2</w:t>
      </w:r>
      <w:r w:rsidRPr="0054775B">
        <w:t xml:space="preserve"> </w:t>
      </w:r>
      <w:r w:rsidR="0029059B">
        <w:t>reviews</w:t>
      </w:r>
      <w:r w:rsidR="0029059B" w:rsidRPr="0054775B">
        <w:t xml:space="preserve"> </w:t>
      </w:r>
      <w:r w:rsidRPr="0054775B">
        <w:t xml:space="preserve">were assessed for eligibility at full-text screening: </w:t>
      </w:r>
    </w:p>
    <w:p w14:paraId="1031C64E" w14:textId="77463872" w:rsidR="007A2D2F" w:rsidRPr="0054775B" w:rsidRDefault="00726129" w:rsidP="00107BEE">
      <w:pPr>
        <w:pStyle w:val="ListParagraph"/>
        <w:numPr>
          <w:ilvl w:val="0"/>
          <w:numId w:val="6"/>
        </w:numPr>
      </w:pPr>
      <w:r w:rsidRPr="0054775B">
        <w:t>2</w:t>
      </w:r>
      <w:r w:rsidR="007A2D2F" w:rsidRPr="0054775B">
        <w:t xml:space="preserve"> </w:t>
      </w:r>
      <w:r w:rsidR="0029059B">
        <w:t>reviews</w:t>
      </w:r>
      <w:r w:rsidR="0029059B" w:rsidRPr="0054775B">
        <w:t xml:space="preserve"> </w:t>
      </w:r>
      <w:r w:rsidR="007A2D2F" w:rsidRPr="0054775B">
        <w:t xml:space="preserve">did not meet inclusion criteria (citation details and </w:t>
      </w:r>
      <w:r w:rsidR="001332AF" w:rsidRPr="0054775B">
        <w:t xml:space="preserve">reasons for exclusion recorded in Appendix </w:t>
      </w:r>
      <w:r w:rsidR="0097317A">
        <w:t>C1</w:t>
      </w:r>
      <w:r w:rsidR="007A2D2F" w:rsidRPr="0054775B">
        <w:t xml:space="preserve">) </w:t>
      </w:r>
    </w:p>
    <w:p w14:paraId="60914B84" w14:textId="77777777" w:rsidR="007A2D2F" w:rsidRPr="0054775B" w:rsidRDefault="007A2D2F" w:rsidP="009E6F7F">
      <w:r w:rsidRPr="0054775B">
        <w:t xml:space="preserve">Following assessment, no reviews met the inclusion criteria. A full PRISMA flowchart is presented below. </w:t>
      </w:r>
    </w:p>
    <w:p w14:paraId="0E4F5064" w14:textId="0483E984" w:rsidR="007A2D2F" w:rsidRPr="0054775B" w:rsidRDefault="001D2614" w:rsidP="0004713C">
      <w:pPr>
        <w:pStyle w:val="2024TABLECAPTION"/>
      </w:pPr>
      <w:bookmarkStart w:id="94" w:name="_Toc178348010"/>
      <w:r w:rsidRPr="0054775B">
        <w:rPr>
          <w:noProof/>
          <w:highlight w:val="yellow"/>
        </w:rPr>
        <w:lastRenderedPageBreak/>
        <mc:AlternateContent>
          <mc:Choice Requires="wpg">
            <w:drawing>
              <wp:anchor distT="0" distB="0" distL="114300" distR="114300" simplePos="0" relativeHeight="251658249" behindDoc="0" locked="0" layoutInCell="1" allowOverlap="1" wp14:anchorId="0D0B16AC" wp14:editId="53A215D3">
                <wp:simplePos x="0" y="0"/>
                <wp:positionH relativeFrom="column">
                  <wp:posOffset>8890</wp:posOffset>
                </wp:positionH>
                <wp:positionV relativeFrom="paragraph">
                  <wp:posOffset>347980</wp:posOffset>
                </wp:positionV>
                <wp:extent cx="5339080" cy="4646295"/>
                <wp:effectExtent l="0" t="0" r="7620" b="14605"/>
                <wp:wrapSquare wrapText="bothSides"/>
                <wp:docPr id="1399149679" name="Group 1399149679"/>
                <wp:cNvGraphicFramePr/>
                <a:graphic xmlns:a="http://schemas.openxmlformats.org/drawingml/2006/main">
                  <a:graphicData uri="http://schemas.microsoft.com/office/word/2010/wordprocessingGroup">
                    <wpg:wgp>
                      <wpg:cNvGrpSpPr/>
                      <wpg:grpSpPr>
                        <a:xfrm>
                          <a:off x="0" y="0"/>
                          <a:ext cx="5339080" cy="4646295"/>
                          <a:chOff x="0" y="0"/>
                          <a:chExt cx="5536496" cy="4725667"/>
                        </a:xfrm>
                      </wpg:grpSpPr>
                      <wps:wsp>
                        <wps:cNvPr id="630227851" name="Rectangle 630227851"/>
                        <wps:cNvSpPr/>
                        <wps:spPr>
                          <a:xfrm>
                            <a:off x="3180705" y="425302"/>
                            <a:ext cx="2355790" cy="83947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C168EF2" w14:textId="77777777" w:rsidR="007A2D2F" w:rsidRPr="000A34EA" w:rsidRDefault="007A2D2F" w:rsidP="009760CB">
                              <w:pPr>
                                <w:pStyle w:val="2024-PRISMA"/>
                              </w:pPr>
                              <w:r w:rsidRPr="000A34EA">
                                <w:t>Records removed before screening:</w:t>
                              </w:r>
                            </w:p>
                            <w:p w14:paraId="6876B181" w14:textId="0DFFE5A1" w:rsidR="007A2D2F" w:rsidRPr="000A34EA" w:rsidRDefault="007A2D2F" w:rsidP="009760CB">
                              <w:pPr>
                                <w:pStyle w:val="2024-PRISMA"/>
                              </w:pPr>
                              <w:r w:rsidRPr="000A34EA">
                                <w:t xml:space="preserve">Duplicate records removed (n = </w:t>
                              </w:r>
                              <w:r>
                                <w:t>0</w:t>
                              </w:r>
                              <w:r w:rsidRPr="000A34EA">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45031092" name="Rectangle 2045031092"/>
                        <wps:cNvSpPr/>
                        <wps:spPr>
                          <a:xfrm>
                            <a:off x="2987749" y="1509823"/>
                            <a:ext cx="1887220" cy="52641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C8488AB" w14:textId="77777777" w:rsidR="007A2D2F" w:rsidRPr="000A34EA" w:rsidRDefault="007A2D2F" w:rsidP="009760CB">
                              <w:pPr>
                                <w:pStyle w:val="2024-PRISMA"/>
                              </w:pPr>
                              <w:r w:rsidRPr="000A34EA">
                                <w:t>Records excluded</w:t>
                              </w:r>
                            </w:p>
                            <w:p w14:paraId="737BC3B0" w14:textId="003E155A" w:rsidR="007A2D2F" w:rsidRPr="000A34EA" w:rsidRDefault="007A2D2F" w:rsidP="009760CB">
                              <w:pPr>
                                <w:pStyle w:val="2024-PRISMA"/>
                              </w:pPr>
                              <w:r w:rsidRPr="000A34EA">
                                <w:t xml:space="preserve">(n = </w:t>
                              </w:r>
                              <w:r>
                                <w:t>15</w:t>
                              </w:r>
                              <w:r w:rsidRPr="000A34EA">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47260231" name="Rectangle 1047260231"/>
                        <wps:cNvSpPr/>
                        <wps:spPr>
                          <a:xfrm>
                            <a:off x="2987749" y="2191534"/>
                            <a:ext cx="2351878" cy="68093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E0F2049" w14:textId="77777777" w:rsidR="007A2D2F" w:rsidRDefault="007A2D2F" w:rsidP="009760CB">
                              <w:pPr>
                                <w:pStyle w:val="2024-PRISMA"/>
                              </w:pPr>
                              <w:r>
                                <w:t>Full-text unavailable</w:t>
                              </w:r>
                              <w:r w:rsidRPr="000A34EA">
                                <w:t xml:space="preserve"> (n</w:t>
                              </w:r>
                              <w:r>
                                <w:t xml:space="preserve"> = 0</w:t>
                              </w:r>
                              <w:r w:rsidRPr="000A34EA">
                                <w:t>)</w:t>
                              </w:r>
                            </w:p>
                            <w:p w14:paraId="55567932" w14:textId="77777777" w:rsidR="007A2D2F" w:rsidRPr="000A34EA" w:rsidRDefault="007A2D2F" w:rsidP="009760CB">
                              <w:pPr>
                                <w:pStyle w:val="2024-PRISMA"/>
                              </w:pPr>
                              <w:r>
                                <w:t>Ongoing study</w:t>
                              </w:r>
                              <w:r w:rsidRPr="000A34EA">
                                <w:t xml:space="preserve"> (n</w:t>
                              </w:r>
                              <w:r>
                                <w:t xml:space="preserve"> = 0</w:t>
                              </w:r>
                              <w:r w:rsidRPr="000A34EA">
                                <w:t>)</w:t>
                              </w:r>
                            </w:p>
                            <w:p w14:paraId="44ABC752" w14:textId="77777777" w:rsidR="001D2614" w:rsidRDefault="001D2614" w:rsidP="001D2614">
                              <w:pPr>
                                <w:pStyle w:val="2024-PRISMA"/>
                              </w:pPr>
                              <w:r>
                                <w:t>Conference abstracts (n = 0)</w:t>
                              </w:r>
                            </w:p>
                            <w:p w14:paraId="7174438F" w14:textId="23C6807A" w:rsidR="007A2D2F" w:rsidRPr="000A34EA" w:rsidRDefault="0097733F" w:rsidP="009760CB">
                              <w:pPr>
                                <w:pStyle w:val="2024-PRISMA"/>
                              </w:pPr>
                              <w:r>
                                <w:t>Reviews</w:t>
                              </w:r>
                              <w:r w:rsidR="007A2D2F" w:rsidRPr="000A34EA">
                                <w:t xml:space="preserve"> Awaiting Classification (n = </w:t>
                              </w:r>
                              <w:r w:rsidR="007A2D2F">
                                <w:t>0</w:t>
                              </w:r>
                              <w:r w:rsidR="007A2D2F" w:rsidRPr="000A34EA">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3032008" name="Rectangle 343032008"/>
                        <wps:cNvSpPr/>
                        <wps:spPr>
                          <a:xfrm>
                            <a:off x="2987749" y="2955851"/>
                            <a:ext cx="2179320" cy="5984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450C155" w14:textId="2D69C1A9" w:rsidR="007A2D2F" w:rsidRPr="000A34EA" w:rsidRDefault="007A2D2F" w:rsidP="009760CB">
                              <w:pPr>
                                <w:pStyle w:val="2024-PRISMA"/>
                              </w:pPr>
                              <w:r w:rsidRPr="000A34EA">
                                <w:t xml:space="preserve">Reports excluded (n = </w:t>
                              </w:r>
                              <w:r w:rsidR="00D10874">
                                <w:t>2</w:t>
                              </w:r>
                              <w:r w:rsidRPr="000A34EA">
                                <w:t>):</w:t>
                              </w:r>
                            </w:p>
                            <w:p w14:paraId="780DC9E1" w14:textId="0E2A71BA" w:rsidR="007A2D2F" w:rsidRPr="000A34EA" w:rsidRDefault="007A2D2F" w:rsidP="009760CB">
                              <w:pPr>
                                <w:pStyle w:val="2024-PRISMA"/>
                              </w:pPr>
                              <w:r w:rsidRPr="000A34EA">
                                <w:t xml:space="preserve">Wrong intervention (n = </w:t>
                              </w:r>
                              <w:r w:rsidR="006714F4">
                                <w:t>2</w:t>
                              </w:r>
                              <w:r w:rsidRPr="000A34EA">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05818928" name="Straight Arrow Connector 1105818928"/>
                        <wps:cNvCnPr/>
                        <wps:spPr>
                          <a:xfrm>
                            <a:off x="2424224" y="975833"/>
                            <a:ext cx="756482"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537272122" name="Straight Arrow Connector 537272122"/>
                        <wps:cNvCnPr/>
                        <wps:spPr>
                          <a:xfrm>
                            <a:off x="2392326" y="1720112"/>
                            <a:ext cx="563245"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549064059" name="Straight Arrow Connector 549064059"/>
                        <wps:cNvCnPr/>
                        <wps:spPr>
                          <a:xfrm>
                            <a:off x="2402958" y="2421861"/>
                            <a:ext cx="563245"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830197409" name="Straight Arrow Connector 1830197409"/>
                        <wps:cNvCnPr/>
                        <wps:spPr>
                          <a:xfrm>
                            <a:off x="2413591" y="3155507"/>
                            <a:ext cx="563245"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76636827" name="Flowchart: Alternate Process 31"/>
                        <wps:cNvSpPr/>
                        <wps:spPr>
                          <a:xfrm rot="16200000">
                            <a:off x="-300748" y="708595"/>
                            <a:ext cx="1009400" cy="341843"/>
                          </a:xfrm>
                          <a:prstGeom prst="flowChartAlternateProcess">
                            <a:avLst/>
                          </a:prstGeom>
                          <a:solidFill>
                            <a:schemeClr val="accent5">
                              <a:lumMod val="60000"/>
                              <a:lumOff val="40000"/>
                            </a:schemeClr>
                          </a:solidFill>
                          <a:ln>
                            <a:solidFill>
                              <a:schemeClr val="tx1"/>
                            </a:solidFill>
                          </a:ln>
                        </wps:spPr>
                        <wps:style>
                          <a:lnRef idx="2">
                            <a:schemeClr val="accent4">
                              <a:shade val="50000"/>
                            </a:schemeClr>
                          </a:lnRef>
                          <a:fillRef idx="1">
                            <a:schemeClr val="accent4"/>
                          </a:fillRef>
                          <a:effectRef idx="0">
                            <a:schemeClr val="accent4"/>
                          </a:effectRef>
                          <a:fontRef idx="minor">
                            <a:schemeClr val="lt1"/>
                          </a:fontRef>
                        </wps:style>
                        <wps:txbx>
                          <w:txbxContent>
                            <w:p w14:paraId="4406BCA4" w14:textId="77777777" w:rsidR="007A2D2F" w:rsidRPr="001428E8" w:rsidRDefault="007A2D2F" w:rsidP="009760CB">
                              <w:pPr>
                                <w:pStyle w:val="2024-PRISMA"/>
                                <w:rPr>
                                  <w:b/>
                                </w:rPr>
                              </w:pPr>
                              <w:r w:rsidRPr="001428E8">
                                <w:rPr>
                                  <w:b/>
                                </w:rPr>
                                <w:t>Identification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21833938" name="Flowchart: Alternate Process 32"/>
                        <wps:cNvSpPr/>
                        <wps:spPr>
                          <a:xfrm rot="16200000">
                            <a:off x="-1018343" y="2512973"/>
                            <a:ext cx="2444743" cy="341840"/>
                          </a:xfrm>
                          <a:prstGeom prst="flowChartAlternateProcess">
                            <a:avLst/>
                          </a:prstGeom>
                          <a:solidFill>
                            <a:schemeClr val="accent5">
                              <a:lumMod val="60000"/>
                              <a:lumOff val="40000"/>
                            </a:schemeClr>
                          </a:solidFill>
                          <a:ln>
                            <a:solidFill>
                              <a:schemeClr val="tx1"/>
                            </a:solidFill>
                          </a:ln>
                        </wps:spPr>
                        <wps:style>
                          <a:lnRef idx="2">
                            <a:schemeClr val="accent4">
                              <a:shade val="50000"/>
                            </a:schemeClr>
                          </a:lnRef>
                          <a:fillRef idx="1">
                            <a:schemeClr val="accent4"/>
                          </a:fillRef>
                          <a:effectRef idx="0">
                            <a:schemeClr val="accent4"/>
                          </a:effectRef>
                          <a:fontRef idx="minor">
                            <a:schemeClr val="lt1"/>
                          </a:fontRef>
                        </wps:style>
                        <wps:txbx>
                          <w:txbxContent>
                            <w:p w14:paraId="517FBBD0" w14:textId="77777777" w:rsidR="007A2D2F" w:rsidRPr="001428E8" w:rsidRDefault="007A2D2F" w:rsidP="001428E8">
                              <w:pPr>
                                <w:pStyle w:val="2024-PRISMA"/>
                                <w:jc w:val="center"/>
                                <w:rPr>
                                  <w:b/>
                                </w:rPr>
                              </w:pPr>
                              <w:r w:rsidRPr="001428E8">
                                <w:rPr>
                                  <w:b/>
                                </w:rPr>
                                <w:t>Screening</w:t>
                              </w:r>
                            </w:p>
                            <w:p w14:paraId="2C550B68" w14:textId="77777777" w:rsidR="007A2D2F" w:rsidRPr="001428E8" w:rsidRDefault="007A2D2F" w:rsidP="001428E8">
                              <w:pPr>
                                <w:pStyle w:val="2024-PRISMA"/>
                                <w:jc w:val="center"/>
                                <w:rPr>
                                  <w: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85596452" name="Flowchart: Alternate Process 33"/>
                        <wps:cNvSpPr/>
                        <wps:spPr>
                          <a:xfrm rot="16200000">
                            <a:off x="-155878" y="4203475"/>
                            <a:ext cx="711091" cy="333294"/>
                          </a:xfrm>
                          <a:prstGeom prst="flowChartAlternateProcess">
                            <a:avLst/>
                          </a:prstGeom>
                          <a:solidFill>
                            <a:schemeClr val="accent5">
                              <a:lumMod val="60000"/>
                              <a:lumOff val="40000"/>
                            </a:schemeClr>
                          </a:solidFill>
                          <a:ln>
                            <a:solidFill>
                              <a:schemeClr val="tx1"/>
                            </a:solidFill>
                          </a:ln>
                        </wps:spPr>
                        <wps:style>
                          <a:lnRef idx="2">
                            <a:schemeClr val="accent4">
                              <a:shade val="50000"/>
                            </a:schemeClr>
                          </a:lnRef>
                          <a:fillRef idx="1">
                            <a:schemeClr val="accent4"/>
                          </a:fillRef>
                          <a:effectRef idx="0">
                            <a:schemeClr val="accent4"/>
                          </a:effectRef>
                          <a:fontRef idx="minor">
                            <a:schemeClr val="lt1"/>
                          </a:fontRef>
                        </wps:style>
                        <wps:txbx>
                          <w:txbxContent>
                            <w:p w14:paraId="55A35D63" w14:textId="77777777" w:rsidR="007A2D2F" w:rsidRPr="001428E8" w:rsidRDefault="007A2D2F" w:rsidP="009760CB">
                              <w:pPr>
                                <w:pStyle w:val="2024-PRISMA"/>
                                <w:rPr>
                                  <w:b/>
                                </w:rPr>
                              </w:pPr>
                              <w:r w:rsidRPr="001428E8">
                                <w:rPr>
                                  <w:b/>
                                </w:rPr>
                                <w:t>Included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51915135" name="Straight Arrow Connector 1151915135"/>
                        <wps:cNvCnPr/>
                        <wps:spPr>
                          <a:xfrm>
                            <a:off x="1339407" y="1233377"/>
                            <a:ext cx="0" cy="28130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383491566" name="Straight Arrow Connector 383491566"/>
                        <wps:cNvCnPr/>
                        <wps:spPr>
                          <a:xfrm>
                            <a:off x="1339407" y="1967023"/>
                            <a:ext cx="0" cy="28130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871600199" name="Straight Arrow Connector 871600199"/>
                        <wps:cNvCnPr/>
                        <wps:spPr>
                          <a:xfrm>
                            <a:off x="1350040" y="2690037"/>
                            <a:ext cx="0" cy="28130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921515964" name="Straight Arrow Connector 921515964"/>
                        <wps:cNvCnPr/>
                        <wps:spPr>
                          <a:xfrm>
                            <a:off x="1339407" y="3296093"/>
                            <a:ext cx="0" cy="74612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52413522" name="Flowchart: Alternate Process 29"/>
                        <wps:cNvSpPr/>
                        <wps:spPr>
                          <a:xfrm>
                            <a:off x="0" y="0"/>
                            <a:ext cx="5536496" cy="281168"/>
                          </a:xfrm>
                          <a:prstGeom prst="flowChartAlternateProcess">
                            <a:avLst/>
                          </a:prstGeom>
                        </wps:spPr>
                        <wps:style>
                          <a:lnRef idx="2">
                            <a:schemeClr val="accent4">
                              <a:shade val="50000"/>
                            </a:schemeClr>
                          </a:lnRef>
                          <a:fillRef idx="1">
                            <a:schemeClr val="accent4"/>
                          </a:fillRef>
                          <a:effectRef idx="0">
                            <a:schemeClr val="accent4"/>
                          </a:effectRef>
                          <a:fontRef idx="minor">
                            <a:schemeClr val="lt1"/>
                          </a:fontRef>
                        </wps:style>
                        <wps:txbx>
                          <w:txbxContent>
                            <w:p w14:paraId="7742792D" w14:textId="5A8767AA" w:rsidR="007A2D2F" w:rsidRPr="001428E8" w:rsidRDefault="007A2D2F" w:rsidP="001428E8">
                              <w:pPr>
                                <w:pStyle w:val="2024-PRISMA"/>
                                <w:jc w:val="center"/>
                                <w:rPr>
                                  <w:b/>
                                </w:rPr>
                              </w:pPr>
                              <w:r w:rsidRPr="001428E8">
                                <w:rPr>
                                  <w:b/>
                                </w:rPr>
                                <w:t xml:space="preserve">Identification of </w:t>
                              </w:r>
                              <w:r w:rsidR="00AB15DC">
                                <w:rPr>
                                  <w:b/>
                                </w:rPr>
                                <w:t>reviews</w:t>
                              </w:r>
                              <w:r w:rsidR="00AB15DC" w:rsidRPr="001428E8">
                                <w:rPr>
                                  <w:b/>
                                </w:rPr>
                                <w:t xml:space="preserve"> </w:t>
                              </w:r>
                              <w:r w:rsidRPr="001428E8">
                                <w:rPr>
                                  <w:b/>
                                </w:rPr>
                                <w:t>via databases and registers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70301383" name="Rectangle 1270301383"/>
                        <wps:cNvSpPr/>
                        <wps:spPr>
                          <a:xfrm>
                            <a:off x="499730" y="425302"/>
                            <a:ext cx="2455839" cy="839972"/>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C2FA7DC" w14:textId="2D54E40A" w:rsidR="007A2D2F" w:rsidRPr="000A34EA" w:rsidRDefault="007A2D2F" w:rsidP="009760CB">
                              <w:pPr>
                                <w:pStyle w:val="2024-PRISMA"/>
                              </w:pPr>
                              <w:r w:rsidRPr="000A34EA">
                                <w:t>Records identified from:</w:t>
                              </w:r>
                            </w:p>
                            <w:p w14:paraId="5B478E25" w14:textId="0953DC2E" w:rsidR="007A2D2F" w:rsidRPr="000A34EA" w:rsidRDefault="007A2D2F" w:rsidP="009760CB">
                              <w:pPr>
                                <w:pStyle w:val="2024-PRISMA"/>
                              </w:pPr>
                              <w:r w:rsidRPr="000A34EA">
                                <w:t xml:space="preserve">Databases and registers (n = </w:t>
                              </w:r>
                              <w:r>
                                <w:t>17</w:t>
                              </w:r>
                              <w:r w:rsidRPr="000A34EA">
                                <w:t>)</w:t>
                              </w:r>
                            </w:p>
                            <w:p w14:paraId="6324F882" w14:textId="77777777" w:rsidR="007A2D2F" w:rsidRDefault="007A2D2F" w:rsidP="009760CB">
                              <w:pPr>
                                <w:pStyle w:val="2024-PRISMA"/>
                              </w:pPr>
                              <w:r w:rsidRPr="000A34EA">
                                <w:t>Manual</w:t>
                              </w:r>
                              <w:r>
                                <w:t xml:space="preserve"> or </w:t>
                              </w:r>
                              <w:r w:rsidRPr="000A34EA">
                                <w:t xml:space="preserve">citation </w:t>
                              </w:r>
                              <w:r>
                                <w:t xml:space="preserve">searching </w:t>
                              </w:r>
                              <w:r w:rsidRPr="000A34EA">
                                <w:t xml:space="preserve">(n = </w:t>
                              </w:r>
                              <w:r>
                                <w:t>0</w:t>
                              </w:r>
                              <w:r w:rsidRPr="000A34EA">
                                <w:t>)</w:t>
                              </w:r>
                            </w:p>
                            <w:p w14:paraId="1C5E6F9E" w14:textId="3B30E9A9" w:rsidR="007A2D2F" w:rsidRPr="000A34EA" w:rsidRDefault="007A2D2F" w:rsidP="009760CB">
                              <w:pPr>
                                <w:pStyle w:val="2024-PRISMA"/>
                              </w:pPr>
                              <w:r>
                                <w:t>Department’s call for evidence</w:t>
                              </w:r>
                              <w:r w:rsidRPr="000A34EA">
                                <w:t xml:space="preserve"> (n = </w:t>
                              </w:r>
                              <w:r w:rsidR="00D10874">
                                <w:t>0</w:t>
                              </w:r>
                              <w:r w:rsidRPr="000A34EA">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64261032" name="Rectangle 864261032"/>
                        <wps:cNvSpPr/>
                        <wps:spPr>
                          <a:xfrm>
                            <a:off x="499731" y="1520456"/>
                            <a:ext cx="1887220" cy="52641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DECB273" w14:textId="77777777" w:rsidR="007A2D2F" w:rsidRPr="000A34EA" w:rsidRDefault="007A2D2F" w:rsidP="009760CB">
                              <w:pPr>
                                <w:pStyle w:val="2024-PRISMA"/>
                              </w:pPr>
                              <w:r w:rsidRPr="000A34EA">
                                <w:t>Records screened</w:t>
                              </w:r>
                            </w:p>
                            <w:p w14:paraId="2C86CC81" w14:textId="345EC3B7" w:rsidR="007A2D2F" w:rsidRPr="000A34EA" w:rsidRDefault="007A2D2F" w:rsidP="009760CB">
                              <w:pPr>
                                <w:pStyle w:val="2024-PRISMA"/>
                              </w:pPr>
                              <w:r w:rsidRPr="000A34EA">
                                <w:t xml:space="preserve">(n = </w:t>
                              </w:r>
                              <w:r>
                                <w:t>17</w:t>
                              </w:r>
                              <w:r w:rsidRPr="000A34EA">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21702225" name="Rectangle 1421702225"/>
                        <wps:cNvSpPr/>
                        <wps:spPr>
                          <a:xfrm>
                            <a:off x="499731" y="2977116"/>
                            <a:ext cx="1887220" cy="52641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A604BE7" w14:textId="77777777" w:rsidR="007A2D2F" w:rsidRPr="000A34EA" w:rsidRDefault="007A2D2F" w:rsidP="009760CB">
                              <w:pPr>
                                <w:pStyle w:val="2024-PRISMA"/>
                              </w:pPr>
                              <w:r w:rsidRPr="000A34EA">
                                <w:t>Reports assessed for eligibility</w:t>
                              </w:r>
                            </w:p>
                            <w:p w14:paraId="6B4CAAFE" w14:textId="2028B522" w:rsidR="007A2D2F" w:rsidRPr="000A34EA" w:rsidRDefault="007A2D2F" w:rsidP="009760CB">
                              <w:pPr>
                                <w:pStyle w:val="2024-PRISMA"/>
                              </w:pPr>
                              <w:r w:rsidRPr="000A34EA">
                                <w:t xml:space="preserve">(n = </w:t>
                              </w:r>
                              <w:r w:rsidR="00D10874">
                                <w:t>2</w:t>
                              </w:r>
                              <w:r w:rsidRPr="000A34EA">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73356210" name="Rectangle 1173356210"/>
                        <wps:cNvSpPr/>
                        <wps:spPr>
                          <a:xfrm>
                            <a:off x="489098" y="4040372"/>
                            <a:ext cx="1887220" cy="511952"/>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748B673" w14:textId="380C00CE" w:rsidR="007A2D2F" w:rsidRPr="000A34EA" w:rsidRDefault="00650A71" w:rsidP="009760CB">
                              <w:pPr>
                                <w:pStyle w:val="2024-PRISMA"/>
                              </w:pPr>
                              <w:r>
                                <w:t>R</w:t>
                              </w:r>
                              <w:r w:rsidR="00AB15DC">
                                <w:t>eviews</w:t>
                              </w:r>
                              <w:r w:rsidR="00AB15DC" w:rsidRPr="000A34EA">
                                <w:t xml:space="preserve"> </w:t>
                              </w:r>
                              <w:r w:rsidR="007A2D2F" w:rsidRPr="000A34EA">
                                <w:t xml:space="preserve">included in </w:t>
                              </w:r>
                              <w:r w:rsidR="00AB15DC">
                                <w:t>over</w:t>
                              </w:r>
                              <w:r w:rsidR="007A2D2F" w:rsidRPr="000A34EA">
                                <w:t>view</w:t>
                              </w:r>
                            </w:p>
                            <w:p w14:paraId="3B8C5470" w14:textId="77777777" w:rsidR="007A2D2F" w:rsidRPr="000A34EA" w:rsidRDefault="007A2D2F" w:rsidP="009760CB">
                              <w:pPr>
                                <w:pStyle w:val="2024-PRISMA"/>
                              </w:pPr>
                              <w:r w:rsidRPr="000A34EA">
                                <w:t xml:space="preserve">(n = </w:t>
                              </w:r>
                              <w:r>
                                <w:t>0</w:t>
                              </w:r>
                              <w:r w:rsidRPr="000A34EA">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98760588" name="Rectangle 598760588"/>
                        <wps:cNvSpPr/>
                        <wps:spPr>
                          <a:xfrm>
                            <a:off x="499731" y="2243470"/>
                            <a:ext cx="1887220" cy="52641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1900D81" w14:textId="77777777" w:rsidR="007A2D2F" w:rsidRPr="000A34EA" w:rsidRDefault="007A2D2F" w:rsidP="009760CB">
                              <w:pPr>
                                <w:pStyle w:val="2024-PRISMA"/>
                              </w:pPr>
                              <w:r w:rsidRPr="000A34EA">
                                <w:t>Reports sought for retrieval</w:t>
                              </w:r>
                            </w:p>
                            <w:p w14:paraId="5E62C5E8" w14:textId="7731498C" w:rsidR="007A2D2F" w:rsidRPr="000A34EA" w:rsidRDefault="007A2D2F" w:rsidP="009760CB">
                              <w:pPr>
                                <w:pStyle w:val="2024-PRISMA"/>
                              </w:pPr>
                              <w:r w:rsidRPr="000A34EA">
                                <w:t xml:space="preserve">(n = </w:t>
                              </w:r>
                              <w:r w:rsidR="00D10874">
                                <w:t>2</w:t>
                              </w:r>
                              <w:r w:rsidRPr="000A34EA">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D0B16AC" id="Group 1399149679" o:spid="_x0000_s1158" style="position:absolute;margin-left:.7pt;margin-top:27.4pt;width:420.4pt;height:365.85pt;z-index:251658249;mso-width-relative:margin;mso-height-relative:margin" coordsize="55364,472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">
                <v:rect id="Rectangle 630227851" o:spid="_x0000_s1159" style="position:absolute;left:31807;top:4253;width:23557;height:83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" filled="f" strokecolor="black [3213]" strokeweight="1pt">
                  <v:textbox>
                    <w:txbxContent>
                      <w:p w14:paraId="5C168EF2" w14:textId="77777777" w:rsidR="007A2D2F" w:rsidRPr="000A34EA" w:rsidRDefault="007A2D2F" w:rsidP="009760CB">
                        <w:pPr>
                          <w:pStyle w:val="2024-PRISMA"/>
                        </w:pPr>
                        <w:r w:rsidRPr="000A34EA">
                          <w:t>Records removed before screening:</w:t>
                        </w:r>
                      </w:p>
                      <w:p w14:paraId="6876B181" w14:textId="0DFFE5A1" w:rsidR="007A2D2F" w:rsidRPr="000A34EA" w:rsidRDefault="007A2D2F" w:rsidP="009760CB">
                        <w:pPr>
                          <w:pStyle w:val="2024-PRISMA"/>
                        </w:pPr>
                        <w:r w:rsidRPr="000A34EA">
                          <w:t xml:space="preserve">Duplicate records removed (n = </w:t>
                        </w:r>
                        <w:r>
                          <w:t>0</w:t>
                        </w:r>
                        <w:r w:rsidRPr="000A34EA">
                          <w:t>)</w:t>
                        </w:r>
                      </w:p>
                    </w:txbxContent>
                  </v:textbox>
                </v:rect>
                <v:rect id="Rectangle 2045031092" o:spid="_x0000_s1160" style="position:absolute;left:29877;top:15098;width:18872;height:52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" filled="f" strokecolor="black [3213]" strokeweight="1pt">
                  <v:textbox>
                    <w:txbxContent>
                      <w:p w14:paraId="2C8488AB" w14:textId="77777777" w:rsidR="007A2D2F" w:rsidRPr="000A34EA" w:rsidRDefault="007A2D2F" w:rsidP="009760CB">
                        <w:pPr>
                          <w:pStyle w:val="2024-PRISMA"/>
                        </w:pPr>
                        <w:r w:rsidRPr="000A34EA">
                          <w:t>Records excluded</w:t>
                        </w:r>
                      </w:p>
                      <w:p w14:paraId="737BC3B0" w14:textId="003E155A" w:rsidR="007A2D2F" w:rsidRPr="000A34EA" w:rsidRDefault="007A2D2F" w:rsidP="009760CB">
                        <w:pPr>
                          <w:pStyle w:val="2024-PRISMA"/>
                        </w:pPr>
                        <w:r w:rsidRPr="000A34EA">
                          <w:t xml:space="preserve">(n = </w:t>
                        </w:r>
                        <w:r>
                          <w:t>15</w:t>
                        </w:r>
                        <w:r w:rsidRPr="000A34EA">
                          <w:t>)</w:t>
                        </w:r>
                      </w:p>
                    </w:txbxContent>
                  </v:textbox>
                </v:rect>
                <v:rect id="Rectangle 1047260231" o:spid="_x0000_s1161" style="position:absolute;left:29877;top:21915;width:23519;height:68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" filled="f" strokecolor="black [3213]" strokeweight="1pt">
                  <v:textbox>
                    <w:txbxContent>
                      <w:p w14:paraId="6E0F2049" w14:textId="77777777" w:rsidR="007A2D2F" w:rsidRDefault="007A2D2F" w:rsidP="009760CB">
                        <w:pPr>
                          <w:pStyle w:val="2024-PRISMA"/>
                        </w:pPr>
                        <w:r>
                          <w:t>Full-text unavailable</w:t>
                        </w:r>
                        <w:r w:rsidRPr="000A34EA">
                          <w:t xml:space="preserve"> (n</w:t>
                        </w:r>
                        <w:r>
                          <w:t xml:space="preserve"> = 0</w:t>
                        </w:r>
                        <w:r w:rsidRPr="000A34EA">
                          <w:t>)</w:t>
                        </w:r>
                      </w:p>
                      <w:p w14:paraId="55567932" w14:textId="77777777" w:rsidR="007A2D2F" w:rsidRPr="000A34EA" w:rsidRDefault="007A2D2F" w:rsidP="009760CB">
                        <w:pPr>
                          <w:pStyle w:val="2024-PRISMA"/>
                        </w:pPr>
                        <w:r>
                          <w:t>Ongoing study</w:t>
                        </w:r>
                        <w:r w:rsidRPr="000A34EA">
                          <w:t xml:space="preserve"> (n</w:t>
                        </w:r>
                        <w:r>
                          <w:t xml:space="preserve"> = 0</w:t>
                        </w:r>
                        <w:r w:rsidRPr="000A34EA">
                          <w:t>)</w:t>
                        </w:r>
                      </w:p>
                      <w:p w14:paraId="44ABC752" w14:textId="77777777" w:rsidR="001D2614" w:rsidRDefault="001D2614" w:rsidP="001D2614">
                        <w:pPr>
                          <w:pStyle w:val="2024-PRISMA"/>
                        </w:pPr>
                        <w:r>
                          <w:t>Conference abstracts (n = 0)</w:t>
                        </w:r>
                      </w:p>
                      <w:p w14:paraId="7174438F" w14:textId="23C6807A" w:rsidR="007A2D2F" w:rsidRPr="000A34EA" w:rsidRDefault="0097733F" w:rsidP="009760CB">
                        <w:pPr>
                          <w:pStyle w:val="2024-PRISMA"/>
                        </w:pPr>
                        <w:r>
                          <w:t>Reviews</w:t>
                        </w:r>
                        <w:r w:rsidR="007A2D2F" w:rsidRPr="000A34EA">
                          <w:t xml:space="preserve"> Awaiting Classification (n = </w:t>
                        </w:r>
                        <w:r w:rsidR="007A2D2F">
                          <w:t>0</w:t>
                        </w:r>
                        <w:r w:rsidR="007A2D2F" w:rsidRPr="000A34EA">
                          <w:t>)</w:t>
                        </w:r>
                      </w:p>
                    </w:txbxContent>
                  </v:textbox>
                </v:rect>
                <v:rect id="Rectangle 343032008" o:spid="_x0000_s1162" style="position:absolute;left:29877;top:29558;width:21793;height:59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" filled="f" strokecolor="black [3213]" strokeweight="1pt">
                  <v:textbox>
                    <w:txbxContent>
                      <w:p w14:paraId="1450C155" w14:textId="2D69C1A9" w:rsidR="007A2D2F" w:rsidRPr="000A34EA" w:rsidRDefault="007A2D2F" w:rsidP="009760CB">
                        <w:pPr>
                          <w:pStyle w:val="2024-PRISMA"/>
                        </w:pPr>
                        <w:r w:rsidRPr="000A34EA">
                          <w:t xml:space="preserve">Reports excluded (n = </w:t>
                        </w:r>
                        <w:r w:rsidR="00D10874">
                          <w:t>2</w:t>
                        </w:r>
                        <w:r w:rsidRPr="000A34EA">
                          <w:t>):</w:t>
                        </w:r>
                      </w:p>
                      <w:p w14:paraId="780DC9E1" w14:textId="0E2A71BA" w:rsidR="007A2D2F" w:rsidRPr="000A34EA" w:rsidRDefault="007A2D2F" w:rsidP="009760CB">
                        <w:pPr>
                          <w:pStyle w:val="2024-PRISMA"/>
                        </w:pPr>
                        <w:r w:rsidRPr="000A34EA">
                          <w:t xml:space="preserve">Wrong intervention (n = </w:t>
                        </w:r>
                        <w:r w:rsidR="006714F4">
                          <w:t>2</w:t>
                        </w:r>
                        <w:r w:rsidRPr="000A34EA">
                          <w:t>)</w:t>
                        </w:r>
                      </w:p>
                    </w:txbxContent>
                  </v:textbox>
                </v:rect>
                <v:shape id="Straight Arrow Connector 1105818928" o:spid="_x0000_s1163" type="#_x0000_t32" style="position:absolute;left:24242;top:9758;width:756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" strokecolor="black [3213]" strokeweight=".5pt">
                  <v:stroke endarrow="block" joinstyle="miter"/>
                </v:shape>
                <v:shape id="Straight Arrow Connector 537272122" o:spid="_x0000_s1164" type="#_x0000_t32" style="position:absolute;left:23923;top:17201;width:563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" strokecolor="black [3213]" strokeweight=".5pt">
                  <v:stroke endarrow="block" joinstyle="miter"/>
                </v:shape>
                <v:shape id="Straight Arrow Connector 549064059" o:spid="_x0000_s1165" type="#_x0000_t32" style="position:absolute;left:24029;top:24218;width:563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" strokecolor="black [3213]" strokeweight=".5pt">
                  <v:stroke endarrow="block" joinstyle="miter"/>
                </v:shape>
                <v:shape id="Straight Arrow Connector 1830197409" o:spid="_x0000_s1166" type="#_x0000_t32" style="position:absolute;left:24135;top:31555;width:563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" strokecolor="black [3213]" strokeweight=".5pt">
                  <v:stroke endarrow="block" joinstyle="miter"/>
                </v:shape>
                <v:shape id="Flowchart: Alternate Process 31" o:spid="_x0000_s1167" type="#_x0000_t176" style="position:absolute;left:-3008;top:7086;width:10094;height:3418;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" fillcolor="#9cc2e5 [1944]" strokecolor="black [3213]" strokeweight="1pt">
                  <v:textbox>
                    <w:txbxContent>
                      <w:p w14:paraId="4406BCA4" w14:textId="77777777" w:rsidR="007A2D2F" w:rsidRPr="001428E8" w:rsidRDefault="007A2D2F" w:rsidP="009760CB">
                        <w:pPr>
                          <w:pStyle w:val="2024-PRISMA"/>
                          <w:rPr>
                            <w:b/>
                          </w:rPr>
                        </w:pPr>
                        <w:r w:rsidRPr="001428E8">
                          <w:rPr>
                            <w:b/>
                          </w:rPr>
                          <w:t>Identification</w:t>
                        </w:r>
                      </w:p>
                    </w:txbxContent>
                  </v:textbox>
                </v:shape>
                <v:shape id="Flowchart: Alternate Process 32" o:spid="_x0000_s1168" type="#_x0000_t176" style="position:absolute;left:-10184;top:25130;width:24447;height:3418;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" fillcolor="#9cc2e5 [1944]" strokecolor="black [3213]" strokeweight="1pt">
                  <v:textbox>
                    <w:txbxContent>
                      <w:p w14:paraId="517FBBD0" w14:textId="77777777" w:rsidR="007A2D2F" w:rsidRPr="001428E8" w:rsidRDefault="007A2D2F" w:rsidP="001428E8">
                        <w:pPr>
                          <w:pStyle w:val="2024-PRISMA"/>
                          <w:jc w:val="center"/>
                          <w:rPr>
                            <w:b/>
                          </w:rPr>
                        </w:pPr>
                        <w:r w:rsidRPr="001428E8">
                          <w:rPr>
                            <w:b/>
                          </w:rPr>
                          <w:t>Screening</w:t>
                        </w:r>
                      </w:p>
                      <w:p w14:paraId="2C550B68" w14:textId="77777777" w:rsidR="007A2D2F" w:rsidRPr="001428E8" w:rsidRDefault="007A2D2F" w:rsidP="001428E8">
                        <w:pPr>
                          <w:pStyle w:val="2024-PRISMA"/>
                          <w:jc w:val="center"/>
                          <w:rPr>
                            <w:b/>
                          </w:rPr>
                        </w:pPr>
                      </w:p>
                    </w:txbxContent>
                  </v:textbox>
                </v:shape>
                <v:shape id="Flowchart: Alternate Process 33" o:spid="_x0000_s1169" type="#_x0000_t176" style="position:absolute;left:-1559;top:42034;width:7111;height:3333;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" fillcolor="#9cc2e5 [1944]" strokecolor="black [3213]" strokeweight="1pt">
                  <v:textbox>
                    <w:txbxContent>
                      <w:p w14:paraId="55A35D63" w14:textId="77777777" w:rsidR="007A2D2F" w:rsidRPr="001428E8" w:rsidRDefault="007A2D2F" w:rsidP="009760CB">
                        <w:pPr>
                          <w:pStyle w:val="2024-PRISMA"/>
                          <w:rPr>
                            <w:b/>
                          </w:rPr>
                        </w:pPr>
                        <w:r w:rsidRPr="001428E8">
                          <w:rPr>
                            <w:b/>
                          </w:rPr>
                          <w:t>Included</w:t>
                        </w:r>
                      </w:p>
                    </w:txbxContent>
                  </v:textbox>
                </v:shape>
                <v:shape id="Straight Arrow Connector 1151915135" o:spid="_x0000_s1170" type="#_x0000_t32" style="position:absolute;left:13394;top:12333;width:0;height:281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" strokecolor="black [3213]" strokeweight=".5pt">
                  <v:stroke endarrow="block" joinstyle="miter"/>
                </v:shape>
                <v:shape id="Straight Arrow Connector 383491566" o:spid="_x0000_s1171" type="#_x0000_t32" style="position:absolute;left:13394;top:19670;width:0;height:281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" strokecolor="black [3213]" strokeweight=".5pt">
                  <v:stroke endarrow="block" joinstyle="miter"/>
                </v:shape>
                <v:shape id="Straight Arrow Connector 871600199" o:spid="_x0000_s1172" type="#_x0000_t32" style="position:absolute;left:13500;top:26900;width:0;height:281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" strokecolor="black [3213]" strokeweight=".5pt">
                  <v:stroke endarrow="block" joinstyle="miter"/>
                </v:shape>
                <v:shape id="Straight Arrow Connector 921515964" o:spid="_x0000_s1173" type="#_x0000_t32" style="position:absolute;left:13394;top:32960;width:0;height:746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" strokecolor="black [3213]" strokeweight=".5pt">
                  <v:stroke endarrow="block" joinstyle="miter"/>
                </v:shape>
                <v:shape id="Flowchart: Alternate Process 29" o:spid="_x0000_s1174" type="#_x0000_t176" style="position:absolute;width:55364;height:28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" fillcolor="#ffc000 [3207]" strokecolor="#7f5f00 [1607]" strokeweight="1pt">
                  <v:textbox>
                    <w:txbxContent>
                      <w:p w14:paraId="7742792D" w14:textId="5A8767AA" w:rsidR="007A2D2F" w:rsidRPr="001428E8" w:rsidRDefault="007A2D2F" w:rsidP="001428E8">
                        <w:pPr>
                          <w:pStyle w:val="2024-PRISMA"/>
                          <w:jc w:val="center"/>
                          <w:rPr>
                            <w:b/>
                          </w:rPr>
                        </w:pPr>
                        <w:r w:rsidRPr="001428E8">
                          <w:rPr>
                            <w:b/>
                          </w:rPr>
                          <w:t xml:space="preserve">Identification of </w:t>
                        </w:r>
                        <w:r w:rsidR="00AB15DC">
                          <w:rPr>
                            <w:b/>
                          </w:rPr>
                          <w:t>reviews</w:t>
                        </w:r>
                        <w:r w:rsidR="00AB15DC" w:rsidRPr="001428E8">
                          <w:rPr>
                            <w:b/>
                          </w:rPr>
                          <w:t xml:space="preserve"> </w:t>
                        </w:r>
                        <w:r w:rsidRPr="001428E8">
                          <w:rPr>
                            <w:b/>
                          </w:rPr>
                          <w:t>via databases and registers</w:t>
                        </w:r>
                      </w:p>
                    </w:txbxContent>
                  </v:textbox>
                </v:shape>
                <v:rect id="Rectangle 1270301383" o:spid="_x0000_s1175" style="position:absolute;left:4997;top:4253;width:24558;height:83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" fillcolor="white [3212]" strokecolor="black [3213]" strokeweight="1pt">
                  <v:textbox>
                    <w:txbxContent>
                      <w:p w14:paraId="4C2FA7DC" w14:textId="2D54E40A" w:rsidR="007A2D2F" w:rsidRPr="000A34EA" w:rsidRDefault="007A2D2F" w:rsidP="009760CB">
                        <w:pPr>
                          <w:pStyle w:val="2024-PRISMA"/>
                        </w:pPr>
                        <w:r w:rsidRPr="000A34EA">
                          <w:t>Records identified from:</w:t>
                        </w:r>
                      </w:p>
                      <w:p w14:paraId="5B478E25" w14:textId="0953DC2E" w:rsidR="007A2D2F" w:rsidRPr="000A34EA" w:rsidRDefault="007A2D2F" w:rsidP="009760CB">
                        <w:pPr>
                          <w:pStyle w:val="2024-PRISMA"/>
                        </w:pPr>
                        <w:r w:rsidRPr="000A34EA">
                          <w:t xml:space="preserve">Databases and registers (n = </w:t>
                        </w:r>
                        <w:r>
                          <w:t>17</w:t>
                        </w:r>
                        <w:r w:rsidRPr="000A34EA">
                          <w:t>)</w:t>
                        </w:r>
                      </w:p>
                      <w:p w14:paraId="6324F882" w14:textId="77777777" w:rsidR="007A2D2F" w:rsidRDefault="007A2D2F" w:rsidP="009760CB">
                        <w:pPr>
                          <w:pStyle w:val="2024-PRISMA"/>
                        </w:pPr>
                        <w:r w:rsidRPr="000A34EA">
                          <w:t>Manual</w:t>
                        </w:r>
                        <w:r>
                          <w:t xml:space="preserve"> or </w:t>
                        </w:r>
                        <w:r w:rsidRPr="000A34EA">
                          <w:t xml:space="preserve">citation </w:t>
                        </w:r>
                        <w:r>
                          <w:t xml:space="preserve">searching </w:t>
                        </w:r>
                        <w:r w:rsidRPr="000A34EA">
                          <w:t xml:space="preserve">(n = </w:t>
                        </w:r>
                        <w:r>
                          <w:t>0</w:t>
                        </w:r>
                        <w:r w:rsidRPr="000A34EA">
                          <w:t>)</w:t>
                        </w:r>
                      </w:p>
                      <w:p w14:paraId="1C5E6F9E" w14:textId="3B30E9A9" w:rsidR="007A2D2F" w:rsidRPr="000A34EA" w:rsidRDefault="007A2D2F" w:rsidP="009760CB">
                        <w:pPr>
                          <w:pStyle w:val="2024-PRISMA"/>
                        </w:pPr>
                        <w:r>
                          <w:t>Department’s call for evidence</w:t>
                        </w:r>
                        <w:r w:rsidRPr="000A34EA">
                          <w:t xml:space="preserve"> (n = </w:t>
                        </w:r>
                        <w:r w:rsidR="00D10874">
                          <w:t>0</w:t>
                        </w:r>
                        <w:r w:rsidRPr="000A34EA">
                          <w:t>)</w:t>
                        </w:r>
                      </w:p>
                    </w:txbxContent>
                  </v:textbox>
                </v:rect>
                <v:rect id="Rectangle 864261032" o:spid="_x0000_s1176" style="position:absolute;left:4997;top:15204;width:18872;height:52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" fillcolor="white [3212]" strokecolor="black [3213]" strokeweight="1pt">
                  <v:textbox>
                    <w:txbxContent>
                      <w:p w14:paraId="6DECB273" w14:textId="77777777" w:rsidR="007A2D2F" w:rsidRPr="000A34EA" w:rsidRDefault="007A2D2F" w:rsidP="009760CB">
                        <w:pPr>
                          <w:pStyle w:val="2024-PRISMA"/>
                        </w:pPr>
                        <w:r w:rsidRPr="000A34EA">
                          <w:t>Records screened</w:t>
                        </w:r>
                      </w:p>
                      <w:p w14:paraId="2C86CC81" w14:textId="345EC3B7" w:rsidR="007A2D2F" w:rsidRPr="000A34EA" w:rsidRDefault="007A2D2F" w:rsidP="009760CB">
                        <w:pPr>
                          <w:pStyle w:val="2024-PRISMA"/>
                        </w:pPr>
                        <w:r w:rsidRPr="000A34EA">
                          <w:t xml:space="preserve">(n = </w:t>
                        </w:r>
                        <w:r>
                          <w:t>17</w:t>
                        </w:r>
                        <w:r w:rsidRPr="000A34EA">
                          <w:t>)</w:t>
                        </w:r>
                      </w:p>
                    </w:txbxContent>
                  </v:textbox>
                </v:rect>
                <v:rect id="Rectangle 1421702225" o:spid="_x0000_s1177" style="position:absolute;left:4997;top:29771;width:18872;height:52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" fillcolor="white [3212]" strokecolor="black [3213]" strokeweight="1pt">
                  <v:textbox>
                    <w:txbxContent>
                      <w:p w14:paraId="4A604BE7" w14:textId="77777777" w:rsidR="007A2D2F" w:rsidRPr="000A34EA" w:rsidRDefault="007A2D2F" w:rsidP="009760CB">
                        <w:pPr>
                          <w:pStyle w:val="2024-PRISMA"/>
                        </w:pPr>
                        <w:r w:rsidRPr="000A34EA">
                          <w:t>Reports assessed for eligibility</w:t>
                        </w:r>
                      </w:p>
                      <w:p w14:paraId="6B4CAAFE" w14:textId="2028B522" w:rsidR="007A2D2F" w:rsidRPr="000A34EA" w:rsidRDefault="007A2D2F" w:rsidP="009760CB">
                        <w:pPr>
                          <w:pStyle w:val="2024-PRISMA"/>
                        </w:pPr>
                        <w:r w:rsidRPr="000A34EA">
                          <w:t xml:space="preserve">(n = </w:t>
                        </w:r>
                        <w:r w:rsidR="00D10874">
                          <w:t>2</w:t>
                        </w:r>
                        <w:r w:rsidRPr="000A34EA">
                          <w:t>)</w:t>
                        </w:r>
                      </w:p>
                    </w:txbxContent>
                  </v:textbox>
                </v:rect>
                <v:rect id="Rectangle 1173356210" o:spid="_x0000_s1178" style="position:absolute;left:4890;top:40403;width:18873;height:51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" fillcolor="white [3212]" strokecolor="black [3213]" strokeweight="1pt">
                  <v:textbox>
                    <w:txbxContent>
                      <w:p w14:paraId="7748B673" w14:textId="380C00CE" w:rsidR="007A2D2F" w:rsidRPr="000A34EA" w:rsidRDefault="00650A71" w:rsidP="009760CB">
                        <w:pPr>
                          <w:pStyle w:val="2024-PRISMA"/>
                        </w:pPr>
                        <w:r>
                          <w:t>R</w:t>
                        </w:r>
                        <w:r w:rsidR="00AB15DC">
                          <w:t>eviews</w:t>
                        </w:r>
                        <w:r w:rsidR="00AB15DC" w:rsidRPr="000A34EA">
                          <w:t xml:space="preserve"> </w:t>
                        </w:r>
                        <w:r w:rsidR="007A2D2F" w:rsidRPr="000A34EA">
                          <w:t xml:space="preserve">included in </w:t>
                        </w:r>
                        <w:r w:rsidR="00AB15DC">
                          <w:t>over</w:t>
                        </w:r>
                        <w:r w:rsidR="007A2D2F" w:rsidRPr="000A34EA">
                          <w:t>view</w:t>
                        </w:r>
                      </w:p>
                      <w:p w14:paraId="3B8C5470" w14:textId="77777777" w:rsidR="007A2D2F" w:rsidRPr="000A34EA" w:rsidRDefault="007A2D2F" w:rsidP="009760CB">
                        <w:pPr>
                          <w:pStyle w:val="2024-PRISMA"/>
                        </w:pPr>
                        <w:r w:rsidRPr="000A34EA">
                          <w:t xml:space="preserve">(n = </w:t>
                        </w:r>
                        <w:r>
                          <w:t>0</w:t>
                        </w:r>
                        <w:r w:rsidRPr="000A34EA">
                          <w:t>)</w:t>
                        </w:r>
                      </w:p>
                    </w:txbxContent>
                  </v:textbox>
                </v:rect>
                <v:rect id="Rectangle 598760588" o:spid="_x0000_s1179" style="position:absolute;left:4997;top:22434;width:18872;height:52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" fillcolor="white [3212]" strokecolor="black [3213]" strokeweight="1pt">
                  <v:textbox>
                    <w:txbxContent>
                      <w:p w14:paraId="11900D81" w14:textId="77777777" w:rsidR="007A2D2F" w:rsidRPr="000A34EA" w:rsidRDefault="007A2D2F" w:rsidP="009760CB">
                        <w:pPr>
                          <w:pStyle w:val="2024-PRISMA"/>
                        </w:pPr>
                        <w:r w:rsidRPr="000A34EA">
                          <w:t>Reports sought for retrieval</w:t>
                        </w:r>
                      </w:p>
                      <w:p w14:paraId="5E62C5E8" w14:textId="7731498C" w:rsidR="007A2D2F" w:rsidRPr="000A34EA" w:rsidRDefault="007A2D2F" w:rsidP="009760CB">
                        <w:pPr>
                          <w:pStyle w:val="2024-PRISMA"/>
                        </w:pPr>
                        <w:r w:rsidRPr="000A34EA">
                          <w:t xml:space="preserve">(n = </w:t>
                        </w:r>
                        <w:r w:rsidR="00D10874">
                          <w:t>2</w:t>
                        </w:r>
                        <w:r w:rsidRPr="000A34EA">
                          <w:t>)</w:t>
                        </w:r>
                      </w:p>
                    </w:txbxContent>
                  </v:textbox>
                </v:rect>
                <w10:wrap type="square"/>
              </v:group>
            </w:pict>
          </mc:Fallback>
        </mc:AlternateContent>
      </w:r>
      <w:r w:rsidR="003262BE" w:rsidRPr="001428E8">
        <w:t xml:space="preserve">Figure </w:t>
      </w:r>
      <w:r w:rsidR="003262BE" w:rsidRPr="001428E8">
        <w:fldChar w:fldCharType="begin"/>
      </w:r>
      <w:r w:rsidR="003262BE" w:rsidRPr="001428E8">
        <w:rPr>
          <w:b w:val="0"/>
          <w:i/>
        </w:rPr>
        <w:instrText xml:space="preserve"> SEQ Figure \* ARABIC </w:instrText>
      </w:r>
      <w:r w:rsidR="003262BE" w:rsidRPr="001428E8">
        <w:fldChar w:fldCharType="separate"/>
      </w:r>
      <w:r w:rsidR="002C256B">
        <w:rPr>
          <w:noProof/>
        </w:rPr>
        <w:t>7</w:t>
      </w:r>
      <w:r w:rsidR="003262BE" w:rsidRPr="001428E8">
        <w:fldChar w:fldCharType="end"/>
      </w:r>
      <w:r w:rsidR="007A2D2F" w:rsidRPr="0054775B">
        <w:t xml:space="preserve">. PRISMA flowchart </w:t>
      </w:r>
      <w:r w:rsidR="00EC791A" w:rsidRPr="0054775B">
        <w:t>−</w:t>
      </w:r>
      <w:r w:rsidR="00B52826" w:rsidRPr="0054775B">
        <w:t xml:space="preserve"> Premenstrual syndrome (PMS), Cruciferous indoles (indole-3-carbinol, di-indolylmethane)</w:t>
      </w:r>
      <w:bookmarkEnd w:id="94"/>
      <w:r w:rsidR="0004713C">
        <w:t xml:space="preserve"> </w:t>
      </w:r>
    </w:p>
    <w:p w14:paraId="13CBD084" w14:textId="77777777" w:rsidR="007A2D2F" w:rsidRPr="0054775B" w:rsidRDefault="007A2D2F" w:rsidP="009E6F7F">
      <w:pPr>
        <w:pStyle w:val="2024HEADER3"/>
        <w:rPr>
          <w:rFonts w:ascii="Aptos" w:hAnsi="Aptos"/>
        </w:rPr>
      </w:pPr>
      <w:r w:rsidRPr="0054775B">
        <w:rPr>
          <w:rFonts w:ascii="Aptos" w:hAnsi="Aptos"/>
        </w:rPr>
        <w:t>Description of included reviews</w:t>
      </w:r>
    </w:p>
    <w:p w14:paraId="785C627C" w14:textId="77777777" w:rsidR="007A2D2F" w:rsidRPr="0054775B" w:rsidRDefault="007A2D2F" w:rsidP="009E6F7F">
      <w:r w:rsidRPr="0054775B">
        <w:t>No reviews met inclusion criteria.</w:t>
      </w:r>
    </w:p>
    <w:p w14:paraId="0B3B1B3F" w14:textId="77777777" w:rsidR="007A2D2F" w:rsidRPr="0054775B" w:rsidRDefault="007A2D2F" w:rsidP="009E6F7F">
      <w:pPr>
        <w:pStyle w:val="2024HEADER3"/>
        <w:rPr>
          <w:rFonts w:ascii="Aptos" w:hAnsi="Aptos"/>
        </w:rPr>
      </w:pPr>
      <w:r w:rsidRPr="0054775B">
        <w:rPr>
          <w:rFonts w:ascii="Aptos" w:hAnsi="Aptos"/>
        </w:rPr>
        <w:t>Assessment of risk of bias of included systematic reviews</w:t>
      </w:r>
    </w:p>
    <w:p w14:paraId="7590FE73" w14:textId="77777777" w:rsidR="007A2D2F" w:rsidRPr="0054775B" w:rsidRDefault="007A2D2F" w:rsidP="009760CB">
      <w:r w:rsidRPr="0054775B">
        <w:t>No reviews met inclusion criteria.</w:t>
      </w:r>
    </w:p>
    <w:p w14:paraId="567E7551" w14:textId="77777777" w:rsidR="007A2D2F" w:rsidRPr="0054775B" w:rsidRDefault="007A2D2F" w:rsidP="009E6F7F">
      <w:pPr>
        <w:pStyle w:val="2024HEADER3"/>
        <w:rPr>
          <w:rFonts w:ascii="Aptos" w:hAnsi="Aptos"/>
        </w:rPr>
      </w:pPr>
      <w:r w:rsidRPr="0054775B">
        <w:rPr>
          <w:rFonts w:ascii="Aptos" w:hAnsi="Aptos"/>
        </w:rPr>
        <w:t xml:space="preserve">Results </w:t>
      </w:r>
    </w:p>
    <w:p w14:paraId="78E3F40D" w14:textId="25E01D3E" w:rsidR="007A2D2F" w:rsidRPr="0054775B" w:rsidRDefault="007A2D2F" w:rsidP="009760CB">
      <w:r w:rsidRPr="0054775B">
        <w:t>No reviews met inclusion criteria.</w:t>
      </w:r>
    </w:p>
    <w:p w14:paraId="306A6A90" w14:textId="77777777" w:rsidR="007A2D2F" w:rsidRPr="0054775B" w:rsidRDefault="007A2D2F" w:rsidP="009E6F7F">
      <w:pPr>
        <w:pStyle w:val="2024HEADER3"/>
        <w:rPr>
          <w:rFonts w:ascii="Aptos" w:hAnsi="Aptos"/>
        </w:rPr>
      </w:pPr>
      <w:r w:rsidRPr="0054775B">
        <w:rPr>
          <w:rFonts w:ascii="Aptos" w:hAnsi="Aptos"/>
        </w:rPr>
        <w:t>Summary of findings and evidence statements</w:t>
      </w:r>
    </w:p>
    <w:p w14:paraId="76064091" w14:textId="679417B1" w:rsidR="00726129" w:rsidRPr="0054775B" w:rsidRDefault="00726129" w:rsidP="009E6F7F">
      <w:r w:rsidRPr="0054775B">
        <w:t xml:space="preserve">The effect of cruciferous indoles on </w:t>
      </w:r>
      <w:r w:rsidR="003A77AA" w:rsidRPr="0054775B">
        <w:t xml:space="preserve">global improvement in PMS or premenstrual/luteal phase symptoms, global pain burden, behavioural changes, mood swings or lability, physical function burden from PMS (bloating, appetite changes, food cravings, dizziness, vertigo, nausea, breast tenderness/soreness), quality of life, change in severity of individual symptoms or cognitive function burden from PMS </w:t>
      </w:r>
      <w:r w:rsidRPr="0054775B">
        <w:t xml:space="preserve">in people with </w:t>
      </w:r>
      <w:r w:rsidR="003A77AA" w:rsidRPr="0054775B">
        <w:t>PMS</w:t>
      </w:r>
      <w:r w:rsidRPr="0054775B">
        <w:t xml:space="preserve"> is unknown.</w:t>
      </w:r>
    </w:p>
    <w:p w14:paraId="082F53C6" w14:textId="77777777" w:rsidR="002F03F2" w:rsidRPr="0054775B" w:rsidRDefault="002F03F2">
      <w:pPr>
        <w:spacing w:before="0" w:after="160" w:line="259" w:lineRule="auto"/>
        <w:rPr>
          <w:b/>
          <w:bCs/>
          <w:color w:val="C00000"/>
          <w:spacing w:val="-2"/>
          <w:w w:val="105"/>
          <w:sz w:val="28"/>
          <w:szCs w:val="28"/>
        </w:rPr>
      </w:pPr>
      <w:r w:rsidRPr="0054775B">
        <w:br w:type="page"/>
      </w:r>
    </w:p>
    <w:p w14:paraId="074112DB" w14:textId="53BCAC6A" w:rsidR="00764746" w:rsidRPr="0054775B" w:rsidRDefault="00980972" w:rsidP="00F9201F">
      <w:pPr>
        <w:pStyle w:val="2024HEADER2"/>
      </w:pPr>
      <w:bookmarkStart w:id="95" w:name="_Toc179379623"/>
      <w:r w:rsidRPr="0054775B">
        <w:lastRenderedPageBreak/>
        <w:t xml:space="preserve">Atopic disorders (including eczema, dermatitis, allergic rhinitis, allergies), </w:t>
      </w:r>
      <w:r w:rsidR="0012437F" w:rsidRPr="0054775B">
        <w:t>Z</w:t>
      </w:r>
      <w:r w:rsidRPr="0054775B">
        <w:t>inc</w:t>
      </w:r>
      <w:bookmarkEnd w:id="95"/>
    </w:p>
    <w:p w14:paraId="6A6D889C" w14:textId="77777777" w:rsidR="008308E9" w:rsidRPr="0054775B" w:rsidRDefault="008308E9" w:rsidP="009E6F7F">
      <w:pPr>
        <w:pStyle w:val="2024HEADER3"/>
        <w:rPr>
          <w:rFonts w:ascii="Aptos" w:hAnsi="Aptos"/>
        </w:rPr>
      </w:pPr>
      <w:r w:rsidRPr="0054775B">
        <w:rPr>
          <w:rFonts w:ascii="Aptos" w:hAnsi="Aptos"/>
        </w:rPr>
        <w:t>Description of condition</w:t>
      </w:r>
    </w:p>
    <w:p w14:paraId="257FB649" w14:textId="0A0B6978" w:rsidR="006B5FBC" w:rsidRPr="0054775B" w:rsidRDefault="001260AC" w:rsidP="009E6F7F">
      <w:r w:rsidRPr="0054775B">
        <w:t xml:space="preserve">Atopic disorders </w:t>
      </w:r>
      <w:r w:rsidR="00210973" w:rsidRPr="0054775B">
        <w:t>are</w:t>
      </w:r>
      <w:r w:rsidRPr="0054775B">
        <w:t xml:space="preserve"> a group of conditions </w:t>
      </w:r>
      <w:r w:rsidR="00B57856" w:rsidRPr="0054775B">
        <w:t xml:space="preserve">primarily </w:t>
      </w:r>
      <w:r w:rsidRPr="0054775B">
        <w:t>characteri</w:t>
      </w:r>
      <w:r w:rsidR="003A77AA" w:rsidRPr="0054775B">
        <w:t>s</w:t>
      </w:r>
      <w:r w:rsidRPr="0054775B">
        <w:t xml:space="preserve">ed by </w:t>
      </w:r>
      <w:r w:rsidR="005D068B" w:rsidRPr="0054775B">
        <w:t>a sensitivity to allergic</w:t>
      </w:r>
      <w:r w:rsidR="0050139D" w:rsidRPr="0054775B">
        <w:t xml:space="preserve"> reactions. </w:t>
      </w:r>
      <w:r w:rsidR="008744B5" w:rsidRPr="0054775B">
        <w:t>This is typically a result of production of immunoglobulin E (IgE) antibodies in response to environmental allergens</w:t>
      </w:r>
      <w:r w:rsidR="0084379D" w:rsidRPr="0054775B">
        <w:t xml:space="preserve"> </w:t>
      </w:r>
      <w:r w:rsidR="00F54937">
        <w:rPr>
          <w:noProof/>
        </w:rPr>
        <w:t>(127)</w:t>
      </w:r>
      <w:r w:rsidR="008744B5" w:rsidRPr="0054775B">
        <w:t xml:space="preserve">. </w:t>
      </w:r>
      <w:r w:rsidR="007A41E7" w:rsidRPr="0054775B">
        <w:t xml:space="preserve">The aetiology of </w:t>
      </w:r>
      <w:r w:rsidR="009760CB" w:rsidRPr="0054775B">
        <w:t>a</w:t>
      </w:r>
      <w:r w:rsidR="007A41E7" w:rsidRPr="0054775B">
        <w:t xml:space="preserve">topic </w:t>
      </w:r>
      <w:r w:rsidR="009760CB" w:rsidRPr="0054775B">
        <w:t>disorders</w:t>
      </w:r>
      <w:r w:rsidR="007A41E7" w:rsidRPr="0054775B">
        <w:t xml:space="preserve"> is largely unknown, though evidence suggests </w:t>
      </w:r>
      <w:r w:rsidR="006D38EA" w:rsidRPr="0054775B">
        <w:t xml:space="preserve">the influence of </w:t>
      </w:r>
      <w:r w:rsidR="007A41E7" w:rsidRPr="0054775B">
        <w:t>genetic factors</w:t>
      </w:r>
      <w:r w:rsidR="00BA5696" w:rsidRPr="0054775B">
        <w:t xml:space="preserve"> </w:t>
      </w:r>
      <w:r w:rsidR="00F54937">
        <w:rPr>
          <w:noProof/>
        </w:rPr>
        <w:t>(128)</w:t>
      </w:r>
      <w:r w:rsidR="006D38EA" w:rsidRPr="0054775B">
        <w:t xml:space="preserve">. </w:t>
      </w:r>
      <w:r w:rsidR="0050139D" w:rsidRPr="0054775B">
        <w:t>Major subtypes of atopic disorders include atopic dermatitis, eczema, allergic rhinitis (hay fever), asthma, and food allergies</w:t>
      </w:r>
      <w:r w:rsidR="001B3CBC" w:rsidRPr="0054775B">
        <w:t>.</w:t>
      </w:r>
      <w:r w:rsidR="002B153F" w:rsidRPr="0054775B">
        <w:t xml:space="preserve"> Symptoms vary depending on the specific subtype but commonly involve skin inflammation (eczema), nasal congestion and sneezing (allergic rhinitis), wheezing and shortness of breath (asthma), and a range of reactions to food allergens</w:t>
      </w:r>
      <w:r w:rsidR="00237B98" w:rsidRPr="0054775B">
        <w:t xml:space="preserve">, including </w:t>
      </w:r>
      <w:r w:rsidR="00237B98" w:rsidRPr="0054775B">
        <w:rPr>
          <w:color w:val="000000"/>
          <w:shd w:val="clear" w:color="auto" w:fill="FFFFFF"/>
        </w:rPr>
        <w:t>systemic anaphylaxis and hypotension</w:t>
      </w:r>
      <w:r w:rsidR="00237B98" w:rsidRPr="0054775B">
        <w:t xml:space="preserve"> </w:t>
      </w:r>
      <w:r w:rsidR="00F54937">
        <w:rPr>
          <w:noProof/>
        </w:rPr>
        <w:t>(128)</w:t>
      </w:r>
      <w:r w:rsidR="002B153F" w:rsidRPr="0054775B">
        <w:t>.</w:t>
      </w:r>
      <w:r w:rsidR="00FD0926" w:rsidRPr="0054775B">
        <w:t xml:space="preserve"> </w:t>
      </w:r>
      <w:r w:rsidR="006B5FBC" w:rsidRPr="0054775B">
        <w:t>While incurable, their presentation can change over time.</w:t>
      </w:r>
    </w:p>
    <w:p w14:paraId="23CC5B78" w14:textId="79636FCC" w:rsidR="001260AC" w:rsidRPr="0054775B" w:rsidRDefault="006B5FBC" w:rsidP="009E6F7F">
      <w:r w:rsidRPr="0054775B">
        <w:t xml:space="preserve">Atopic disorders can significantly impact physical health, quality of life, and mental well-being. They are also correlated with </w:t>
      </w:r>
      <w:r w:rsidR="00243752" w:rsidRPr="0054775B">
        <w:t xml:space="preserve">other conditions, including </w:t>
      </w:r>
      <w:r w:rsidRPr="0054775B">
        <w:t xml:space="preserve">psychological stress and depression </w:t>
      </w:r>
      <w:r w:rsidR="00F54937">
        <w:rPr>
          <w:noProof/>
        </w:rPr>
        <w:t>(129, 130)</w:t>
      </w:r>
      <w:r w:rsidRPr="0054775B">
        <w:t xml:space="preserve">. </w:t>
      </w:r>
      <w:r w:rsidR="001260AC" w:rsidRPr="0054775B">
        <w:t xml:space="preserve">Atopic disorders are diagnosed based on a comprehensive evaluation including clinical history, physical examination, and potentially diagnostic testing such as skin prick tests or </w:t>
      </w:r>
      <w:r w:rsidR="001B3CBC" w:rsidRPr="0054775B">
        <w:t>allergen-specific</w:t>
      </w:r>
      <w:r w:rsidR="001260AC" w:rsidRPr="0054775B">
        <w:t xml:space="preserve"> IgE blood tests </w:t>
      </w:r>
      <w:r w:rsidR="00F54937">
        <w:rPr>
          <w:noProof/>
        </w:rPr>
        <w:t>(128)</w:t>
      </w:r>
      <w:r w:rsidR="00FD0926" w:rsidRPr="0054775B">
        <w:t>.</w:t>
      </w:r>
      <w:r w:rsidR="001260AC" w:rsidRPr="0054775B">
        <w:t xml:space="preserve"> </w:t>
      </w:r>
      <w:r w:rsidRPr="0054775B">
        <w:t xml:space="preserve">Treatment of these conditions often consists of environmental control (to reduce exposure to allergens) and pharmacological interventions </w:t>
      </w:r>
      <w:r w:rsidR="00F54937">
        <w:rPr>
          <w:noProof/>
        </w:rPr>
        <w:t>(128)</w:t>
      </w:r>
      <w:r w:rsidRPr="0054775B">
        <w:t>.</w:t>
      </w:r>
    </w:p>
    <w:p w14:paraId="071EA7E9" w14:textId="77777777" w:rsidR="008308E9" w:rsidRPr="0054775B" w:rsidRDefault="008308E9" w:rsidP="009E6F7F">
      <w:pPr>
        <w:pStyle w:val="2024HEADER3"/>
        <w:rPr>
          <w:rFonts w:ascii="Aptos" w:hAnsi="Aptos"/>
        </w:rPr>
      </w:pPr>
      <w:r w:rsidRPr="0054775B">
        <w:rPr>
          <w:rFonts w:ascii="Aptos" w:hAnsi="Aptos"/>
        </w:rPr>
        <w:t>Description of the intervention</w:t>
      </w:r>
    </w:p>
    <w:p w14:paraId="209EECBF" w14:textId="32A5ECFD" w:rsidR="00F479B4" w:rsidRPr="0054775B" w:rsidRDefault="00833CAB" w:rsidP="009E6F7F">
      <w:r w:rsidRPr="0054775B">
        <w:t>Zinc (Zn) is an essential trace mineral</w:t>
      </w:r>
      <w:r w:rsidR="00C91D5E" w:rsidRPr="0054775B">
        <w:t xml:space="preserve"> </w:t>
      </w:r>
      <w:r w:rsidRPr="0054775B">
        <w:t>required by the human body in small amounts</w:t>
      </w:r>
      <w:r w:rsidR="004052DD" w:rsidRPr="0054775B">
        <w:t xml:space="preserve">. Zinc </w:t>
      </w:r>
      <w:r w:rsidRPr="0054775B">
        <w:t>plays crucial physiological roles</w:t>
      </w:r>
      <w:r w:rsidR="004052DD" w:rsidRPr="0054775B">
        <w:t>, serving</w:t>
      </w:r>
      <w:r w:rsidRPr="0054775B">
        <w:t xml:space="preserve"> as a cofactor for numerous enzymes involved in diverse processes including DNA synthesis, immune function, wound healing, and growth and development </w:t>
      </w:r>
      <w:r w:rsidR="00F54937">
        <w:rPr>
          <w:noProof/>
        </w:rPr>
        <w:t>(131, 132)</w:t>
      </w:r>
      <w:r w:rsidR="005D6ADF" w:rsidRPr="0054775B">
        <w:t xml:space="preserve">. </w:t>
      </w:r>
      <w:r w:rsidR="004052DD" w:rsidRPr="0054775B">
        <w:t>Z</w:t>
      </w:r>
      <w:r w:rsidR="00B3329C" w:rsidRPr="0054775B">
        <w:t>inc is found in most tissues</w:t>
      </w:r>
      <w:r w:rsidR="004052DD" w:rsidRPr="0054775B">
        <w:t>,</w:t>
      </w:r>
      <w:r w:rsidR="00B3329C" w:rsidRPr="0054775B">
        <w:t xml:space="preserve"> but is particularly concentrated in bones, muscles, the prostate gland, and the eyes </w:t>
      </w:r>
      <w:r w:rsidR="00F54937">
        <w:rPr>
          <w:noProof/>
        </w:rPr>
        <w:t>(132)</w:t>
      </w:r>
      <w:r w:rsidR="006E1C17" w:rsidRPr="0054775B">
        <w:t xml:space="preserve">. </w:t>
      </w:r>
      <w:r w:rsidR="00B3329C" w:rsidRPr="0054775B">
        <w:t xml:space="preserve">The body cannot </w:t>
      </w:r>
      <w:r w:rsidR="00433C16" w:rsidRPr="0054775B">
        <w:t>manufacture</w:t>
      </w:r>
      <w:r w:rsidR="00B3329C" w:rsidRPr="0054775B">
        <w:t xml:space="preserve"> zinc, </w:t>
      </w:r>
      <w:r w:rsidR="004052DD" w:rsidRPr="0054775B">
        <w:t xml:space="preserve">and so </w:t>
      </w:r>
      <w:r w:rsidR="005F7701" w:rsidRPr="0054775B">
        <w:t xml:space="preserve">intake via diet or supplementation to maintain adequate levels is needed. </w:t>
      </w:r>
      <w:r w:rsidRPr="0054775B">
        <w:t>Zinc is naturally found in various foods, including</w:t>
      </w:r>
      <w:r w:rsidR="005F7701" w:rsidRPr="0054775B">
        <w:t xml:space="preserve"> a</w:t>
      </w:r>
      <w:r w:rsidRPr="0054775B">
        <w:t>nimal sources</w:t>
      </w:r>
      <w:r w:rsidR="005F7701" w:rsidRPr="0054775B">
        <w:t xml:space="preserve"> (o</w:t>
      </w:r>
      <w:r w:rsidRPr="0054775B">
        <w:t>ysters, red meat, poultry, and seafood</w:t>
      </w:r>
      <w:r w:rsidR="005F7701" w:rsidRPr="0054775B">
        <w:t>), p</w:t>
      </w:r>
      <w:r w:rsidRPr="0054775B">
        <w:t>lant sources</w:t>
      </w:r>
      <w:r w:rsidR="005F7701" w:rsidRPr="0054775B">
        <w:t xml:space="preserve"> (l</w:t>
      </w:r>
      <w:r w:rsidRPr="0054775B">
        <w:t>egumes</w:t>
      </w:r>
      <w:r w:rsidR="005F7701" w:rsidRPr="0054775B">
        <w:t>,</w:t>
      </w:r>
      <w:r w:rsidRPr="0054775B">
        <w:t xml:space="preserve"> nuts, seeds, and whole grains</w:t>
      </w:r>
      <w:r w:rsidR="005F7701" w:rsidRPr="0054775B">
        <w:t>) and f</w:t>
      </w:r>
      <w:r w:rsidRPr="0054775B">
        <w:t>ortified foods</w:t>
      </w:r>
      <w:r w:rsidR="005F7701" w:rsidRPr="0054775B">
        <w:t xml:space="preserve"> (s</w:t>
      </w:r>
      <w:r w:rsidRPr="0054775B">
        <w:t>ome breakfast cereals and other processed products</w:t>
      </w:r>
      <w:r w:rsidR="005F7701" w:rsidRPr="0054775B">
        <w:t xml:space="preserve">). </w:t>
      </w:r>
      <w:r w:rsidR="00433C16" w:rsidRPr="0054775B">
        <w:t>It</w:t>
      </w:r>
      <w:r w:rsidRPr="0054775B">
        <w:t xml:space="preserve"> is also available in dietary supplements, often in the forms of zinc gluconate, zinc sul</w:t>
      </w:r>
      <w:r w:rsidR="00EB1DE9">
        <w:t>ph</w:t>
      </w:r>
      <w:r w:rsidRPr="0054775B">
        <w:t xml:space="preserve">ate, or zinc citrate </w:t>
      </w:r>
      <w:r w:rsidR="005F7701" w:rsidRPr="0054775B">
        <w:t xml:space="preserve">and </w:t>
      </w:r>
      <w:r w:rsidR="00F479B4" w:rsidRPr="0054775B">
        <w:t>typically taken orally in capsule, tablet, or liquid form</w:t>
      </w:r>
      <w:r w:rsidR="00E820F5" w:rsidRPr="0054775B">
        <w:t xml:space="preserve"> </w:t>
      </w:r>
      <w:r w:rsidR="00F54937">
        <w:rPr>
          <w:noProof/>
        </w:rPr>
        <w:t>(131)</w:t>
      </w:r>
      <w:r w:rsidR="00F479B4" w:rsidRPr="0054775B">
        <w:t xml:space="preserve">. </w:t>
      </w:r>
      <w:r w:rsidR="005F7701" w:rsidRPr="0054775B">
        <w:t>T</w:t>
      </w:r>
      <w:r w:rsidR="00F479B4" w:rsidRPr="0054775B">
        <w:t xml:space="preserve">he recommended dietary </w:t>
      </w:r>
      <w:r w:rsidR="00824B38" w:rsidRPr="0054775B">
        <w:t xml:space="preserve">intake </w:t>
      </w:r>
      <w:r w:rsidR="00F479B4" w:rsidRPr="0054775B">
        <w:t>for zinc varies depending on age and sex, but generally ranges from 8-1</w:t>
      </w:r>
      <w:r w:rsidR="00306BCC" w:rsidRPr="0054775B">
        <w:t>4</w:t>
      </w:r>
      <w:r w:rsidR="00F479B4" w:rsidRPr="0054775B">
        <w:t xml:space="preserve"> mg daily for adults</w:t>
      </w:r>
      <w:r w:rsidR="00306BCC" w:rsidRPr="0054775B">
        <w:t xml:space="preserve"> </w:t>
      </w:r>
      <w:r w:rsidR="00A61385">
        <w:rPr>
          <w:noProof/>
        </w:rPr>
        <w:t>(19)</w:t>
      </w:r>
      <w:r w:rsidR="00824B38" w:rsidRPr="0054775B">
        <w:t>.</w:t>
      </w:r>
      <w:r w:rsidR="00E820F5" w:rsidRPr="0054775B">
        <w:t xml:space="preserve"> </w:t>
      </w:r>
      <w:r w:rsidR="00F479B4" w:rsidRPr="0054775B">
        <w:t xml:space="preserve">Zinc supplements often provide </w:t>
      </w:r>
      <w:r w:rsidR="00433C16" w:rsidRPr="0054775B">
        <w:t xml:space="preserve">slightly </w:t>
      </w:r>
      <w:r w:rsidR="00F479B4" w:rsidRPr="0054775B">
        <w:t>higher doses</w:t>
      </w:r>
      <w:r w:rsidR="00433C16" w:rsidRPr="0054775B">
        <w:t xml:space="preserve"> than </w:t>
      </w:r>
      <w:r w:rsidR="00542521">
        <w:t>Recommended Dietary Intakes (</w:t>
      </w:r>
      <w:r w:rsidR="00900BE4">
        <w:t>RDI</w:t>
      </w:r>
      <w:r w:rsidR="00542521">
        <w:t>)</w:t>
      </w:r>
      <w:r w:rsidR="00433C16" w:rsidRPr="0054775B">
        <w:t>. This is generally safe,</w:t>
      </w:r>
      <w:r w:rsidR="00F479B4" w:rsidRPr="0054775B">
        <w:t xml:space="preserve"> though excessive intake can lead to gastrointestinal issues and may interfere with the absorption of other minerals. </w:t>
      </w:r>
    </w:p>
    <w:p w14:paraId="49591C1A" w14:textId="4CB3E23B" w:rsidR="00E528BE" w:rsidRPr="0054775B" w:rsidRDefault="009A15B5" w:rsidP="009E6F7F">
      <w:r w:rsidRPr="0054775B">
        <w:t>Zinc contributes to cellular respiration through carbonic anhydrase, supports immune functions, aids in protein synthesis, facilitates wound healing, participates in DNA synthesis, and plays a role in cell division</w:t>
      </w:r>
      <w:r w:rsidR="008A6BAF" w:rsidRPr="0054775B">
        <w:t xml:space="preserve"> </w:t>
      </w:r>
      <w:r w:rsidR="00F54937">
        <w:rPr>
          <w:noProof/>
        </w:rPr>
        <w:t>(133)</w:t>
      </w:r>
      <w:r w:rsidR="00551286" w:rsidRPr="0054775B">
        <w:t xml:space="preserve">. </w:t>
      </w:r>
      <w:r w:rsidR="00A13EB7" w:rsidRPr="0054775B">
        <w:t>Activation of T lymphocytes, as well as the differentiation of helper lymphocytes (Th) into their various subgroups (Th1, Th2, Th17, regulatory T cells) depend on zinc homeostasis</w:t>
      </w:r>
      <w:r w:rsidR="008A6BAF" w:rsidRPr="0054775B">
        <w:t xml:space="preserve"> </w:t>
      </w:r>
      <w:r w:rsidR="00F54937">
        <w:rPr>
          <w:noProof/>
        </w:rPr>
        <w:t>(134)</w:t>
      </w:r>
      <w:r w:rsidR="00A13EB7" w:rsidRPr="0054775B">
        <w:t xml:space="preserve">. </w:t>
      </w:r>
      <w:r w:rsidR="007628B4" w:rsidRPr="0054775B">
        <w:t xml:space="preserve">Because </w:t>
      </w:r>
      <w:r w:rsidR="00551286" w:rsidRPr="0054775B">
        <w:t>z</w:t>
      </w:r>
      <w:r w:rsidR="00D66AD3" w:rsidRPr="0054775B">
        <w:t>inc</w:t>
      </w:r>
      <w:r w:rsidR="00E30410">
        <w:t xml:space="preserve"> ha</w:t>
      </w:r>
      <w:r w:rsidR="00D66AD3" w:rsidRPr="0054775B">
        <w:t xml:space="preserve">s </w:t>
      </w:r>
      <w:r w:rsidR="00301EC9" w:rsidRPr="0054775B">
        <w:t>many</w:t>
      </w:r>
      <w:r w:rsidR="00FC06C3" w:rsidRPr="0054775B">
        <w:t xml:space="preserve"> action</w:t>
      </w:r>
      <w:r w:rsidR="00301EC9" w:rsidRPr="0054775B">
        <w:t>s</w:t>
      </w:r>
      <w:r w:rsidR="00FC06C3" w:rsidRPr="0054775B">
        <w:t>, zinc</w:t>
      </w:r>
      <w:r w:rsidR="00C0368E" w:rsidRPr="0054775B">
        <w:t xml:space="preserve"> </w:t>
      </w:r>
      <w:r w:rsidR="00301EC9" w:rsidRPr="0054775B">
        <w:t>concentration</w:t>
      </w:r>
      <w:r w:rsidR="00FC06C3" w:rsidRPr="0054775B">
        <w:t xml:space="preserve"> </w:t>
      </w:r>
      <w:r w:rsidR="00C0368E" w:rsidRPr="0054775B">
        <w:t xml:space="preserve">could affect </w:t>
      </w:r>
      <w:r w:rsidR="00FC06C3" w:rsidRPr="0054775B">
        <w:t>the pathogenesis of inflammatory and autoimmune diseases</w:t>
      </w:r>
      <w:r w:rsidR="00762322" w:rsidRPr="0054775B">
        <w:t xml:space="preserve"> and increased intake could improve symptoms</w:t>
      </w:r>
      <w:r w:rsidR="00FC06C3" w:rsidRPr="0054775B">
        <w:t xml:space="preserve">. </w:t>
      </w:r>
    </w:p>
    <w:p w14:paraId="75B87839" w14:textId="77777777" w:rsidR="00AB15DC" w:rsidRDefault="00AB15DC">
      <w:pPr>
        <w:spacing w:before="0" w:after="160" w:line="259" w:lineRule="auto"/>
      </w:pPr>
      <w:r>
        <w:br w:type="page"/>
      </w:r>
    </w:p>
    <w:p w14:paraId="3C721592" w14:textId="77777777" w:rsidR="00E528BE" w:rsidRPr="0054775B" w:rsidRDefault="00E528BE" w:rsidP="009E6F7F"/>
    <w:p w14:paraId="3E1C43F3" w14:textId="77777777" w:rsidR="008308E9" w:rsidRPr="0054775B" w:rsidRDefault="008308E9" w:rsidP="009E6F7F">
      <w:pPr>
        <w:pStyle w:val="2024HEADER3"/>
        <w:rPr>
          <w:rFonts w:ascii="Aptos" w:hAnsi="Aptos"/>
        </w:rPr>
      </w:pPr>
      <w:r w:rsidRPr="0054775B">
        <w:rPr>
          <w:rFonts w:ascii="Aptos" w:hAnsi="Aptos"/>
        </w:rPr>
        <w:t>Prioritised outcomes</w:t>
      </w:r>
    </w:p>
    <w:p w14:paraId="0B8E10E1" w14:textId="5E2367DD" w:rsidR="00614870" w:rsidRPr="0054775B" w:rsidRDefault="00614870" w:rsidP="009E6F7F">
      <w:r w:rsidRPr="0054775B">
        <w:t xml:space="preserve">Five </w:t>
      </w:r>
      <w:r w:rsidR="00933393" w:rsidRPr="0054775B">
        <w:t xml:space="preserve">priority outcomes were </w:t>
      </w:r>
      <w:r w:rsidR="007F404D" w:rsidRPr="0054775B">
        <w:t xml:space="preserve">identified by NTWC as part of the Outcome Prioritisation Exercise. These are listed below by order of priority. </w:t>
      </w:r>
      <w:r w:rsidR="00933393" w:rsidRPr="0054775B">
        <w:t>Outcomes were rated by their importance to decision-making, with those rated 7-9 being critical for decision-making</w:t>
      </w:r>
      <w:r w:rsidRPr="0054775B">
        <w:t xml:space="preserve">. </w:t>
      </w:r>
    </w:p>
    <w:p w14:paraId="388CFCEF" w14:textId="2DBF8E01" w:rsidR="00764746" w:rsidRPr="0054775B" w:rsidRDefault="00846BEA" w:rsidP="009760CB">
      <w:pPr>
        <w:pStyle w:val="2024TABLECAPTION"/>
        <w:rPr>
          <w:rFonts w:ascii="Aptos" w:hAnsi="Aptos"/>
        </w:rPr>
      </w:pPr>
      <w:bookmarkStart w:id="96" w:name="_Toc185261603"/>
      <w:r w:rsidRPr="0054775B">
        <w:rPr>
          <w:rFonts w:ascii="Aptos" w:hAnsi="Aptos"/>
        </w:rPr>
        <w:t xml:space="preserve">Table </w:t>
      </w:r>
      <w:r w:rsidR="002F1F6C" w:rsidRPr="0054775B">
        <w:rPr>
          <w:rFonts w:ascii="Aptos" w:hAnsi="Aptos"/>
        </w:rPr>
        <w:fldChar w:fldCharType="begin"/>
      </w:r>
      <w:r w:rsidR="002F1F6C" w:rsidRPr="0054775B">
        <w:rPr>
          <w:rFonts w:ascii="Aptos" w:hAnsi="Aptos"/>
        </w:rPr>
        <w:instrText xml:space="preserve"> SEQ Table \* ARABIC </w:instrText>
      </w:r>
      <w:r w:rsidR="002F1F6C" w:rsidRPr="0054775B">
        <w:rPr>
          <w:rFonts w:ascii="Aptos" w:hAnsi="Aptos"/>
        </w:rPr>
        <w:fldChar w:fldCharType="separate"/>
      </w:r>
      <w:r w:rsidR="00CB3AAD" w:rsidRPr="0054775B" w:rsidDel="004E7C54">
        <w:rPr>
          <w:rFonts w:ascii="Aptos" w:hAnsi="Aptos"/>
          <w:noProof/>
        </w:rPr>
        <w:t>25</w:t>
      </w:r>
      <w:r w:rsidR="002F1F6C" w:rsidRPr="0054775B">
        <w:rPr>
          <w:rFonts w:ascii="Aptos" w:hAnsi="Aptos"/>
          <w:noProof/>
        </w:rPr>
        <w:fldChar w:fldCharType="end"/>
      </w:r>
      <w:r w:rsidRPr="0054775B">
        <w:rPr>
          <w:rFonts w:ascii="Aptos" w:hAnsi="Aptos"/>
        </w:rPr>
        <w:t xml:space="preserve">. </w:t>
      </w:r>
      <w:r w:rsidR="00764746" w:rsidRPr="0054775B">
        <w:rPr>
          <w:rFonts w:ascii="Aptos" w:hAnsi="Aptos"/>
        </w:rPr>
        <w:t xml:space="preserve">List of prioritised outcomes – </w:t>
      </w:r>
      <w:r w:rsidR="0012519F" w:rsidRPr="0054775B">
        <w:rPr>
          <w:rFonts w:ascii="Aptos" w:hAnsi="Aptos"/>
        </w:rPr>
        <w:t>a</w:t>
      </w:r>
      <w:r w:rsidR="0012437F" w:rsidRPr="0054775B">
        <w:rPr>
          <w:rFonts w:ascii="Aptos" w:hAnsi="Aptos"/>
        </w:rPr>
        <w:t xml:space="preserve">topic disorders (including eczema, dermatitis, allergic rhinitis, allergies), </w:t>
      </w:r>
      <w:r w:rsidR="0012519F" w:rsidRPr="0054775B">
        <w:rPr>
          <w:rFonts w:ascii="Aptos" w:hAnsi="Aptos"/>
        </w:rPr>
        <w:t>z</w:t>
      </w:r>
      <w:r w:rsidR="0012437F" w:rsidRPr="0054775B">
        <w:rPr>
          <w:rFonts w:ascii="Aptos" w:hAnsi="Aptos"/>
        </w:rPr>
        <w:t xml:space="preserve">inc </w:t>
      </w:r>
      <w:r w:rsidR="00764746" w:rsidRPr="0054775B">
        <w:rPr>
          <w:rFonts w:ascii="Aptos" w:hAnsi="Aptos"/>
        </w:rPr>
        <w:t>(as assessed as part of the Outcome Prioritisation Exercise by NTWC).</w:t>
      </w:r>
      <w:bookmarkEnd w:id="96"/>
      <w:r w:rsidR="00764746" w:rsidRPr="0054775B">
        <w:rPr>
          <w:rFonts w:ascii="Aptos" w:hAnsi="Aptos"/>
        </w:rPr>
        <w:t> </w:t>
      </w:r>
    </w:p>
    <w:tbl>
      <w:tblPr>
        <w:tblW w:w="9209" w:type="dxa"/>
        <w:tblCellMar>
          <w:top w:w="28" w:type="dxa"/>
          <w:left w:w="57" w:type="dxa"/>
          <w:bottom w:w="28" w:type="dxa"/>
          <w:right w:w="28" w:type="dxa"/>
        </w:tblCellMar>
        <w:tblLook w:val="04A0" w:firstRow="1" w:lastRow="0" w:firstColumn="1" w:lastColumn="0" w:noHBand="0" w:noVBand="1"/>
      </w:tblPr>
      <w:tblGrid>
        <w:gridCol w:w="333"/>
        <w:gridCol w:w="1472"/>
        <w:gridCol w:w="1194"/>
        <w:gridCol w:w="756"/>
        <w:gridCol w:w="5454"/>
      </w:tblGrid>
      <w:tr w:rsidR="00A70B1C" w:rsidRPr="0054775B" w14:paraId="5892D2E0" w14:textId="77777777" w:rsidTr="00562A58">
        <w:trPr>
          <w:trHeight w:val="95"/>
        </w:trPr>
        <w:tc>
          <w:tcPr>
            <w:tcW w:w="0" w:type="auto"/>
            <w:vMerge w:val="restart"/>
            <w:tcBorders>
              <w:top w:val="single" w:sz="4" w:space="0" w:color="auto"/>
              <w:left w:val="single" w:sz="4" w:space="0" w:color="auto"/>
              <w:right w:val="single" w:sz="4" w:space="0" w:color="auto"/>
            </w:tcBorders>
            <w:shd w:val="clear" w:color="auto" w:fill="D9D9D9" w:themeFill="background1" w:themeFillShade="D9"/>
            <w:vAlign w:val="center"/>
            <w:hideMark/>
          </w:tcPr>
          <w:p w14:paraId="13D02B94" w14:textId="77777777" w:rsidR="00816677" w:rsidRPr="0054775B" w:rsidRDefault="00816677" w:rsidP="00515FE7">
            <w:pPr>
              <w:pStyle w:val="2024TABLEHEADER"/>
            </w:pPr>
            <w:r w:rsidRPr="0054775B">
              <w:t> #</w:t>
            </w:r>
          </w:p>
        </w:tc>
        <w:tc>
          <w:tcPr>
            <w:tcW w:w="1489" w:type="dxa"/>
            <w:vMerge w:val="restart"/>
            <w:tcBorders>
              <w:top w:val="single" w:sz="4" w:space="0" w:color="auto"/>
              <w:left w:val="nil"/>
              <w:right w:val="single" w:sz="4" w:space="0" w:color="auto"/>
            </w:tcBorders>
            <w:shd w:val="clear" w:color="auto" w:fill="D9D9D9" w:themeFill="background1" w:themeFillShade="D9"/>
            <w:vAlign w:val="center"/>
            <w:hideMark/>
          </w:tcPr>
          <w:p w14:paraId="34247C92" w14:textId="77777777" w:rsidR="00816677" w:rsidRPr="0054775B" w:rsidRDefault="00816677" w:rsidP="00515FE7">
            <w:pPr>
              <w:pStyle w:val="2024TABLEHEADER"/>
            </w:pPr>
            <w:r w:rsidRPr="0054775B">
              <w:t>Priority population</w:t>
            </w:r>
          </w:p>
        </w:tc>
        <w:tc>
          <w:tcPr>
            <w:tcW w:w="1009" w:type="dxa"/>
            <w:vMerge w:val="restart"/>
            <w:tcBorders>
              <w:top w:val="single" w:sz="4" w:space="0" w:color="auto"/>
              <w:left w:val="nil"/>
              <w:right w:val="single" w:sz="4" w:space="0" w:color="auto"/>
            </w:tcBorders>
            <w:shd w:val="clear" w:color="auto" w:fill="D9D9D9" w:themeFill="background1" w:themeFillShade="D9"/>
            <w:vAlign w:val="center"/>
            <w:hideMark/>
          </w:tcPr>
          <w:p w14:paraId="76CBC287" w14:textId="77777777" w:rsidR="00816677" w:rsidRPr="0054775B" w:rsidRDefault="00816677" w:rsidP="00515FE7">
            <w:pPr>
              <w:pStyle w:val="2024TABLEHEADER"/>
            </w:pPr>
            <w:r w:rsidRPr="0054775B">
              <w:t xml:space="preserve">Priority intervention </w:t>
            </w:r>
          </w:p>
        </w:tc>
        <w:tc>
          <w:tcPr>
            <w:tcW w:w="6362" w:type="dxa"/>
            <w:gridSpan w:val="2"/>
            <w:tcBorders>
              <w:top w:val="single" w:sz="4" w:space="0" w:color="auto"/>
              <w:left w:val="nil"/>
              <w:bottom w:val="single" w:sz="4" w:space="0" w:color="auto"/>
              <w:right w:val="single" w:sz="4" w:space="0" w:color="auto"/>
            </w:tcBorders>
            <w:shd w:val="clear" w:color="auto" w:fill="D9D9D9" w:themeFill="background1" w:themeFillShade="D9"/>
            <w:vAlign w:val="center"/>
          </w:tcPr>
          <w:p w14:paraId="76D41523" w14:textId="77777777" w:rsidR="00816677" w:rsidRPr="0054775B" w:rsidRDefault="00816677" w:rsidP="00515FE7">
            <w:pPr>
              <w:pStyle w:val="2024TABLEHEADER"/>
            </w:pPr>
            <w:r w:rsidRPr="0054775B">
              <w:t>Priority outcomes</w:t>
            </w:r>
          </w:p>
        </w:tc>
      </w:tr>
      <w:tr w:rsidR="00A70B1C" w:rsidRPr="0054775B" w14:paraId="31414172" w14:textId="77777777" w:rsidTr="00562A58">
        <w:trPr>
          <w:trHeight w:val="95"/>
        </w:trPr>
        <w:tc>
          <w:tcPr>
            <w:tcW w:w="0" w:type="auto"/>
            <w:vMerge/>
            <w:tcBorders>
              <w:left w:val="single" w:sz="4" w:space="0" w:color="auto"/>
              <w:bottom w:val="single" w:sz="4" w:space="0" w:color="auto"/>
              <w:right w:val="single" w:sz="4" w:space="0" w:color="auto"/>
            </w:tcBorders>
            <w:shd w:val="clear" w:color="auto" w:fill="D9D9D9" w:themeFill="background1" w:themeFillShade="D9"/>
            <w:vAlign w:val="center"/>
          </w:tcPr>
          <w:p w14:paraId="13B0BA3D" w14:textId="77777777" w:rsidR="00816677" w:rsidRPr="0054775B" w:rsidRDefault="00816677" w:rsidP="00816677">
            <w:pPr>
              <w:pStyle w:val="2024TABLEHEADER"/>
            </w:pPr>
          </w:p>
        </w:tc>
        <w:tc>
          <w:tcPr>
            <w:tcW w:w="1489" w:type="dxa"/>
            <w:vMerge/>
            <w:tcBorders>
              <w:left w:val="nil"/>
              <w:bottom w:val="single" w:sz="4" w:space="0" w:color="auto"/>
              <w:right w:val="single" w:sz="4" w:space="0" w:color="auto"/>
            </w:tcBorders>
            <w:shd w:val="clear" w:color="auto" w:fill="D9D9D9" w:themeFill="background1" w:themeFillShade="D9"/>
            <w:vAlign w:val="center"/>
          </w:tcPr>
          <w:p w14:paraId="7DE57EFD" w14:textId="77777777" w:rsidR="00816677" w:rsidRPr="0054775B" w:rsidRDefault="00816677" w:rsidP="00816677">
            <w:pPr>
              <w:pStyle w:val="2024TABLEHEADER"/>
            </w:pPr>
          </w:p>
        </w:tc>
        <w:tc>
          <w:tcPr>
            <w:tcW w:w="1009" w:type="dxa"/>
            <w:vMerge/>
            <w:tcBorders>
              <w:left w:val="nil"/>
              <w:bottom w:val="single" w:sz="4" w:space="0" w:color="auto"/>
              <w:right w:val="single" w:sz="4" w:space="0" w:color="auto"/>
            </w:tcBorders>
            <w:shd w:val="clear" w:color="auto" w:fill="D9D9D9" w:themeFill="background1" w:themeFillShade="D9"/>
            <w:vAlign w:val="center"/>
          </w:tcPr>
          <w:p w14:paraId="68459F07" w14:textId="77777777" w:rsidR="00816677" w:rsidRPr="0054775B" w:rsidRDefault="00816677" w:rsidP="00816677">
            <w:pPr>
              <w:pStyle w:val="2024TABLEHEADER"/>
            </w:pPr>
          </w:p>
        </w:tc>
        <w:tc>
          <w:tcPr>
            <w:tcW w:w="758" w:type="dxa"/>
            <w:tcBorders>
              <w:top w:val="nil"/>
              <w:left w:val="nil"/>
              <w:bottom w:val="single" w:sz="4" w:space="0" w:color="auto"/>
              <w:right w:val="single" w:sz="4" w:space="0" w:color="auto"/>
            </w:tcBorders>
            <w:shd w:val="clear" w:color="auto" w:fill="D9D9D9" w:themeFill="background1" w:themeFillShade="D9"/>
            <w:vAlign w:val="center"/>
          </w:tcPr>
          <w:p w14:paraId="51F2B7C4" w14:textId="77777777" w:rsidR="00816677" w:rsidRPr="0054775B" w:rsidRDefault="00816677" w:rsidP="00816677">
            <w:pPr>
              <w:pStyle w:val="2024TABLEHEADER"/>
            </w:pPr>
            <w:r w:rsidRPr="0054775B">
              <w:t>NTWC Rating</w:t>
            </w:r>
          </w:p>
        </w:tc>
        <w:tc>
          <w:tcPr>
            <w:tcW w:w="5604" w:type="dxa"/>
            <w:tcBorders>
              <w:top w:val="nil"/>
              <w:left w:val="nil"/>
              <w:bottom w:val="single" w:sz="4" w:space="0" w:color="auto"/>
              <w:right w:val="single" w:sz="4" w:space="0" w:color="auto"/>
            </w:tcBorders>
            <w:shd w:val="clear" w:color="auto" w:fill="D9D9D9" w:themeFill="background1" w:themeFillShade="D9"/>
            <w:vAlign w:val="center"/>
          </w:tcPr>
          <w:p w14:paraId="6780CD71" w14:textId="1E2835BA" w:rsidR="00816677" w:rsidRPr="0054775B" w:rsidRDefault="00816677" w:rsidP="00816677">
            <w:pPr>
              <w:pStyle w:val="2024TABLEHEADER"/>
            </w:pPr>
            <w:r w:rsidRPr="0054775B">
              <w:t xml:space="preserve">Outcome </w:t>
            </w:r>
            <w:r w:rsidR="00A8448B">
              <w:t>d</w:t>
            </w:r>
            <w:r w:rsidR="00A8448B" w:rsidRPr="0054775B">
              <w:t>omain</w:t>
            </w:r>
          </w:p>
        </w:tc>
      </w:tr>
      <w:tr w:rsidR="002B69D4" w:rsidRPr="0054775B" w14:paraId="56A58B36" w14:textId="77777777" w:rsidTr="00562A58">
        <w:trPr>
          <w:trHeight w:val="95"/>
        </w:trPr>
        <w:tc>
          <w:tcPr>
            <w:tcW w:w="0" w:type="auto"/>
            <w:vMerge w:val="restart"/>
            <w:tcBorders>
              <w:top w:val="single" w:sz="4" w:space="0" w:color="auto"/>
              <w:left w:val="single" w:sz="4" w:space="0" w:color="auto"/>
              <w:right w:val="single" w:sz="4" w:space="0" w:color="auto"/>
            </w:tcBorders>
            <w:shd w:val="clear" w:color="auto" w:fill="auto"/>
            <w:vAlign w:val="center"/>
          </w:tcPr>
          <w:p w14:paraId="2F788C8E" w14:textId="69C17633" w:rsidR="00816677" w:rsidRPr="0054775B" w:rsidRDefault="00816677" w:rsidP="002F03F2">
            <w:pPr>
              <w:pStyle w:val="2024TABLETEXT"/>
              <w:framePr w:hSpace="0" w:wrap="auto" w:vAnchor="margin" w:yAlign="inline"/>
              <w:suppressOverlap w:val="0"/>
            </w:pPr>
            <w:r w:rsidRPr="0054775B">
              <w:t>8</w:t>
            </w:r>
          </w:p>
        </w:tc>
        <w:tc>
          <w:tcPr>
            <w:tcW w:w="1489" w:type="dxa"/>
            <w:vMerge w:val="restart"/>
            <w:tcBorders>
              <w:top w:val="single" w:sz="4" w:space="0" w:color="auto"/>
              <w:left w:val="nil"/>
              <w:right w:val="single" w:sz="4" w:space="0" w:color="auto"/>
            </w:tcBorders>
            <w:shd w:val="clear" w:color="auto" w:fill="auto"/>
            <w:vAlign w:val="center"/>
          </w:tcPr>
          <w:p w14:paraId="3EB4EAC5" w14:textId="7902AD34" w:rsidR="00816677" w:rsidRPr="0054775B" w:rsidRDefault="00816677" w:rsidP="002F03F2">
            <w:pPr>
              <w:pStyle w:val="2024TABLETEXT"/>
              <w:framePr w:hSpace="0" w:wrap="auto" w:vAnchor="margin" w:yAlign="inline"/>
              <w:suppressOverlap w:val="0"/>
            </w:pPr>
            <w:r w:rsidRPr="0054775B">
              <w:t>Atopic disorders (including eczema, dermatitis, allergic rhinitis, allergies (e.g. hay fever))</w:t>
            </w:r>
          </w:p>
        </w:tc>
        <w:tc>
          <w:tcPr>
            <w:tcW w:w="1009" w:type="dxa"/>
            <w:vMerge w:val="restart"/>
            <w:tcBorders>
              <w:top w:val="single" w:sz="4" w:space="0" w:color="auto"/>
              <w:left w:val="nil"/>
              <w:right w:val="single" w:sz="4" w:space="0" w:color="auto"/>
            </w:tcBorders>
            <w:shd w:val="clear" w:color="auto" w:fill="auto"/>
            <w:vAlign w:val="center"/>
          </w:tcPr>
          <w:p w14:paraId="3D9F5079" w14:textId="2B93652D" w:rsidR="00816677" w:rsidRPr="0054775B" w:rsidRDefault="00816677" w:rsidP="002F03F2">
            <w:pPr>
              <w:pStyle w:val="2024TABLETEXT"/>
              <w:framePr w:hSpace="0" w:wrap="auto" w:vAnchor="margin" w:yAlign="inline"/>
              <w:suppressOverlap w:val="0"/>
            </w:pPr>
            <w:r w:rsidRPr="0054775B">
              <w:t>Zinc</w:t>
            </w:r>
          </w:p>
        </w:tc>
        <w:tc>
          <w:tcPr>
            <w:tcW w:w="758" w:type="dxa"/>
            <w:tcBorders>
              <w:top w:val="single" w:sz="4" w:space="0" w:color="auto"/>
              <w:left w:val="nil"/>
              <w:bottom w:val="single" w:sz="4" w:space="0" w:color="auto"/>
              <w:right w:val="single" w:sz="4" w:space="0" w:color="auto"/>
            </w:tcBorders>
            <w:shd w:val="clear" w:color="auto" w:fill="auto"/>
            <w:vAlign w:val="center"/>
          </w:tcPr>
          <w:p w14:paraId="23DF01AF" w14:textId="5549EEF6" w:rsidR="00816677" w:rsidRPr="0054775B" w:rsidRDefault="00816677" w:rsidP="002F03F2">
            <w:pPr>
              <w:pStyle w:val="2024TABLETEXT"/>
              <w:framePr w:hSpace="0" w:wrap="auto" w:vAnchor="margin" w:yAlign="inline"/>
              <w:suppressOverlap w:val="0"/>
            </w:pPr>
            <w:r w:rsidRPr="0054775B">
              <w:t>9</w:t>
            </w:r>
          </w:p>
        </w:tc>
        <w:tc>
          <w:tcPr>
            <w:tcW w:w="5604" w:type="dxa"/>
            <w:tcBorders>
              <w:top w:val="single" w:sz="4" w:space="0" w:color="auto"/>
              <w:left w:val="nil"/>
              <w:bottom w:val="single" w:sz="4" w:space="0" w:color="auto"/>
              <w:right w:val="single" w:sz="4" w:space="0" w:color="auto"/>
            </w:tcBorders>
            <w:shd w:val="clear" w:color="auto" w:fill="auto"/>
          </w:tcPr>
          <w:p w14:paraId="3D50543E" w14:textId="7A07A7D2" w:rsidR="00816677" w:rsidRPr="0054775B" w:rsidRDefault="00816677" w:rsidP="002F03F2">
            <w:pPr>
              <w:pStyle w:val="2024TABLETEXT"/>
              <w:framePr w:hSpace="0" w:wrap="auto" w:vAnchor="margin" w:yAlign="inline"/>
              <w:suppressOverlap w:val="0"/>
            </w:pPr>
            <w:r w:rsidRPr="0054775B">
              <w:t>Global severity of condition/improvement of symptoms</w:t>
            </w:r>
          </w:p>
        </w:tc>
      </w:tr>
      <w:tr w:rsidR="002B69D4" w:rsidRPr="0054775B" w14:paraId="32CED21D" w14:textId="77777777" w:rsidTr="00562A58">
        <w:trPr>
          <w:trHeight w:val="95"/>
        </w:trPr>
        <w:tc>
          <w:tcPr>
            <w:tcW w:w="0" w:type="auto"/>
            <w:vMerge/>
            <w:tcBorders>
              <w:left w:val="single" w:sz="4" w:space="0" w:color="auto"/>
              <w:right w:val="single" w:sz="4" w:space="0" w:color="auto"/>
            </w:tcBorders>
            <w:shd w:val="clear" w:color="auto" w:fill="auto"/>
            <w:vAlign w:val="center"/>
          </w:tcPr>
          <w:p w14:paraId="27DA716F" w14:textId="77777777" w:rsidR="00816677" w:rsidRPr="0054775B" w:rsidRDefault="00816677" w:rsidP="002F03F2">
            <w:pPr>
              <w:pStyle w:val="2024TABLETEXT"/>
              <w:framePr w:hSpace="0" w:wrap="auto" w:vAnchor="margin" w:yAlign="inline"/>
              <w:suppressOverlap w:val="0"/>
            </w:pPr>
          </w:p>
        </w:tc>
        <w:tc>
          <w:tcPr>
            <w:tcW w:w="1489" w:type="dxa"/>
            <w:vMerge/>
            <w:tcBorders>
              <w:left w:val="nil"/>
              <w:right w:val="single" w:sz="4" w:space="0" w:color="auto"/>
            </w:tcBorders>
            <w:shd w:val="clear" w:color="auto" w:fill="auto"/>
            <w:vAlign w:val="center"/>
          </w:tcPr>
          <w:p w14:paraId="023E6880" w14:textId="77777777" w:rsidR="00816677" w:rsidRPr="0054775B" w:rsidRDefault="00816677" w:rsidP="002F03F2">
            <w:pPr>
              <w:pStyle w:val="2024TABLETEXT"/>
              <w:framePr w:hSpace="0" w:wrap="auto" w:vAnchor="margin" w:yAlign="inline"/>
              <w:suppressOverlap w:val="0"/>
            </w:pPr>
          </w:p>
        </w:tc>
        <w:tc>
          <w:tcPr>
            <w:tcW w:w="1009" w:type="dxa"/>
            <w:vMerge/>
            <w:tcBorders>
              <w:left w:val="nil"/>
              <w:right w:val="single" w:sz="4" w:space="0" w:color="auto"/>
            </w:tcBorders>
            <w:shd w:val="clear" w:color="auto" w:fill="auto"/>
            <w:vAlign w:val="center"/>
          </w:tcPr>
          <w:p w14:paraId="2F3B9A51" w14:textId="77777777" w:rsidR="00816677" w:rsidRPr="0054775B" w:rsidRDefault="00816677" w:rsidP="002F03F2">
            <w:pPr>
              <w:pStyle w:val="2024TABLETEXT"/>
              <w:framePr w:hSpace="0" w:wrap="auto" w:vAnchor="margin" w:yAlign="inline"/>
              <w:suppressOverlap w:val="0"/>
            </w:pPr>
          </w:p>
        </w:tc>
        <w:tc>
          <w:tcPr>
            <w:tcW w:w="758" w:type="dxa"/>
            <w:tcBorders>
              <w:top w:val="nil"/>
              <w:left w:val="nil"/>
              <w:bottom w:val="single" w:sz="4" w:space="0" w:color="auto"/>
              <w:right w:val="single" w:sz="4" w:space="0" w:color="auto"/>
            </w:tcBorders>
            <w:shd w:val="clear" w:color="auto" w:fill="auto"/>
            <w:vAlign w:val="center"/>
          </w:tcPr>
          <w:p w14:paraId="1C9BE887" w14:textId="22A6B30F" w:rsidR="00816677" w:rsidRPr="0054775B" w:rsidRDefault="00816677" w:rsidP="002F03F2">
            <w:pPr>
              <w:pStyle w:val="2024TABLETEXT"/>
              <w:framePr w:hSpace="0" w:wrap="auto" w:vAnchor="margin" w:yAlign="inline"/>
              <w:suppressOverlap w:val="0"/>
            </w:pPr>
            <w:r w:rsidRPr="0054775B">
              <w:t>8</w:t>
            </w:r>
          </w:p>
        </w:tc>
        <w:tc>
          <w:tcPr>
            <w:tcW w:w="5604" w:type="dxa"/>
            <w:tcBorders>
              <w:top w:val="nil"/>
              <w:left w:val="nil"/>
              <w:bottom w:val="single" w:sz="4" w:space="0" w:color="auto"/>
              <w:right w:val="single" w:sz="4" w:space="0" w:color="auto"/>
            </w:tcBorders>
            <w:shd w:val="clear" w:color="auto" w:fill="auto"/>
          </w:tcPr>
          <w:p w14:paraId="24343805" w14:textId="703003E3" w:rsidR="00816677" w:rsidRPr="0054775B" w:rsidRDefault="00816677" w:rsidP="002F03F2">
            <w:pPr>
              <w:pStyle w:val="2024TABLETEXT"/>
              <w:framePr w:hSpace="0" w:wrap="auto" w:vAnchor="margin" w:yAlign="inline"/>
              <w:suppressOverlap w:val="0"/>
            </w:pPr>
            <w:r w:rsidRPr="0054775B">
              <w:t>Quality of life</w:t>
            </w:r>
          </w:p>
        </w:tc>
      </w:tr>
      <w:tr w:rsidR="002B69D4" w:rsidRPr="0054775B" w14:paraId="54412167" w14:textId="77777777" w:rsidTr="00562A58">
        <w:trPr>
          <w:trHeight w:val="95"/>
        </w:trPr>
        <w:tc>
          <w:tcPr>
            <w:tcW w:w="0" w:type="auto"/>
            <w:vMerge/>
            <w:tcBorders>
              <w:left w:val="single" w:sz="4" w:space="0" w:color="auto"/>
              <w:right w:val="single" w:sz="4" w:space="0" w:color="auto"/>
            </w:tcBorders>
            <w:shd w:val="clear" w:color="auto" w:fill="auto"/>
            <w:vAlign w:val="bottom"/>
          </w:tcPr>
          <w:p w14:paraId="435F7841" w14:textId="77777777" w:rsidR="00816677" w:rsidRPr="0054775B" w:rsidRDefault="00816677" w:rsidP="002F03F2">
            <w:pPr>
              <w:pStyle w:val="2024TABLETEXT"/>
              <w:framePr w:hSpace="0" w:wrap="auto" w:vAnchor="margin" w:yAlign="inline"/>
              <w:suppressOverlap w:val="0"/>
            </w:pPr>
          </w:p>
        </w:tc>
        <w:tc>
          <w:tcPr>
            <w:tcW w:w="1489" w:type="dxa"/>
            <w:vMerge/>
            <w:tcBorders>
              <w:left w:val="nil"/>
              <w:right w:val="single" w:sz="4" w:space="0" w:color="auto"/>
            </w:tcBorders>
            <w:shd w:val="clear" w:color="auto" w:fill="auto"/>
            <w:vAlign w:val="center"/>
          </w:tcPr>
          <w:p w14:paraId="40953EAA" w14:textId="77777777" w:rsidR="00816677" w:rsidRPr="0054775B" w:rsidRDefault="00816677" w:rsidP="002F03F2">
            <w:pPr>
              <w:pStyle w:val="2024TABLETEXT"/>
              <w:framePr w:hSpace="0" w:wrap="auto" w:vAnchor="margin" w:yAlign="inline"/>
              <w:suppressOverlap w:val="0"/>
            </w:pPr>
          </w:p>
        </w:tc>
        <w:tc>
          <w:tcPr>
            <w:tcW w:w="1009" w:type="dxa"/>
            <w:vMerge/>
            <w:tcBorders>
              <w:left w:val="nil"/>
              <w:right w:val="single" w:sz="4" w:space="0" w:color="auto"/>
            </w:tcBorders>
            <w:shd w:val="clear" w:color="auto" w:fill="auto"/>
            <w:vAlign w:val="center"/>
          </w:tcPr>
          <w:p w14:paraId="3891CC8F" w14:textId="77777777" w:rsidR="00816677" w:rsidRPr="0054775B" w:rsidRDefault="00816677" w:rsidP="002F03F2">
            <w:pPr>
              <w:pStyle w:val="2024TABLETEXT"/>
              <w:framePr w:hSpace="0" w:wrap="auto" w:vAnchor="margin" w:yAlign="inline"/>
              <w:suppressOverlap w:val="0"/>
            </w:pPr>
          </w:p>
        </w:tc>
        <w:tc>
          <w:tcPr>
            <w:tcW w:w="758" w:type="dxa"/>
            <w:tcBorders>
              <w:top w:val="nil"/>
              <w:left w:val="nil"/>
              <w:bottom w:val="single" w:sz="4" w:space="0" w:color="auto"/>
              <w:right w:val="single" w:sz="4" w:space="0" w:color="auto"/>
            </w:tcBorders>
            <w:shd w:val="clear" w:color="auto" w:fill="auto"/>
            <w:vAlign w:val="center"/>
          </w:tcPr>
          <w:p w14:paraId="4C616AC2" w14:textId="7D121991" w:rsidR="00816677" w:rsidRPr="0054775B" w:rsidRDefault="00816677" w:rsidP="002F03F2">
            <w:pPr>
              <w:pStyle w:val="2024TABLETEXT"/>
              <w:framePr w:hSpace="0" w:wrap="auto" w:vAnchor="margin" w:yAlign="inline"/>
              <w:suppressOverlap w:val="0"/>
            </w:pPr>
            <w:r w:rsidRPr="0054775B">
              <w:t>8</w:t>
            </w:r>
          </w:p>
        </w:tc>
        <w:tc>
          <w:tcPr>
            <w:tcW w:w="5604" w:type="dxa"/>
            <w:tcBorders>
              <w:top w:val="nil"/>
              <w:left w:val="nil"/>
              <w:bottom w:val="single" w:sz="4" w:space="0" w:color="auto"/>
              <w:right w:val="single" w:sz="4" w:space="0" w:color="auto"/>
            </w:tcBorders>
            <w:shd w:val="clear" w:color="auto" w:fill="auto"/>
          </w:tcPr>
          <w:p w14:paraId="50496207" w14:textId="3A6BC47D" w:rsidR="00816677" w:rsidRPr="0054775B" w:rsidRDefault="00816677" w:rsidP="002F03F2">
            <w:pPr>
              <w:pStyle w:val="2024TABLETEXT"/>
              <w:framePr w:hSpace="0" w:wrap="auto" w:vAnchor="margin" w:yAlign="inline"/>
              <w:suppressOverlap w:val="0"/>
            </w:pPr>
            <w:r w:rsidRPr="0054775B">
              <w:t>Long-term measure of control of disease</w:t>
            </w:r>
          </w:p>
        </w:tc>
      </w:tr>
      <w:tr w:rsidR="002B69D4" w:rsidRPr="0054775B" w14:paraId="445648B1" w14:textId="77777777" w:rsidTr="00562A58">
        <w:trPr>
          <w:trHeight w:val="95"/>
        </w:trPr>
        <w:tc>
          <w:tcPr>
            <w:tcW w:w="0" w:type="auto"/>
            <w:vMerge/>
            <w:tcBorders>
              <w:left w:val="single" w:sz="4" w:space="0" w:color="auto"/>
              <w:right w:val="single" w:sz="4" w:space="0" w:color="auto"/>
            </w:tcBorders>
            <w:shd w:val="clear" w:color="auto" w:fill="auto"/>
            <w:vAlign w:val="center"/>
          </w:tcPr>
          <w:p w14:paraId="61AB49ED" w14:textId="77777777" w:rsidR="00816677" w:rsidRPr="0054775B" w:rsidRDefault="00816677" w:rsidP="002F03F2">
            <w:pPr>
              <w:pStyle w:val="2024TABLETEXT"/>
              <w:framePr w:hSpace="0" w:wrap="auto" w:vAnchor="margin" w:yAlign="inline"/>
              <w:suppressOverlap w:val="0"/>
            </w:pPr>
          </w:p>
        </w:tc>
        <w:tc>
          <w:tcPr>
            <w:tcW w:w="1489" w:type="dxa"/>
            <w:vMerge/>
            <w:tcBorders>
              <w:left w:val="nil"/>
              <w:right w:val="single" w:sz="4" w:space="0" w:color="auto"/>
            </w:tcBorders>
            <w:shd w:val="clear" w:color="auto" w:fill="auto"/>
            <w:vAlign w:val="center"/>
          </w:tcPr>
          <w:p w14:paraId="033FFD51" w14:textId="77777777" w:rsidR="00816677" w:rsidRPr="0054775B" w:rsidRDefault="00816677" w:rsidP="002F03F2">
            <w:pPr>
              <w:pStyle w:val="2024TABLETEXT"/>
              <w:framePr w:hSpace="0" w:wrap="auto" w:vAnchor="margin" w:yAlign="inline"/>
              <w:suppressOverlap w:val="0"/>
            </w:pPr>
          </w:p>
        </w:tc>
        <w:tc>
          <w:tcPr>
            <w:tcW w:w="1009" w:type="dxa"/>
            <w:vMerge/>
            <w:tcBorders>
              <w:left w:val="nil"/>
              <w:right w:val="single" w:sz="4" w:space="0" w:color="auto"/>
            </w:tcBorders>
            <w:shd w:val="clear" w:color="auto" w:fill="auto"/>
            <w:vAlign w:val="center"/>
          </w:tcPr>
          <w:p w14:paraId="48E5B556" w14:textId="77777777" w:rsidR="00816677" w:rsidRPr="0054775B" w:rsidRDefault="00816677" w:rsidP="002F03F2">
            <w:pPr>
              <w:pStyle w:val="2024TABLETEXT"/>
              <w:framePr w:hSpace="0" w:wrap="auto" w:vAnchor="margin" w:yAlign="inline"/>
              <w:suppressOverlap w:val="0"/>
            </w:pPr>
          </w:p>
        </w:tc>
        <w:tc>
          <w:tcPr>
            <w:tcW w:w="758" w:type="dxa"/>
            <w:tcBorders>
              <w:top w:val="nil"/>
              <w:left w:val="nil"/>
              <w:bottom w:val="single" w:sz="4" w:space="0" w:color="auto"/>
              <w:right w:val="single" w:sz="4" w:space="0" w:color="auto"/>
            </w:tcBorders>
            <w:shd w:val="clear" w:color="auto" w:fill="auto"/>
            <w:vAlign w:val="center"/>
          </w:tcPr>
          <w:p w14:paraId="2F6A84D4" w14:textId="5106E206" w:rsidR="00816677" w:rsidRPr="0054775B" w:rsidRDefault="00816677" w:rsidP="002F03F2">
            <w:pPr>
              <w:pStyle w:val="2024TABLETEXT"/>
              <w:framePr w:hSpace="0" w:wrap="auto" w:vAnchor="margin" w:yAlign="inline"/>
              <w:suppressOverlap w:val="0"/>
            </w:pPr>
            <w:r w:rsidRPr="0054775B">
              <w:t>7</w:t>
            </w:r>
          </w:p>
        </w:tc>
        <w:tc>
          <w:tcPr>
            <w:tcW w:w="5604" w:type="dxa"/>
            <w:tcBorders>
              <w:top w:val="nil"/>
              <w:left w:val="nil"/>
              <w:bottom w:val="single" w:sz="4" w:space="0" w:color="auto"/>
              <w:right w:val="single" w:sz="4" w:space="0" w:color="auto"/>
            </w:tcBorders>
            <w:shd w:val="clear" w:color="auto" w:fill="auto"/>
          </w:tcPr>
          <w:p w14:paraId="247688AB" w14:textId="7B5E670B" w:rsidR="00816677" w:rsidRPr="0054775B" w:rsidRDefault="00816677" w:rsidP="002F03F2">
            <w:pPr>
              <w:pStyle w:val="2024TABLETEXT"/>
              <w:framePr w:hSpace="0" w:wrap="auto" w:vAnchor="margin" w:yAlign="inline"/>
              <w:suppressOverlap w:val="0"/>
            </w:pPr>
            <w:r w:rsidRPr="0054775B">
              <w:t>Individual changes in symptoms (including degree of redness of skin, day</w:t>
            </w:r>
            <w:r w:rsidRPr="0054775B">
              <w:rPr>
                <w:rFonts w:ascii="Cambria Math" w:hAnsi="Cambria Math" w:cs="Cambria Math"/>
              </w:rPr>
              <w:t>‐</w:t>
            </w:r>
            <w:r w:rsidRPr="0054775B">
              <w:t>time itch, anterior rhinorrhoea (runny nose)</w:t>
            </w:r>
            <w:r w:rsidR="00562A58" w:rsidRPr="0054775B" w:rsidDel="00562A58">
              <w:t xml:space="preserve"> </w:t>
            </w:r>
          </w:p>
        </w:tc>
      </w:tr>
      <w:tr w:rsidR="00FD6150" w:rsidRPr="0054775B" w14:paraId="082F481D" w14:textId="77777777" w:rsidTr="00562A58">
        <w:trPr>
          <w:trHeight w:val="59"/>
        </w:trPr>
        <w:tc>
          <w:tcPr>
            <w:tcW w:w="0" w:type="auto"/>
            <w:vMerge/>
            <w:tcBorders>
              <w:left w:val="single" w:sz="4" w:space="0" w:color="auto"/>
              <w:bottom w:val="single" w:sz="4" w:space="0" w:color="auto"/>
              <w:right w:val="single" w:sz="4" w:space="0" w:color="auto"/>
            </w:tcBorders>
            <w:shd w:val="clear" w:color="auto" w:fill="auto"/>
            <w:vAlign w:val="center"/>
          </w:tcPr>
          <w:p w14:paraId="3D2F9660" w14:textId="77777777" w:rsidR="00816677" w:rsidRPr="0054775B" w:rsidRDefault="00816677" w:rsidP="002F03F2">
            <w:pPr>
              <w:pStyle w:val="2024TABLETEXT"/>
              <w:framePr w:hSpace="0" w:wrap="auto" w:vAnchor="margin" w:yAlign="inline"/>
              <w:suppressOverlap w:val="0"/>
            </w:pPr>
          </w:p>
        </w:tc>
        <w:tc>
          <w:tcPr>
            <w:tcW w:w="1489" w:type="dxa"/>
            <w:vMerge/>
            <w:tcBorders>
              <w:left w:val="nil"/>
              <w:bottom w:val="single" w:sz="4" w:space="0" w:color="auto"/>
              <w:right w:val="single" w:sz="4" w:space="0" w:color="auto"/>
            </w:tcBorders>
            <w:shd w:val="clear" w:color="auto" w:fill="auto"/>
            <w:vAlign w:val="center"/>
          </w:tcPr>
          <w:p w14:paraId="65A8C62D" w14:textId="77777777" w:rsidR="00816677" w:rsidRPr="0054775B" w:rsidRDefault="00816677" w:rsidP="002F03F2">
            <w:pPr>
              <w:pStyle w:val="2024TABLETEXT"/>
              <w:framePr w:hSpace="0" w:wrap="auto" w:vAnchor="margin" w:yAlign="inline"/>
              <w:suppressOverlap w:val="0"/>
            </w:pPr>
          </w:p>
        </w:tc>
        <w:tc>
          <w:tcPr>
            <w:tcW w:w="1009" w:type="dxa"/>
            <w:vMerge/>
            <w:tcBorders>
              <w:left w:val="nil"/>
              <w:bottom w:val="single" w:sz="4" w:space="0" w:color="auto"/>
              <w:right w:val="single" w:sz="4" w:space="0" w:color="auto"/>
            </w:tcBorders>
            <w:shd w:val="clear" w:color="auto" w:fill="auto"/>
            <w:vAlign w:val="center"/>
          </w:tcPr>
          <w:p w14:paraId="16C79C5E" w14:textId="77777777" w:rsidR="00816677" w:rsidRPr="0054775B" w:rsidRDefault="00816677" w:rsidP="002F03F2">
            <w:pPr>
              <w:pStyle w:val="2024TABLETEXT"/>
              <w:framePr w:hSpace="0" w:wrap="auto" w:vAnchor="margin" w:yAlign="inline"/>
              <w:suppressOverlap w:val="0"/>
            </w:pPr>
          </w:p>
        </w:tc>
        <w:tc>
          <w:tcPr>
            <w:tcW w:w="758" w:type="dxa"/>
            <w:tcBorders>
              <w:top w:val="nil"/>
              <w:left w:val="nil"/>
              <w:bottom w:val="single" w:sz="4" w:space="0" w:color="auto"/>
              <w:right w:val="single" w:sz="4" w:space="0" w:color="auto"/>
            </w:tcBorders>
            <w:shd w:val="clear" w:color="auto" w:fill="auto"/>
            <w:vAlign w:val="center"/>
          </w:tcPr>
          <w:p w14:paraId="02C68AD5" w14:textId="4B68FC81" w:rsidR="00816677" w:rsidRPr="0054775B" w:rsidRDefault="00816677" w:rsidP="002F03F2">
            <w:pPr>
              <w:pStyle w:val="2024TABLETEXT"/>
              <w:framePr w:hSpace="0" w:wrap="auto" w:vAnchor="margin" w:yAlign="inline"/>
              <w:suppressOverlap w:val="0"/>
            </w:pPr>
            <w:r w:rsidRPr="0054775B">
              <w:t>6</w:t>
            </w:r>
          </w:p>
        </w:tc>
        <w:tc>
          <w:tcPr>
            <w:tcW w:w="5604" w:type="dxa"/>
            <w:tcBorders>
              <w:top w:val="nil"/>
              <w:left w:val="nil"/>
              <w:bottom w:val="single" w:sz="4" w:space="0" w:color="auto"/>
              <w:right w:val="single" w:sz="4" w:space="0" w:color="auto"/>
            </w:tcBorders>
            <w:shd w:val="clear" w:color="auto" w:fill="auto"/>
          </w:tcPr>
          <w:p w14:paraId="15C8C833" w14:textId="15ABC1E6" w:rsidR="00816677" w:rsidRPr="0054775B" w:rsidRDefault="00816677" w:rsidP="002F03F2">
            <w:pPr>
              <w:pStyle w:val="2024TABLETEXT"/>
              <w:framePr w:hSpace="0" w:wrap="auto" w:vAnchor="margin" w:yAlign="inline"/>
              <w:suppressOverlap w:val="0"/>
            </w:pPr>
            <w:r w:rsidRPr="0054775B">
              <w:t>Physical function/ disability (return to work/school)</w:t>
            </w:r>
          </w:p>
        </w:tc>
      </w:tr>
    </w:tbl>
    <w:p w14:paraId="5CB61A82" w14:textId="77777777" w:rsidR="00933393" w:rsidRPr="0054775B" w:rsidRDefault="00933393" w:rsidP="009760CB">
      <w:pPr>
        <w:pStyle w:val="2024TABLEFOOTER"/>
      </w:pPr>
      <w:r w:rsidRPr="0054775B">
        <w:t>Abbreviations: BP=blood pressure; HRQoL=health-related quality of life; NTWC=Natural Therapies Working Group</w:t>
      </w:r>
    </w:p>
    <w:p w14:paraId="5123D873" w14:textId="771E9EDF" w:rsidR="00933393" w:rsidRPr="0054775B" w:rsidRDefault="00933393" w:rsidP="009760CB">
      <w:pPr>
        <w:pStyle w:val="2024TABLEFOOTER"/>
      </w:pPr>
      <w:r w:rsidRPr="0054775B">
        <w:t>*1-3 = of limited importance to decision making; 4-6 = important, but not critical, to decision making; 7-9 = critical for decision-making</w:t>
      </w:r>
    </w:p>
    <w:p w14:paraId="52B66B02" w14:textId="77777777" w:rsidR="00614870" w:rsidRPr="0054775B" w:rsidRDefault="00614870" w:rsidP="009E6F7F">
      <w:pPr>
        <w:pStyle w:val="2024HEADER3"/>
        <w:rPr>
          <w:rFonts w:ascii="Aptos" w:hAnsi="Aptos"/>
        </w:rPr>
      </w:pPr>
      <w:r w:rsidRPr="0054775B">
        <w:rPr>
          <w:rFonts w:ascii="Aptos" w:hAnsi="Aptos"/>
        </w:rPr>
        <w:t>Search findings</w:t>
      </w:r>
    </w:p>
    <w:p w14:paraId="3B341EF8" w14:textId="67759582" w:rsidR="00614870" w:rsidRPr="0054775B" w:rsidRDefault="00614870" w:rsidP="009E6F7F">
      <w:r w:rsidRPr="0054775B">
        <w:t xml:space="preserve">In total, </w:t>
      </w:r>
      <w:r w:rsidR="00DA646C" w:rsidRPr="0054775B">
        <w:t>27</w:t>
      </w:r>
      <w:r w:rsidR="008D0DC9" w:rsidRPr="0054775B">
        <w:t>4</w:t>
      </w:r>
      <w:r w:rsidRPr="0054775B">
        <w:t xml:space="preserve"> </w:t>
      </w:r>
      <w:r w:rsidR="0029059B">
        <w:t>reviews</w:t>
      </w:r>
      <w:r w:rsidR="0029059B" w:rsidRPr="0054775B">
        <w:t xml:space="preserve"> </w:t>
      </w:r>
      <w:r w:rsidRPr="0054775B">
        <w:t xml:space="preserve">were </w:t>
      </w:r>
      <w:r w:rsidR="00632594" w:rsidRPr="0054775B">
        <w:t>screened following</w:t>
      </w:r>
      <w:r w:rsidR="0084136F" w:rsidRPr="0054775B">
        <w:t xml:space="preserve"> de-duplication</w:t>
      </w:r>
      <w:r w:rsidRPr="0054775B">
        <w:t xml:space="preserve">. </w:t>
      </w:r>
      <w:r w:rsidR="00207B3F" w:rsidRPr="0054775B">
        <w:t xml:space="preserve">None of the </w:t>
      </w:r>
      <w:r w:rsidR="0029059B">
        <w:t>reviews</w:t>
      </w:r>
      <w:r w:rsidR="0029059B" w:rsidRPr="0054775B">
        <w:t xml:space="preserve"> </w:t>
      </w:r>
      <w:r w:rsidR="00207B3F" w:rsidRPr="0054775B">
        <w:t>provided by the Department’s call for evidence were relevant to this population-</w:t>
      </w:r>
      <w:r w:rsidR="0032560B">
        <w:t>supplement pair</w:t>
      </w:r>
      <w:r w:rsidR="00207B3F" w:rsidRPr="0054775B">
        <w:t xml:space="preserve">. </w:t>
      </w:r>
      <w:r w:rsidRPr="0054775B">
        <w:t xml:space="preserve">After title and abstract screening, </w:t>
      </w:r>
      <w:r w:rsidR="000127D2" w:rsidRPr="0054775B">
        <w:t>20</w:t>
      </w:r>
      <w:r w:rsidRPr="0054775B">
        <w:t xml:space="preserve"> </w:t>
      </w:r>
      <w:r w:rsidR="0029059B">
        <w:t>reviews</w:t>
      </w:r>
      <w:r w:rsidR="0029059B" w:rsidRPr="0054775B">
        <w:t xml:space="preserve"> </w:t>
      </w:r>
      <w:r w:rsidRPr="0054775B">
        <w:t xml:space="preserve">were </w:t>
      </w:r>
      <w:r w:rsidR="00AA539A" w:rsidRPr="0054775B">
        <w:t>sought for retrieval</w:t>
      </w:r>
      <w:r w:rsidRPr="0054775B">
        <w:t xml:space="preserve"> </w:t>
      </w:r>
      <w:r w:rsidR="000E2E3B" w:rsidRPr="0054775B">
        <w:t xml:space="preserve">for </w:t>
      </w:r>
      <w:r w:rsidRPr="0054775B">
        <w:t xml:space="preserve">full-text screening: </w:t>
      </w:r>
    </w:p>
    <w:p w14:paraId="51D1EE50" w14:textId="779E34C5" w:rsidR="000E2E3B" w:rsidRPr="0054775B" w:rsidRDefault="000E2E3B" w:rsidP="00107BEE">
      <w:pPr>
        <w:pStyle w:val="ListParagraph"/>
        <w:numPr>
          <w:ilvl w:val="0"/>
          <w:numId w:val="6"/>
        </w:numPr>
      </w:pPr>
      <w:r w:rsidRPr="0054775B">
        <w:t xml:space="preserve">2 </w:t>
      </w:r>
      <w:r w:rsidR="0029059B">
        <w:t>reviews</w:t>
      </w:r>
      <w:r w:rsidR="0029059B" w:rsidRPr="0054775B">
        <w:t xml:space="preserve"> </w:t>
      </w:r>
      <w:r w:rsidRPr="0054775B">
        <w:t>were ongoing (</w:t>
      </w:r>
      <w:r w:rsidR="007D2E60" w:rsidRPr="0054775B">
        <w:t xml:space="preserve">citation details recorded in Appendix </w:t>
      </w:r>
      <w:r w:rsidR="0039215A">
        <w:t>C4</w:t>
      </w:r>
      <w:r w:rsidRPr="0054775B">
        <w:t>)</w:t>
      </w:r>
    </w:p>
    <w:p w14:paraId="5994D181" w14:textId="143D133E" w:rsidR="00614870" w:rsidRPr="0054775B" w:rsidRDefault="007842D0" w:rsidP="00107BEE">
      <w:pPr>
        <w:pStyle w:val="ListParagraph"/>
        <w:numPr>
          <w:ilvl w:val="0"/>
          <w:numId w:val="6"/>
        </w:numPr>
      </w:pPr>
      <w:r w:rsidRPr="0054775B">
        <w:t>1</w:t>
      </w:r>
      <w:r w:rsidR="000127D2" w:rsidRPr="0054775B">
        <w:t>5</w:t>
      </w:r>
      <w:r w:rsidR="00614870" w:rsidRPr="0054775B">
        <w:t xml:space="preserve"> </w:t>
      </w:r>
      <w:r w:rsidR="0029059B">
        <w:t>reviews</w:t>
      </w:r>
      <w:r w:rsidR="0029059B" w:rsidRPr="0054775B">
        <w:t xml:space="preserve"> </w:t>
      </w:r>
      <w:r w:rsidR="00614870" w:rsidRPr="0054775B">
        <w:t xml:space="preserve">did not meet inclusion criteria (citation details and </w:t>
      </w:r>
      <w:r w:rsidR="001332AF" w:rsidRPr="0054775B">
        <w:t xml:space="preserve">reasons for exclusion recorded in Appendix </w:t>
      </w:r>
      <w:r w:rsidR="00836CC7">
        <w:t>C1</w:t>
      </w:r>
      <w:r w:rsidR="00614870" w:rsidRPr="0054775B">
        <w:t xml:space="preserve">) </w:t>
      </w:r>
    </w:p>
    <w:p w14:paraId="631BD42B" w14:textId="0DD7282E" w:rsidR="00614870" w:rsidRPr="0054775B" w:rsidRDefault="00614870" w:rsidP="009E6F7F">
      <w:r w:rsidRPr="0054775B">
        <w:t xml:space="preserve">A final </w:t>
      </w:r>
      <w:r w:rsidR="007842D0" w:rsidRPr="0054775B">
        <w:t>3</w:t>
      </w:r>
      <w:r w:rsidRPr="0054775B">
        <w:t xml:space="preserve"> </w:t>
      </w:r>
      <w:r w:rsidR="00104480" w:rsidRPr="0054775B">
        <w:t xml:space="preserve">reviews </w:t>
      </w:r>
      <w:r w:rsidRPr="0054775B">
        <w:t xml:space="preserve">met the inclusion criteria. Characteristics of included reviews are presented in Appendix </w:t>
      </w:r>
      <w:r w:rsidR="00836CC7">
        <w:t>D</w:t>
      </w:r>
      <w:r w:rsidRPr="0054775B">
        <w:t>. A full PRISMA flowchart is presented below.</w:t>
      </w:r>
      <w:r w:rsidRPr="0054775B">
        <w:rPr>
          <w:highlight w:val="yellow"/>
        </w:rPr>
        <w:t xml:space="preserve"> </w:t>
      </w:r>
    </w:p>
    <w:p w14:paraId="0EDC4559" w14:textId="5EDE2F5E" w:rsidR="007842D0" w:rsidRPr="0054775B" w:rsidRDefault="007842D0" w:rsidP="009760CB">
      <w:pPr>
        <w:pStyle w:val="2024TABLECAPTION"/>
        <w:rPr>
          <w:rFonts w:ascii="Aptos" w:hAnsi="Aptos"/>
        </w:rPr>
      </w:pPr>
      <w:bookmarkStart w:id="97" w:name="_Toc178348011"/>
      <w:r w:rsidRPr="001428E8">
        <w:lastRenderedPageBreak/>
        <w:t xml:space="preserve">Figure </w:t>
      </w:r>
      <w:r w:rsidR="002F1F6C" w:rsidRPr="001428E8">
        <w:rPr>
          <w:b w:val="0"/>
          <w:i/>
        </w:rPr>
        <w:fldChar w:fldCharType="begin"/>
      </w:r>
      <w:r w:rsidR="002F1F6C" w:rsidRPr="0054775B">
        <w:rPr>
          <w:rFonts w:ascii="Aptos" w:hAnsi="Aptos"/>
        </w:rPr>
        <w:instrText xml:space="preserve"> SEQ Figure \* ARABIC </w:instrText>
      </w:r>
      <w:r w:rsidR="002F1F6C" w:rsidRPr="001428E8">
        <w:rPr>
          <w:b w:val="0"/>
          <w:i/>
        </w:rPr>
        <w:fldChar w:fldCharType="separate"/>
      </w:r>
      <w:r w:rsidR="002C256B">
        <w:rPr>
          <w:noProof/>
        </w:rPr>
        <w:t>8</w:t>
      </w:r>
      <w:r w:rsidR="002F1F6C" w:rsidRPr="001428E8">
        <w:rPr>
          <w:b w:val="0"/>
          <w:i/>
        </w:rPr>
        <w:fldChar w:fldCharType="end"/>
      </w:r>
      <w:r w:rsidRPr="0054775B">
        <w:rPr>
          <w:rFonts w:ascii="Aptos" w:hAnsi="Aptos"/>
        </w:rPr>
        <w:t xml:space="preserve">. PRISMA flowchart – </w:t>
      </w:r>
      <w:r w:rsidR="00C935DD" w:rsidRPr="0054775B">
        <w:rPr>
          <w:rFonts w:ascii="Aptos" w:hAnsi="Aptos"/>
        </w:rPr>
        <w:t>atopic disorders, zinc</w:t>
      </w:r>
      <w:r w:rsidRPr="0054775B">
        <w:rPr>
          <w:rFonts w:ascii="Aptos" w:hAnsi="Aptos"/>
        </w:rPr>
        <w:t>.</w:t>
      </w:r>
      <w:bookmarkEnd w:id="97"/>
    </w:p>
    <w:p w14:paraId="335D3063" w14:textId="77777777" w:rsidR="007842D0" w:rsidRPr="0054775B" w:rsidRDefault="007842D0" w:rsidP="009E6F7F">
      <w:r w:rsidRPr="0054775B">
        <w:rPr>
          <w:noProof/>
          <w:highlight w:val="yellow"/>
        </w:rPr>
        <mc:AlternateContent>
          <mc:Choice Requires="wpg">
            <w:drawing>
              <wp:anchor distT="0" distB="0" distL="114300" distR="114300" simplePos="0" relativeHeight="251658245" behindDoc="0" locked="0" layoutInCell="1" allowOverlap="1" wp14:anchorId="67D6EE94" wp14:editId="1AEF1507">
                <wp:simplePos x="0" y="0"/>
                <wp:positionH relativeFrom="column">
                  <wp:posOffset>8890</wp:posOffset>
                </wp:positionH>
                <wp:positionV relativeFrom="paragraph">
                  <wp:posOffset>154940</wp:posOffset>
                </wp:positionV>
                <wp:extent cx="5339080" cy="4646295"/>
                <wp:effectExtent l="0" t="0" r="7620" b="14605"/>
                <wp:wrapSquare wrapText="bothSides"/>
                <wp:docPr id="245776235" name="Group 245776235"/>
                <wp:cNvGraphicFramePr/>
                <a:graphic xmlns:a="http://schemas.openxmlformats.org/drawingml/2006/main">
                  <a:graphicData uri="http://schemas.microsoft.com/office/word/2010/wordprocessingGroup">
                    <wpg:wgp>
                      <wpg:cNvGrpSpPr/>
                      <wpg:grpSpPr>
                        <a:xfrm>
                          <a:off x="0" y="0"/>
                          <a:ext cx="5339080" cy="4646295"/>
                          <a:chOff x="0" y="0"/>
                          <a:chExt cx="5536496" cy="4725668"/>
                        </a:xfrm>
                      </wpg:grpSpPr>
                      <wps:wsp>
                        <wps:cNvPr id="1226942865" name="Rectangle 1226942865"/>
                        <wps:cNvSpPr/>
                        <wps:spPr>
                          <a:xfrm>
                            <a:off x="3180705" y="425302"/>
                            <a:ext cx="2355790" cy="83947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84DBA1E" w14:textId="77777777" w:rsidR="007842D0" w:rsidRPr="000A34EA" w:rsidRDefault="007842D0" w:rsidP="009760CB">
                              <w:pPr>
                                <w:pStyle w:val="2024-PRISMA"/>
                              </w:pPr>
                              <w:r w:rsidRPr="000A34EA">
                                <w:t>Records removed before screening:</w:t>
                              </w:r>
                            </w:p>
                            <w:p w14:paraId="78E9DED2" w14:textId="4649BB3C" w:rsidR="007842D0" w:rsidRPr="000A34EA" w:rsidRDefault="007842D0" w:rsidP="009760CB">
                              <w:pPr>
                                <w:pStyle w:val="2024-PRISMA"/>
                              </w:pPr>
                              <w:r w:rsidRPr="000A34EA">
                                <w:t xml:space="preserve">Duplicate records removed (n = </w:t>
                              </w:r>
                              <w:r w:rsidR="002F5E57">
                                <w:t>21</w:t>
                              </w:r>
                              <w:r w:rsidRPr="000A34EA">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02226433" name="Rectangle 1302226433"/>
                        <wps:cNvSpPr/>
                        <wps:spPr>
                          <a:xfrm>
                            <a:off x="2987749" y="1509823"/>
                            <a:ext cx="1887220" cy="52641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E129FBA" w14:textId="77777777" w:rsidR="007842D0" w:rsidRPr="000A34EA" w:rsidRDefault="007842D0" w:rsidP="009760CB">
                              <w:pPr>
                                <w:pStyle w:val="2024-PRISMA"/>
                              </w:pPr>
                              <w:r w:rsidRPr="000A34EA">
                                <w:t>Records excluded</w:t>
                              </w:r>
                            </w:p>
                            <w:p w14:paraId="3B8688EC" w14:textId="50E956DC" w:rsidR="007842D0" w:rsidRPr="000A34EA" w:rsidRDefault="007842D0" w:rsidP="009760CB">
                              <w:pPr>
                                <w:pStyle w:val="2024-PRISMA"/>
                              </w:pPr>
                              <w:r w:rsidRPr="000A34EA">
                                <w:t xml:space="preserve">(n = </w:t>
                              </w:r>
                              <w:r w:rsidR="002F5E57">
                                <w:t>254</w:t>
                              </w:r>
                              <w:r w:rsidRPr="000A34EA">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00200450" name="Rectangle 1600200450"/>
                        <wps:cNvSpPr/>
                        <wps:spPr>
                          <a:xfrm>
                            <a:off x="2987749" y="2173118"/>
                            <a:ext cx="2351878" cy="6993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B8BD40F" w14:textId="77777777" w:rsidR="007842D0" w:rsidRDefault="007842D0" w:rsidP="009760CB">
                              <w:pPr>
                                <w:pStyle w:val="2024-PRISMA"/>
                              </w:pPr>
                              <w:r>
                                <w:t>Full-text unavailable</w:t>
                              </w:r>
                              <w:r w:rsidRPr="000A34EA">
                                <w:t xml:space="preserve"> (n</w:t>
                              </w:r>
                              <w:r>
                                <w:t xml:space="preserve"> = 0</w:t>
                              </w:r>
                              <w:r w:rsidRPr="000A34EA">
                                <w:t>)</w:t>
                              </w:r>
                            </w:p>
                            <w:p w14:paraId="2E530384" w14:textId="77777777" w:rsidR="007842D0" w:rsidRPr="000A34EA" w:rsidRDefault="007842D0" w:rsidP="009760CB">
                              <w:pPr>
                                <w:pStyle w:val="2024-PRISMA"/>
                              </w:pPr>
                              <w:r>
                                <w:t>Ongoing study</w:t>
                              </w:r>
                              <w:r w:rsidRPr="000A34EA">
                                <w:t xml:space="preserve"> (n</w:t>
                              </w:r>
                              <w:r>
                                <w:t xml:space="preserve"> = 2</w:t>
                              </w:r>
                              <w:r w:rsidRPr="000A34EA">
                                <w:t>)</w:t>
                              </w:r>
                            </w:p>
                            <w:p w14:paraId="30CD554A" w14:textId="77777777" w:rsidR="001D2614" w:rsidRDefault="001D2614" w:rsidP="001D2614">
                              <w:pPr>
                                <w:pStyle w:val="2024-PRISMA"/>
                              </w:pPr>
                              <w:r>
                                <w:t>Conference abstracts (n = 0)</w:t>
                              </w:r>
                            </w:p>
                            <w:p w14:paraId="41BA9E0B" w14:textId="6E13BDC5" w:rsidR="007842D0" w:rsidRPr="000A34EA" w:rsidRDefault="0097733F" w:rsidP="009760CB">
                              <w:pPr>
                                <w:pStyle w:val="2024-PRISMA"/>
                              </w:pPr>
                              <w:r>
                                <w:t>Reviews</w:t>
                              </w:r>
                              <w:r w:rsidR="007842D0" w:rsidRPr="000A34EA">
                                <w:t xml:space="preserve"> Awaiting Classification (n = </w:t>
                              </w:r>
                              <w:r w:rsidR="007842D0">
                                <w:t>0</w:t>
                              </w:r>
                              <w:r w:rsidR="007842D0" w:rsidRPr="000A34EA">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46458287" name="Rectangle 1446458287"/>
                        <wps:cNvSpPr/>
                        <wps:spPr>
                          <a:xfrm>
                            <a:off x="2987749" y="2955852"/>
                            <a:ext cx="2179320" cy="115097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A20D84B" w14:textId="7511E0E8" w:rsidR="007842D0" w:rsidRPr="000A34EA" w:rsidRDefault="007842D0" w:rsidP="009760CB">
                              <w:pPr>
                                <w:pStyle w:val="2024-PRISMA"/>
                              </w:pPr>
                              <w:r w:rsidRPr="000A34EA">
                                <w:t xml:space="preserve">Reports excluded (n = </w:t>
                              </w:r>
                              <w:r w:rsidR="003F7969">
                                <w:t>1</w:t>
                              </w:r>
                              <w:r w:rsidR="005D5A1B">
                                <w:t>5</w:t>
                              </w:r>
                              <w:r w:rsidRPr="000A34EA">
                                <w:t>):</w:t>
                              </w:r>
                            </w:p>
                            <w:p w14:paraId="3916972E" w14:textId="1F9F5B92" w:rsidR="007842D0" w:rsidRPr="000A34EA" w:rsidRDefault="007842D0" w:rsidP="009760CB">
                              <w:pPr>
                                <w:pStyle w:val="2024-PRISMA"/>
                              </w:pPr>
                              <w:r w:rsidRPr="000A34EA">
                                <w:t xml:space="preserve">Wrong study type (n = </w:t>
                              </w:r>
                              <w:r w:rsidR="00036003">
                                <w:t>1</w:t>
                              </w:r>
                              <w:r w:rsidRPr="000A34EA">
                                <w:t>)</w:t>
                              </w:r>
                            </w:p>
                            <w:p w14:paraId="32B282B3" w14:textId="5854B717" w:rsidR="007842D0" w:rsidRDefault="007842D0" w:rsidP="009760CB">
                              <w:pPr>
                                <w:pStyle w:val="2024-PRISMA"/>
                              </w:pPr>
                              <w:r>
                                <w:t xml:space="preserve">Wrong population (n = </w:t>
                              </w:r>
                              <w:r w:rsidR="002F5E57">
                                <w:t>10</w:t>
                              </w:r>
                              <w:r>
                                <w:t>)</w:t>
                              </w:r>
                            </w:p>
                            <w:p w14:paraId="054CCF58" w14:textId="17FE32E6" w:rsidR="007842D0" w:rsidRPr="000A34EA" w:rsidRDefault="007842D0" w:rsidP="009760CB">
                              <w:pPr>
                                <w:pStyle w:val="2024-PRISMA"/>
                              </w:pPr>
                              <w:r w:rsidRPr="000A34EA">
                                <w:t xml:space="preserve">Wrong intervention (n = </w:t>
                              </w:r>
                              <w:r w:rsidR="002F5E57">
                                <w:t>1</w:t>
                              </w:r>
                              <w:r w:rsidRPr="000A34EA">
                                <w:t>)</w:t>
                              </w:r>
                            </w:p>
                            <w:p w14:paraId="7440F626" w14:textId="77777777" w:rsidR="003F7969" w:rsidRDefault="006F5EBF" w:rsidP="009760CB">
                              <w:pPr>
                                <w:pStyle w:val="2024-PRISMA"/>
                              </w:pPr>
                              <w:r>
                                <w:t>Wrong comparator (n</w:t>
                              </w:r>
                              <w:r w:rsidR="003F7969">
                                <w:t xml:space="preserve"> = 1)</w:t>
                              </w:r>
                            </w:p>
                            <w:p w14:paraId="18EBD583" w14:textId="64D6888E" w:rsidR="007842D0" w:rsidRPr="000A34EA" w:rsidRDefault="007842D0" w:rsidP="009760CB">
                              <w:pPr>
                                <w:pStyle w:val="2024-PRISMA"/>
                              </w:pPr>
                              <w:r>
                                <w:t xml:space="preserve">Does not meet minimum criteria for systematic review (n = </w:t>
                              </w:r>
                              <w:r w:rsidR="003F7969">
                                <w:t>2</w:t>
                              </w:r>
                              <w: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62362791" name="Straight Arrow Connector 1262362791"/>
                        <wps:cNvCnPr/>
                        <wps:spPr>
                          <a:xfrm>
                            <a:off x="2424224" y="975833"/>
                            <a:ext cx="756482"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753141655" name="Straight Arrow Connector 753141655"/>
                        <wps:cNvCnPr/>
                        <wps:spPr>
                          <a:xfrm>
                            <a:off x="2392326" y="1720112"/>
                            <a:ext cx="563245"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277034056" name="Straight Arrow Connector 1277034056"/>
                        <wps:cNvCnPr/>
                        <wps:spPr>
                          <a:xfrm>
                            <a:off x="2402958" y="2421861"/>
                            <a:ext cx="563245"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360436346" name="Straight Arrow Connector 1360436346"/>
                        <wps:cNvCnPr/>
                        <wps:spPr>
                          <a:xfrm>
                            <a:off x="2413591" y="3155507"/>
                            <a:ext cx="563245"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721456163" name="Flowchart: Alternate Process 31"/>
                        <wps:cNvSpPr/>
                        <wps:spPr>
                          <a:xfrm rot="16200000">
                            <a:off x="-299735" y="707582"/>
                            <a:ext cx="1009400" cy="343868"/>
                          </a:xfrm>
                          <a:prstGeom prst="flowChartAlternateProcess">
                            <a:avLst/>
                          </a:prstGeom>
                          <a:solidFill>
                            <a:schemeClr val="accent5">
                              <a:lumMod val="60000"/>
                              <a:lumOff val="40000"/>
                            </a:schemeClr>
                          </a:solidFill>
                          <a:ln>
                            <a:solidFill>
                              <a:schemeClr val="tx1"/>
                            </a:solidFill>
                          </a:ln>
                        </wps:spPr>
                        <wps:style>
                          <a:lnRef idx="2">
                            <a:schemeClr val="accent4">
                              <a:shade val="50000"/>
                            </a:schemeClr>
                          </a:lnRef>
                          <a:fillRef idx="1">
                            <a:schemeClr val="accent4"/>
                          </a:fillRef>
                          <a:effectRef idx="0">
                            <a:schemeClr val="accent4"/>
                          </a:effectRef>
                          <a:fontRef idx="minor">
                            <a:schemeClr val="lt1"/>
                          </a:fontRef>
                        </wps:style>
                        <wps:txbx>
                          <w:txbxContent>
                            <w:p w14:paraId="5E7AD1F2" w14:textId="77777777" w:rsidR="007842D0" w:rsidRPr="00BF3F2C" w:rsidRDefault="007842D0" w:rsidP="009760CB">
                              <w:pPr>
                                <w:pStyle w:val="2024-PRISMA"/>
                                <w:rPr>
                                  <w:b/>
                                </w:rPr>
                              </w:pPr>
                              <w:r w:rsidRPr="00BF3F2C">
                                <w:rPr>
                                  <w:b/>
                                </w:rPr>
                                <w:t>Identification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3873741" name="Flowchart: Alternate Process 32"/>
                        <wps:cNvSpPr/>
                        <wps:spPr>
                          <a:xfrm rot="16200000">
                            <a:off x="-1017330" y="2511961"/>
                            <a:ext cx="2444743" cy="343865"/>
                          </a:xfrm>
                          <a:prstGeom prst="flowChartAlternateProcess">
                            <a:avLst/>
                          </a:prstGeom>
                          <a:solidFill>
                            <a:schemeClr val="accent5">
                              <a:lumMod val="60000"/>
                              <a:lumOff val="40000"/>
                            </a:schemeClr>
                          </a:solidFill>
                          <a:ln>
                            <a:solidFill>
                              <a:schemeClr val="tx1"/>
                            </a:solidFill>
                          </a:ln>
                        </wps:spPr>
                        <wps:style>
                          <a:lnRef idx="2">
                            <a:schemeClr val="accent4">
                              <a:shade val="50000"/>
                            </a:schemeClr>
                          </a:lnRef>
                          <a:fillRef idx="1">
                            <a:schemeClr val="accent4"/>
                          </a:fillRef>
                          <a:effectRef idx="0">
                            <a:schemeClr val="accent4"/>
                          </a:effectRef>
                          <a:fontRef idx="minor">
                            <a:schemeClr val="lt1"/>
                          </a:fontRef>
                        </wps:style>
                        <wps:txbx>
                          <w:txbxContent>
                            <w:p w14:paraId="111893A2" w14:textId="77777777" w:rsidR="007842D0" w:rsidRPr="00BF3F2C" w:rsidRDefault="007842D0" w:rsidP="00BF3F2C">
                              <w:pPr>
                                <w:pStyle w:val="2024-PRISMA"/>
                                <w:jc w:val="center"/>
                                <w:rPr>
                                  <w:b/>
                                </w:rPr>
                              </w:pPr>
                              <w:r w:rsidRPr="00BF3F2C">
                                <w:rPr>
                                  <w:b/>
                                </w:rPr>
                                <w:t>Screening</w:t>
                              </w:r>
                            </w:p>
                            <w:p w14:paraId="76E45D21" w14:textId="77777777" w:rsidR="007842D0" w:rsidRPr="00BF3F2C" w:rsidRDefault="007842D0" w:rsidP="00BF3F2C">
                              <w:pPr>
                                <w:pStyle w:val="2024-PRISMA"/>
                                <w:jc w:val="center"/>
                                <w:rPr>
                                  <w: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4922589" name="Flowchart: Alternate Process 33"/>
                        <wps:cNvSpPr/>
                        <wps:spPr>
                          <a:xfrm rot="16200000">
                            <a:off x="-154891" y="4202488"/>
                            <a:ext cx="711091" cy="335269"/>
                          </a:xfrm>
                          <a:prstGeom prst="flowChartAlternateProcess">
                            <a:avLst/>
                          </a:prstGeom>
                          <a:solidFill>
                            <a:schemeClr val="accent5">
                              <a:lumMod val="60000"/>
                              <a:lumOff val="40000"/>
                            </a:schemeClr>
                          </a:solidFill>
                          <a:ln>
                            <a:solidFill>
                              <a:schemeClr val="tx1"/>
                            </a:solidFill>
                          </a:ln>
                        </wps:spPr>
                        <wps:style>
                          <a:lnRef idx="2">
                            <a:schemeClr val="accent4">
                              <a:shade val="50000"/>
                            </a:schemeClr>
                          </a:lnRef>
                          <a:fillRef idx="1">
                            <a:schemeClr val="accent4"/>
                          </a:fillRef>
                          <a:effectRef idx="0">
                            <a:schemeClr val="accent4"/>
                          </a:effectRef>
                          <a:fontRef idx="minor">
                            <a:schemeClr val="lt1"/>
                          </a:fontRef>
                        </wps:style>
                        <wps:txbx>
                          <w:txbxContent>
                            <w:p w14:paraId="6D44D1F3" w14:textId="77777777" w:rsidR="007842D0" w:rsidRPr="00BF3F2C" w:rsidRDefault="007842D0" w:rsidP="009760CB">
                              <w:pPr>
                                <w:pStyle w:val="2024-PRISMA"/>
                                <w:rPr>
                                  <w:b/>
                                </w:rPr>
                              </w:pPr>
                              <w:r w:rsidRPr="00BF3F2C">
                                <w:rPr>
                                  <w:b/>
                                </w:rPr>
                                <w:t>Included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8038406" name="Straight Arrow Connector 1518038406"/>
                        <wps:cNvCnPr/>
                        <wps:spPr>
                          <a:xfrm>
                            <a:off x="1339407" y="1233377"/>
                            <a:ext cx="0" cy="28130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417604784" name="Straight Arrow Connector 1417604784"/>
                        <wps:cNvCnPr/>
                        <wps:spPr>
                          <a:xfrm>
                            <a:off x="1339407" y="1967023"/>
                            <a:ext cx="0" cy="28130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461793435" name="Straight Arrow Connector 1461793435"/>
                        <wps:cNvCnPr/>
                        <wps:spPr>
                          <a:xfrm>
                            <a:off x="1350040" y="2690037"/>
                            <a:ext cx="0" cy="28130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568138740" name="Straight Arrow Connector 1568138740"/>
                        <wps:cNvCnPr/>
                        <wps:spPr>
                          <a:xfrm>
                            <a:off x="1339407" y="3296093"/>
                            <a:ext cx="0" cy="74612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273205815" name="Flowchart: Alternate Process 29"/>
                        <wps:cNvSpPr/>
                        <wps:spPr>
                          <a:xfrm>
                            <a:off x="0" y="0"/>
                            <a:ext cx="5536496" cy="291848"/>
                          </a:xfrm>
                          <a:prstGeom prst="flowChartAlternateProcess">
                            <a:avLst/>
                          </a:prstGeom>
                        </wps:spPr>
                        <wps:style>
                          <a:lnRef idx="2">
                            <a:schemeClr val="accent4">
                              <a:shade val="50000"/>
                            </a:schemeClr>
                          </a:lnRef>
                          <a:fillRef idx="1">
                            <a:schemeClr val="accent4"/>
                          </a:fillRef>
                          <a:effectRef idx="0">
                            <a:schemeClr val="accent4"/>
                          </a:effectRef>
                          <a:fontRef idx="minor">
                            <a:schemeClr val="lt1"/>
                          </a:fontRef>
                        </wps:style>
                        <wps:txbx>
                          <w:txbxContent>
                            <w:p w14:paraId="5541739C" w14:textId="164E1A15" w:rsidR="007842D0" w:rsidRPr="00BF3F2C" w:rsidRDefault="007842D0" w:rsidP="00BF3F2C">
                              <w:pPr>
                                <w:pStyle w:val="2024-PRISMA"/>
                                <w:jc w:val="center"/>
                                <w:rPr>
                                  <w:b/>
                                </w:rPr>
                              </w:pPr>
                              <w:r w:rsidRPr="00BF3F2C">
                                <w:rPr>
                                  <w:b/>
                                </w:rPr>
                                <w:t xml:space="preserve">Identification of </w:t>
                              </w:r>
                              <w:r w:rsidR="00E2222A">
                                <w:rPr>
                                  <w:b/>
                                </w:rPr>
                                <w:t>reviews</w:t>
                              </w:r>
                              <w:r w:rsidR="00E2222A" w:rsidRPr="00BF3F2C">
                                <w:rPr>
                                  <w:b/>
                                </w:rPr>
                                <w:t xml:space="preserve"> </w:t>
                              </w:r>
                              <w:r w:rsidRPr="00BF3F2C">
                                <w:rPr>
                                  <w:b/>
                                </w:rPr>
                                <w:t>via databases and registers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43643177" name="Rectangle 1643643177"/>
                        <wps:cNvSpPr/>
                        <wps:spPr>
                          <a:xfrm>
                            <a:off x="499730" y="425302"/>
                            <a:ext cx="2455839" cy="839972"/>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B4EC0CC" w14:textId="78990E2D" w:rsidR="007842D0" w:rsidRPr="000A34EA" w:rsidRDefault="007842D0" w:rsidP="009760CB">
                              <w:pPr>
                                <w:pStyle w:val="2024-PRISMA"/>
                              </w:pPr>
                              <w:r w:rsidRPr="000A34EA">
                                <w:t>Records identified from:</w:t>
                              </w:r>
                            </w:p>
                            <w:p w14:paraId="4747419A" w14:textId="448EA767" w:rsidR="007842D0" w:rsidRPr="000A34EA" w:rsidRDefault="007842D0" w:rsidP="009760CB">
                              <w:pPr>
                                <w:pStyle w:val="2024-PRISMA"/>
                              </w:pPr>
                              <w:r w:rsidRPr="000A34EA">
                                <w:t xml:space="preserve">Databases and registers (n = </w:t>
                              </w:r>
                              <w:r w:rsidR="002F5E57">
                                <w:t>294</w:t>
                              </w:r>
                              <w:r w:rsidRPr="000A34EA">
                                <w:t>)</w:t>
                              </w:r>
                            </w:p>
                            <w:p w14:paraId="13AC9594" w14:textId="52C3A541" w:rsidR="007842D0" w:rsidRDefault="007842D0" w:rsidP="009760CB">
                              <w:pPr>
                                <w:pStyle w:val="2024-PRISMA"/>
                              </w:pPr>
                              <w:r w:rsidRPr="000A34EA">
                                <w:t>Manual</w:t>
                              </w:r>
                              <w:r>
                                <w:t xml:space="preserve"> or </w:t>
                              </w:r>
                              <w:r w:rsidRPr="000A34EA">
                                <w:t xml:space="preserve">citation </w:t>
                              </w:r>
                              <w:r>
                                <w:t xml:space="preserve">searching </w:t>
                              </w:r>
                              <w:r w:rsidRPr="000A34EA">
                                <w:t xml:space="preserve">(n = </w:t>
                              </w:r>
                              <w:r w:rsidR="007460BC">
                                <w:t>1</w:t>
                              </w:r>
                              <w:r w:rsidRPr="000A34EA">
                                <w:t>)</w:t>
                              </w:r>
                            </w:p>
                            <w:p w14:paraId="5EF30011" w14:textId="77777777" w:rsidR="007842D0" w:rsidRPr="000A34EA" w:rsidRDefault="007842D0" w:rsidP="009760CB">
                              <w:pPr>
                                <w:pStyle w:val="2024-PRISMA"/>
                              </w:pPr>
                              <w:r>
                                <w:t>Department’s call for evidence</w:t>
                              </w:r>
                              <w:r w:rsidRPr="000A34EA">
                                <w:t xml:space="preserve"> (n = </w:t>
                              </w:r>
                              <w:r>
                                <w:t>0</w:t>
                              </w:r>
                              <w:r w:rsidRPr="000A34EA">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86976871" name="Rectangle 1686976871"/>
                        <wps:cNvSpPr/>
                        <wps:spPr>
                          <a:xfrm>
                            <a:off x="499731" y="1520456"/>
                            <a:ext cx="1887220" cy="52641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F9116BA" w14:textId="77777777" w:rsidR="007842D0" w:rsidRPr="000A34EA" w:rsidRDefault="007842D0" w:rsidP="009760CB">
                              <w:pPr>
                                <w:pStyle w:val="2024-PRISMA"/>
                              </w:pPr>
                              <w:r w:rsidRPr="000A34EA">
                                <w:t>Records screened</w:t>
                              </w:r>
                            </w:p>
                            <w:p w14:paraId="6C21A0EE" w14:textId="6C4012D2" w:rsidR="007842D0" w:rsidRPr="000A34EA" w:rsidRDefault="007842D0" w:rsidP="009760CB">
                              <w:pPr>
                                <w:pStyle w:val="2024-PRISMA"/>
                              </w:pPr>
                              <w:r w:rsidRPr="000A34EA">
                                <w:t xml:space="preserve">(n = </w:t>
                              </w:r>
                              <w:r w:rsidR="002F5E57">
                                <w:t>27</w:t>
                              </w:r>
                              <w:r w:rsidR="007460BC">
                                <w:t>4</w:t>
                              </w:r>
                              <w:r w:rsidRPr="000A34EA">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17545733" name="Rectangle 817545733"/>
                        <wps:cNvSpPr/>
                        <wps:spPr>
                          <a:xfrm>
                            <a:off x="499731" y="2977116"/>
                            <a:ext cx="1887220" cy="52641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A88FC1E" w14:textId="77777777" w:rsidR="007842D0" w:rsidRPr="000A34EA" w:rsidRDefault="007842D0" w:rsidP="009760CB">
                              <w:pPr>
                                <w:pStyle w:val="2024-PRISMA"/>
                              </w:pPr>
                              <w:r w:rsidRPr="000A34EA">
                                <w:t>Reports assessed for eligibility</w:t>
                              </w:r>
                            </w:p>
                            <w:p w14:paraId="043CDBD3" w14:textId="047247B1" w:rsidR="007842D0" w:rsidRPr="000A34EA" w:rsidRDefault="007842D0" w:rsidP="009760CB">
                              <w:pPr>
                                <w:pStyle w:val="2024-PRISMA"/>
                              </w:pPr>
                              <w:r w:rsidRPr="000A34EA">
                                <w:t xml:space="preserve">(n = </w:t>
                              </w:r>
                              <w:r>
                                <w:t>1</w:t>
                              </w:r>
                              <w:r w:rsidR="005D5A1B">
                                <w:t>8</w:t>
                              </w:r>
                              <w:r w:rsidRPr="000A34EA">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13880854" name="Rectangle 1113880854"/>
                        <wps:cNvSpPr/>
                        <wps:spPr>
                          <a:xfrm>
                            <a:off x="489098" y="4040372"/>
                            <a:ext cx="1887220" cy="511952"/>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5CB7548" w14:textId="70711614" w:rsidR="007842D0" w:rsidRPr="000A34EA" w:rsidRDefault="00E2222A" w:rsidP="009760CB">
                              <w:pPr>
                                <w:pStyle w:val="2024-PRISMA"/>
                              </w:pPr>
                              <w:r>
                                <w:t>Reviews</w:t>
                              </w:r>
                              <w:r w:rsidRPr="000A34EA">
                                <w:t xml:space="preserve"> </w:t>
                              </w:r>
                              <w:r w:rsidR="007842D0" w:rsidRPr="000A34EA">
                                <w:t xml:space="preserve">included in </w:t>
                              </w:r>
                              <w:r>
                                <w:t>over</w:t>
                              </w:r>
                              <w:r w:rsidR="007842D0" w:rsidRPr="000A34EA">
                                <w:t>view</w:t>
                              </w:r>
                            </w:p>
                            <w:p w14:paraId="595F1329" w14:textId="15CD78A1" w:rsidR="007842D0" w:rsidRPr="000A34EA" w:rsidRDefault="007842D0" w:rsidP="009760CB">
                              <w:pPr>
                                <w:pStyle w:val="2024-PRISMA"/>
                              </w:pPr>
                              <w:r w:rsidRPr="000A34EA">
                                <w:t xml:space="preserve">(n = </w:t>
                              </w:r>
                              <w:r w:rsidR="002F5E57">
                                <w:t>3</w:t>
                              </w:r>
                              <w:r w:rsidRPr="000A34EA">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3320908" name="Rectangle 83320908"/>
                        <wps:cNvSpPr/>
                        <wps:spPr>
                          <a:xfrm>
                            <a:off x="499731" y="2243470"/>
                            <a:ext cx="1887220" cy="52641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FA36A1C" w14:textId="77777777" w:rsidR="007842D0" w:rsidRPr="000A34EA" w:rsidRDefault="007842D0" w:rsidP="009760CB">
                              <w:pPr>
                                <w:pStyle w:val="2024-PRISMA"/>
                              </w:pPr>
                              <w:r w:rsidRPr="000A34EA">
                                <w:t>Reports sought for retrieval</w:t>
                              </w:r>
                            </w:p>
                            <w:p w14:paraId="4B2A9C52" w14:textId="64BCB745" w:rsidR="007842D0" w:rsidRPr="000A34EA" w:rsidRDefault="007842D0" w:rsidP="009760CB">
                              <w:pPr>
                                <w:pStyle w:val="2024-PRISMA"/>
                              </w:pPr>
                              <w:r w:rsidRPr="000A34EA">
                                <w:t xml:space="preserve">(n = </w:t>
                              </w:r>
                              <w:r w:rsidR="007460BC">
                                <w:t>20</w:t>
                              </w:r>
                              <w:r w:rsidRPr="000A34EA">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7D6EE94" id="Group 245776235" o:spid="_x0000_s1180" style="position:absolute;margin-left:.7pt;margin-top:12.2pt;width:420.4pt;height:365.85pt;z-index:251658245;mso-width-relative:margin;mso-height-relative:margin" coordsize="55364,472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">
                <v:rect id="Rectangle 1226942865" o:spid="_x0000_s1181" style="position:absolute;left:31807;top:4253;width:23557;height:83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" filled="f" strokecolor="black [3213]" strokeweight="1pt">
                  <v:textbox>
                    <w:txbxContent>
                      <w:p w14:paraId="184DBA1E" w14:textId="77777777" w:rsidR="007842D0" w:rsidRPr="000A34EA" w:rsidRDefault="007842D0" w:rsidP="009760CB">
                        <w:pPr>
                          <w:pStyle w:val="2024-PRISMA"/>
                        </w:pPr>
                        <w:r w:rsidRPr="000A34EA">
                          <w:t>Records removed before screening:</w:t>
                        </w:r>
                      </w:p>
                      <w:p w14:paraId="78E9DED2" w14:textId="4649BB3C" w:rsidR="007842D0" w:rsidRPr="000A34EA" w:rsidRDefault="007842D0" w:rsidP="009760CB">
                        <w:pPr>
                          <w:pStyle w:val="2024-PRISMA"/>
                        </w:pPr>
                        <w:r w:rsidRPr="000A34EA">
                          <w:t xml:space="preserve">Duplicate records removed (n = </w:t>
                        </w:r>
                        <w:r w:rsidR="002F5E57">
                          <w:t>21</w:t>
                        </w:r>
                        <w:r w:rsidRPr="000A34EA">
                          <w:t>)</w:t>
                        </w:r>
                      </w:p>
                    </w:txbxContent>
                  </v:textbox>
                </v:rect>
                <v:rect id="Rectangle 1302226433" o:spid="_x0000_s1182" style="position:absolute;left:29877;top:15098;width:18872;height:52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" filled="f" strokecolor="black [3213]" strokeweight="1pt">
                  <v:textbox>
                    <w:txbxContent>
                      <w:p w14:paraId="4E129FBA" w14:textId="77777777" w:rsidR="007842D0" w:rsidRPr="000A34EA" w:rsidRDefault="007842D0" w:rsidP="009760CB">
                        <w:pPr>
                          <w:pStyle w:val="2024-PRISMA"/>
                        </w:pPr>
                        <w:r w:rsidRPr="000A34EA">
                          <w:t>Records excluded</w:t>
                        </w:r>
                      </w:p>
                      <w:p w14:paraId="3B8688EC" w14:textId="50E956DC" w:rsidR="007842D0" w:rsidRPr="000A34EA" w:rsidRDefault="007842D0" w:rsidP="009760CB">
                        <w:pPr>
                          <w:pStyle w:val="2024-PRISMA"/>
                        </w:pPr>
                        <w:r w:rsidRPr="000A34EA">
                          <w:t xml:space="preserve">(n = </w:t>
                        </w:r>
                        <w:r w:rsidR="002F5E57">
                          <w:t>254</w:t>
                        </w:r>
                        <w:r w:rsidRPr="000A34EA">
                          <w:t>)</w:t>
                        </w:r>
                      </w:p>
                    </w:txbxContent>
                  </v:textbox>
                </v:rect>
                <v:rect id="Rectangle 1600200450" o:spid="_x0000_s1183" style="position:absolute;left:29877;top:21731;width:23519;height:699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" filled="f" strokecolor="black [3213]" strokeweight="1pt">
                  <v:textbox>
                    <w:txbxContent>
                      <w:p w14:paraId="2B8BD40F" w14:textId="77777777" w:rsidR="007842D0" w:rsidRDefault="007842D0" w:rsidP="009760CB">
                        <w:pPr>
                          <w:pStyle w:val="2024-PRISMA"/>
                        </w:pPr>
                        <w:r>
                          <w:t>Full-text unavailable</w:t>
                        </w:r>
                        <w:r w:rsidRPr="000A34EA">
                          <w:t xml:space="preserve"> (n</w:t>
                        </w:r>
                        <w:r>
                          <w:t xml:space="preserve"> = 0</w:t>
                        </w:r>
                        <w:r w:rsidRPr="000A34EA">
                          <w:t>)</w:t>
                        </w:r>
                      </w:p>
                      <w:p w14:paraId="2E530384" w14:textId="77777777" w:rsidR="007842D0" w:rsidRPr="000A34EA" w:rsidRDefault="007842D0" w:rsidP="009760CB">
                        <w:pPr>
                          <w:pStyle w:val="2024-PRISMA"/>
                        </w:pPr>
                        <w:r>
                          <w:t>Ongoing study</w:t>
                        </w:r>
                        <w:r w:rsidRPr="000A34EA">
                          <w:t xml:space="preserve"> (n</w:t>
                        </w:r>
                        <w:r>
                          <w:t xml:space="preserve"> = 2</w:t>
                        </w:r>
                        <w:r w:rsidRPr="000A34EA">
                          <w:t>)</w:t>
                        </w:r>
                      </w:p>
                      <w:p w14:paraId="30CD554A" w14:textId="77777777" w:rsidR="001D2614" w:rsidRDefault="001D2614" w:rsidP="001D2614">
                        <w:pPr>
                          <w:pStyle w:val="2024-PRISMA"/>
                        </w:pPr>
                        <w:r>
                          <w:t>Conference abstracts (n = 0)</w:t>
                        </w:r>
                      </w:p>
                      <w:p w14:paraId="41BA9E0B" w14:textId="6E13BDC5" w:rsidR="007842D0" w:rsidRPr="000A34EA" w:rsidRDefault="0097733F" w:rsidP="009760CB">
                        <w:pPr>
                          <w:pStyle w:val="2024-PRISMA"/>
                        </w:pPr>
                        <w:r>
                          <w:t>Reviews</w:t>
                        </w:r>
                        <w:r w:rsidR="007842D0" w:rsidRPr="000A34EA">
                          <w:t xml:space="preserve"> Awaiting Classification (n = </w:t>
                        </w:r>
                        <w:r w:rsidR="007842D0">
                          <w:t>0</w:t>
                        </w:r>
                        <w:r w:rsidR="007842D0" w:rsidRPr="000A34EA">
                          <w:t>)</w:t>
                        </w:r>
                      </w:p>
                    </w:txbxContent>
                  </v:textbox>
                </v:rect>
                <v:rect id="Rectangle 1446458287" o:spid="_x0000_s1184" style="position:absolute;left:29877;top:29558;width:21793;height:115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" filled="f" strokecolor="black [3213]" strokeweight="1pt">
                  <v:textbox>
                    <w:txbxContent>
                      <w:p w14:paraId="5A20D84B" w14:textId="7511E0E8" w:rsidR="007842D0" w:rsidRPr="000A34EA" w:rsidRDefault="007842D0" w:rsidP="009760CB">
                        <w:pPr>
                          <w:pStyle w:val="2024-PRISMA"/>
                        </w:pPr>
                        <w:r w:rsidRPr="000A34EA">
                          <w:t xml:space="preserve">Reports excluded (n = </w:t>
                        </w:r>
                        <w:r w:rsidR="003F7969">
                          <w:t>1</w:t>
                        </w:r>
                        <w:r w:rsidR="005D5A1B">
                          <w:t>5</w:t>
                        </w:r>
                        <w:r w:rsidRPr="000A34EA">
                          <w:t>):</w:t>
                        </w:r>
                      </w:p>
                      <w:p w14:paraId="3916972E" w14:textId="1F9F5B92" w:rsidR="007842D0" w:rsidRPr="000A34EA" w:rsidRDefault="007842D0" w:rsidP="009760CB">
                        <w:pPr>
                          <w:pStyle w:val="2024-PRISMA"/>
                        </w:pPr>
                        <w:r w:rsidRPr="000A34EA">
                          <w:t xml:space="preserve">Wrong study type (n = </w:t>
                        </w:r>
                        <w:r w:rsidR="00036003">
                          <w:t>1</w:t>
                        </w:r>
                        <w:r w:rsidRPr="000A34EA">
                          <w:t>)</w:t>
                        </w:r>
                      </w:p>
                      <w:p w14:paraId="32B282B3" w14:textId="5854B717" w:rsidR="007842D0" w:rsidRDefault="007842D0" w:rsidP="009760CB">
                        <w:pPr>
                          <w:pStyle w:val="2024-PRISMA"/>
                        </w:pPr>
                        <w:r>
                          <w:t xml:space="preserve">Wrong population (n = </w:t>
                        </w:r>
                        <w:r w:rsidR="002F5E57">
                          <w:t>10</w:t>
                        </w:r>
                        <w:r>
                          <w:t>)</w:t>
                        </w:r>
                      </w:p>
                      <w:p w14:paraId="054CCF58" w14:textId="17FE32E6" w:rsidR="007842D0" w:rsidRPr="000A34EA" w:rsidRDefault="007842D0" w:rsidP="009760CB">
                        <w:pPr>
                          <w:pStyle w:val="2024-PRISMA"/>
                        </w:pPr>
                        <w:r w:rsidRPr="000A34EA">
                          <w:t xml:space="preserve">Wrong intervention (n = </w:t>
                        </w:r>
                        <w:r w:rsidR="002F5E57">
                          <w:t>1</w:t>
                        </w:r>
                        <w:r w:rsidRPr="000A34EA">
                          <w:t>)</w:t>
                        </w:r>
                      </w:p>
                      <w:p w14:paraId="7440F626" w14:textId="77777777" w:rsidR="003F7969" w:rsidRDefault="006F5EBF" w:rsidP="009760CB">
                        <w:pPr>
                          <w:pStyle w:val="2024-PRISMA"/>
                        </w:pPr>
                        <w:r>
                          <w:t>Wrong comparator (n</w:t>
                        </w:r>
                        <w:r w:rsidR="003F7969">
                          <w:t xml:space="preserve"> = 1)</w:t>
                        </w:r>
                      </w:p>
                      <w:p w14:paraId="18EBD583" w14:textId="64D6888E" w:rsidR="007842D0" w:rsidRPr="000A34EA" w:rsidRDefault="007842D0" w:rsidP="009760CB">
                        <w:pPr>
                          <w:pStyle w:val="2024-PRISMA"/>
                        </w:pPr>
                        <w:r>
                          <w:t xml:space="preserve">Does not meet minimum criteria for systematic review (n = </w:t>
                        </w:r>
                        <w:r w:rsidR="003F7969">
                          <w:t>2</w:t>
                        </w:r>
                        <w:r>
                          <w:t>)</w:t>
                        </w:r>
                      </w:p>
                    </w:txbxContent>
                  </v:textbox>
                </v:rect>
                <v:shape id="Straight Arrow Connector 1262362791" o:spid="_x0000_s1185" type="#_x0000_t32" style="position:absolute;left:24242;top:9758;width:756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" strokecolor="black [3213]" strokeweight=".5pt">
                  <v:stroke endarrow="block" joinstyle="miter"/>
                </v:shape>
                <v:shape id="Straight Arrow Connector 753141655" o:spid="_x0000_s1186" type="#_x0000_t32" style="position:absolute;left:23923;top:17201;width:563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" strokecolor="black [3213]" strokeweight=".5pt">
                  <v:stroke endarrow="block" joinstyle="miter"/>
                </v:shape>
                <v:shape id="Straight Arrow Connector 1277034056" o:spid="_x0000_s1187" type="#_x0000_t32" style="position:absolute;left:24029;top:24218;width:563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" strokecolor="black [3213]" strokeweight=".5pt">
                  <v:stroke endarrow="block" joinstyle="miter"/>
                </v:shape>
                <v:shape id="Straight Arrow Connector 1360436346" o:spid="_x0000_s1188" type="#_x0000_t32" style="position:absolute;left:24135;top:31555;width:563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" strokecolor="black [3213]" strokeweight=".5pt">
                  <v:stroke endarrow="block" joinstyle="miter"/>
                </v:shape>
                <v:shape id="Flowchart: Alternate Process 31" o:spid="_x0000_s1189" type="#_x0000_t176" style="position:absolute;left:-2998;top:7076;width:10094;height:3438;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" fillcolor="#9cc2e5 [1944]" strokecolor="black [3213]" strokeweight="1pt">
                  <v:textbox>
                    <w:txbxContent>
                      <w:p w14:paraId="5E7AD1F2" w14:textId="77777777" w:rsidR="007842D0" w:rsidRPr="00BF3F2C" w:rsidRDefault="007842D0" w:rsidP="009760CB">
                        <w:pPr>
                          <w:pStyle w:val="2024-PRISMA"/>
                          <w:rPr>
                            <w:b/>
                          </w:rPr>
                        </w:pPr>
                        <w:r w:rsidRPr="00BF3F2C">
                          <w:rPr>
                            <w:b/>
                          </w:rPr>
                          <w:t>Identification</w:t>
                        </w:r>
                      </w:p>
                    </w:txbxContent>
                  </v:textbox>
                </v:shape>
                <v:shape id="Flowchart: Alternate Process 32" o:spid="_x0000_s1190" type="#_x0000_t176" style="position:absolute;left:-10174;top:25120;width:24447;height:3438;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" fillcolor="#9cc2e5 [1944]" strokecolor="black [3213]" strokeweight="1pt">
                  <v:textbox>
                    <w:txbxContent>
                      <w:p w14:paraId="111893A2" w14:textId="77777777" w:rsidR="007842D0" w:rsidRPr="00BF3F2C" w:rsidRDefault="007842D0" w:rsidP="00BF3F2C">
                        <w:pPr>
                          <w:pStyle w:val="2024-PRISMA"/>
                          <w:jc w:val="center"/>
                          <w:rPr>
                            <w:b/>
                          </w:rPr>
                        </w:pPr>
                        <w:r w:rsidRPr="00BF3F2C">
                          <w:rPr>
                            <w:b/>
                          </w:rPr>
                          <w:t>Screening</w:t>
                        </w:r>
                      </w:p>
                      <w:p w14:paraId="76E45D21" w14:textId="77777777" w:rsidR="007842D0" w:rsidRPr="00BF3F2C" w:rsidRDefault="007842D0" w:rsidP="00BF3F2C">
                        <w:pPr>
                          <w:pStyle w:val="2024-PRISMA"/>
                          <w:jc w:val="center"/>
                          <w:rPr>
                            <w:b/>
                          </w:rPr>
                        </w:pPr>
                      </w:p>
                    </w:txbxContent>
                  </v:textbox>
                </v:shape>
                <v:shape id="Flowchart: Alternate Process 33" o:spid="_x0000_s1191" type="#_x0000_t176" style="position:absolute;left:-1550;top:42025;width:7111;height:3352;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" fillcolor="#9cc2e5 [1944]" strokecolor="black [3213]" strokeweight="1pt">
                  <v:textbox>
                    <w:txbxContent>
                      <w:p w14:paraId="6D44D1F3" w14:textId="77777777" w:rsidR="007842D0" w:rsidRPr="00BF3F2C" w:rsidRDefault="007842D0" w:rsidP="009760CB">
                        <w:pPr>
                          <w:pStyle w:val="2024-PRISMA"/>
                          <w:rPr>
                            <w:b/>
                          </w:rPr>
                        </w:pPr>
                        <w:r w:rsidRPr="00BF3F2C">
                          <w:rPr>
                            <w:b/>
                          </w:rPr>
                          <w:t>Included</w:t>
                        </w:r>
                      </w:p>
                    </w:txbxContent>
                  </v:textbox>
                </v:shape>
                <v:shape id="Straight Arrow Connector 1518038406" o:spid="_x0000_s1192" type="#_x0000_t32" style="position:absolute;left:13394;top:12333;width:0;height:281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" strokecolor="black [3213]" strokeweight=".5pt">
                  <v:stroke endarrow="block" joinstyle="miter"/>
                </v:shape>
                <v:shape id="Straight Arrow Connector 1417604784" o:spid="_x0000_s1193" type="#_x0000_t32" style="position:absolute;left:13394;top:19670;width:0;height:281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" strokecolor="black [3213]" strokeweight=".5pt">
                  <v:stroke endarrow="block" joinstyle="miter"/>
                </v:shape>
                <v:shape id="Straight Arrow Connector 1461793435" o:spid="_x0000_s1194" type="#_x0000_t32" style="position:absolute;left:13500;top:26900;width:0;height:281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" strokecolor="black [3213]" strokeweight=".5pt">
                  <v:stroke endarrow="block" joinstyle="miter"/>
                </v:shape>
                <v:shape id="Straight Arrow Connector 1568138740" o:spid="_x0000_s1195" type="#_x0000_t32" style="position:absolute;left:13394;top:32960;width:0;height:746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" strokecolor="black [3213]" strokeweight=".5pt">
                  <v:stroke endarrow="block" joinstyle="miter"/>
                </v:shape>
                <v:shape id="Flowchart: Alternate Process 29" o:spid="_x0000_s1196" type="#_x0000_t176" style="position:absolute;width:55364;height:29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" fillcolor="#ffc000 [3207]" strokecolor="#7f5f00 [1607]" strokeweight="1pt">
                  <v:textbox>
                    <w:txbxContent>
                      <w:p w14:paraId="5541739C" w14:textId="164E1A15" w:rsidR="007842D0" w:rsidRPr="00BF3F2C" w:rsidRDefault="007842D0" w:rsidP="00BF3F2C">
                        <w:pPr>
                          <w:pStyle w:val="2024-PRISMA"/>
                          <w:jc w:val="center"/>
                          <w:rPr>
                            <w:b/>
                          </w:rPr>
                        </w:pPr>
                        <w:r w:rsidRPr="00BF3F2C">
                          <w:rPr>
                            <w:b/>
                          </w:rPr>
                          <w:t xml:space="preserve">Identification of </w:t>
                        </w:r>
                        <w:r w:rsidR="00E2222A">
                          <w:rPr>
                            <w:b/>
                          </w:rPr>
                          <w:t>reviews</w:t>
                        </w:r>
                        <w:r w:rsidR="00E2222A" w:rsidRPr="00BF3F2C">
                          <w:rPr>
                            <w:b/>
                          </w:rPr>
                          <w:t xml:space="preserve"> </w:t>
                        </w:r>
                        <w:r w:rsidRPr="00BF3F2C">
                          <w:rPr>
                            <w:b/>
                          </w:rPr>
                          <w:t>via databases and registers</w:t>
                        </w:r>
                      </w:p>
                    </w:txbxContent>
                  </v:textbox>
                </v:shape>
                <v:rect id="Rectangle 1643643177" o:spid="_x0000_s1197" style="position:absolute;left:4997;top:4253;width:24558;height:83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" fillcolor="white [3212]" strokecolor="black [3213]" strokeweight="1pt">
                  <v:textbox>
                    <w:txbxContent>
                      <w:p w14:paraId="6B4EC0CC" w14:textId="78990E2D" w:rsidR="007842D0" w:rsidRPr="000A34EA" w:rsidRDefault="007842D0" w:rsidP="009760CB">
                        <w:pPr>
                          <w:pStyle w:val="2024-PRISMA"/>
                        </w:pPr>
                        <w:r w:rsidRPr="000A34EA">
                          <w:t>Records identified from:</w:t>
                        </w:r>
                      </w:p>
                      <w:p w14:paraId="4747419A" w14:textId="448EA767" w:rsidR="007842D0" w:rsidRPr="000A34EA" w:rsidRDefault="007842D0" w:rsidP="009760CB">
                        <w:pPr>
                          <w:pStyle w:val="2024-PRISMA"/>
                        </w:pPr>
                        <w:r w:rsidRPr="000A34EA">
                          <w:t xml:space="preserve">Databases and registers (n = </w:t>
                        </w:r>
                        <w:r w:rsidR="002F5E57">
                          <w:t>294</w:t>
                        </w:r>
                        <w:r w:rsidRPr="000A34EA">
                          <w:t>)</w:t>
                        </w:r>
                      </w:p>
                      <w:p w14:paraId="13AC9594" w14:textId="52C3A541" w:rsidR="007842D0" w:rsidRDefault="007842D0" w:rsidP="009760CB">
                        <w:pPr>
                          <w:pStyle w:val="2024-PRISMA"/>
                        </w:pPr>
                        <w:r w:rsidRPr="000A34EA">
                          <w:t>Manual</w:t>
                        </w:r>
                        <w:r>
                          <w:t xml:space="preserve"> or </w:t>
                        </w:r>
                        <w:r w:rsidRPr="000A34EA">
                          <w:t xml:space="preserve">citation </w:t>
                        </w:r>
                        <w:r>
                          <w:t xml:space="preserve">searching </w:t>
                        </w:r>
                        <w:r w:rsidRPr="000A34EA">
                          <w:t xml:space="preserve">(n = </w:t>
                        </w:r>
                        <w:r w:rsidR="007460BC">
                          <w:t>1</w:t>
                        </w:r>
                        <w:r w:rsidRPr="000A34EA">
                          <w:t>)</w:t>
                        </w:r>
                      </w:p>
                      <w:p w14:paraId="5EF30011" w14:textId="77777777" w:rsidR="007842D0" w:rsidRPr="000A34EA" w:rsidRDefault="007842D0" w:rsidP="009760CB">
                        <w:pPr>
                          <w:pStyle w:val="2024-PRISMA"/>
                        </w:pPr>
                        <w:r>
                          <w:t>Department’s call for evidence</w:t>
                        </w:r>
                        <w:r w:rsidRPr="000A34EA">
                          <w:t xml:space="preserve"> (n = </w:t>
                        </w:r>
                        <w:r>
                          <w:t>0</w:t>
                        </w:r>
                        <w:r w:rsidRPr="000A34EA">
                          <w:t>)</w:t>
                        </w:r>
                      </w:p>
                    </w:txbxContent>
                  </v:textbox>
                </v:rect>
                <v:rect id="Rectangle 1686976871" o:spid="_x0000_s1198" style="position:absolute;left:4997;top:15204;width:18872;height:52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" fillcolor="white [3212]" strokecolor="black [3213]" strokeweight="1pt">
                  <v:textbox>
                    <w:txbxContent>
                      <w:p w14:paraId="2F9116BA" w14:textId="77777777" w:rsidR="007842D0" w:rsidRPr="000A34EA" w:rsidRDefault="007842D0" w:rsidP="009760CB">
                        <w:pPr>
                          <w:pStyle w:val="2024-PRISMA"/>
                        </w:pPr>
                        <w:r w:rsidRPr="000A34EA">
                          <w:t>Records screened</w:t>
                        </w:r>
                      </w:p>
                      <w:p w14:paraId="6C21A0EE" w14:textId="6C4012D2" w:rsidR="007842D0" w:rsidRPr="000A34EA" w:rsidRDefault="007842D0" w:rsidP="009760CB">
                        <w:pPr>
                          <w:pStyle w:val="2024-PRISMA"/>
                        </w:pPr>
                        <w:r w:rsidRPr="000A34EA">
                          <w:t xml:space="preserve">(n = </w:t>
                        </w:r>
                        <w:r w:rsidR="002F5E57">
                          <w:t>27</w:t>
                        </w:r>
                        <w:r w:rsidR="007460BC">
                          <w:t>4</w:t>
                        </w:r>
                        <w:r w:rsidRPr="000A34EA">
                          <w:t>)</w:t>
                        </w:r>
                      </w:p>
                    </w:txbxContent>
                  </v:textbox>
                </v:rect>
                <v:rect id="Rectangle 817545733" o:spid="_x0000_s1199" style="position:absolute;left:4997;top:29771;width:18872;height:52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" fillcolor="white [3212]" strokecolor="black [3213]" strokeweight="1pt">
                  <v:textbox>
                    <w:txbxContent>
                      <w:p w14:paraId="4A88FC1E" w14:textId="77777777" w:rsidR="007842D0" w:rsidRPr="000A34EA" w:rsidRDefault="007842D0" w:rsidP="009760CB">
                        <w:pPr>
                          <w:pStyle w:val="2024-PRISMA"/>
                        </w:pPr>
                        <w:r w:rsidRPr="000A34EA">
                          <w:t>Reports assessed for eligibility</w:t>
                        </w:r>
                      </w:p>
                      <w:p w14:paraId="043CDBD3" w14:textId="047247B1" w:rsidR="007842D0" w:rsidRPr="000A34EA" w:rsidRDefault="007842D0" w:rsidP="009760CB">
                        <w:pPr>
                          <w:pStyle w:val="2024-PRISMA"/>
                        </w:pPr>
                        <w:r w:rsidRPr="000A34EA">
                          <w:t xml:space="preserve">(n = </w:t>
                        </w:r>
                        <w:r>
                          <w:t>1</w:t>
                        </w:r>
                        <w:r w:rsidR="005D5A1B">
                          <w:t>8</w:t>
                        </w:r>
                        <w:r w:rsidRPr="000A34EA">
                          <w:t>)</w:t>
                        </w:r>
                      </w:p>
                    </w:txbxContent>
                  </v:textbox>
                </v:rect>
                <v:rect id="Rectangle 1113880854" o:spid="_x0000_s1200" style="position:absolute;left:4890;top:40403;width:18873;height:51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" fillcolor="white [3212]" strokecolor="black [3213]" strokeweight="1pt">
                  <v:textbox>
                    <w:txbxContent>
                      <w:p w14:paraId="35CB7548" w14:textId="70711614" w:rsidR="007842D0" w:rsidRPr="000A34EA" w:rsidRDefault="00E2222A" w:rsidP="009760CB">
                        <w:pPr>
                          <w:pStyle w:val="2024-PRISMA"/>
                        </w:pPr>
                        <w:r>
                          <w:t>Reviews</w:t>
                        </w:r>
                        <w:r w:rsidRPr="000A34EA">
                          <w:t xml:space="preserve"> </w:t>
                        </w:r>
                        <w:r w:rsidR="007842D0" w:rsidRPr="000A34EA">
                          <w:t xml:space="preserve">included in </w:t>
                        </w:r>
                        <w:r>
                          <w:t>over</w:t>
                        </w:r>
                        <w:r w:rsidR="007842D0" w:rsidRPr="000A34EA">
                          <w:t>view</w:t>
                        </w:r>
                      </w:p>
                      <w:p w14:paraId="595F1329" w14:textId="15CD78A1" w:rsidR="007842D0" w:rsidRPr="000A34EA" w:rsidRDefault="007842D0" w:rsidP="009760CB">
                        <w:pPr>
                          <w:pStyle w:val="2024-PRISMA"/>
                        </w:pPr>
                        <w:r w:rsidRPr="000A34EA">
                          <w:t xml:space="preserve">(n = </w:t>
                        </w:r>
                        <w:r w:rsidR="002F5E57">
                          <w:t>3</w:t>
                        </w:r>
                        <w:r w:rsidRPr="000A34EA">
                          <w:t>)</w:t>
                        </w:r>
                      </w:p>
                    </w:txbxContent>
                  </v:textbox>
                </v:rect>
                <v:rect id="Rectangle 83320908" o:spid="_x0000_s1201" style="position:absolute;left:4997;top:22434;width:18872;height:52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" fillcolor="white [3212]" strokecolor="black [3213]" strokeweight="1pt">
                  <v:textbox>
                    <w:txbxContent>
                      <w:p w14:paraId="4FA36A1C" w14:textId="77777777" w:rsidR="007842D0" w:rsidRPr="000A34EA" w:rsidRDefault="007842D0" w:rsidP="009760CB">
                        <w:pPr>
                          <w:pStyle w:val="2024-PRISMA"/>
                        </w:pPr>
                        <w:r w:rsidRPr="000A34EA">
                          <w:t>Reports sought for retrieval</w:t>
                        </w:r>
                      </w:p>
                      <w:p w14:paraId="4B2A9C52" w14:textId="64BCB745" w:rsidR="007842D0" w:rsidRPr="000A34EA" w:rsidRDefault="007842D0" w:rsidP="009760CB">
                        <w:pPr>
                          <w:pStyle w:val="2024-PRISMA"/>
                        </w:pPr>
                        <w:r w:rsidRPr="000A34EA">
                          <w:t xml:space="preserve">(n = </w:t>
                        </w:r>
                        <w:r w:rsidR="007460BC">
                          <w:t>20</w:t>
                        </w:r>
                        <w:r w:rsidRPr="000A34EA">
                          <w:t>)</w:t>
                        </w:r>
                      </w:p>
                    </w:txbxContent>
                  </v:textbox>
                </v:rect>
                <w10:wrap type="square"/>
              </v:group>
            </w:pict>
          </mc:Fallback>
        </mc:AlternateContent>
      </w:r>
    </w:p>
    <w:p w14:paraId="191623A1" w14:textId="77777777" w:rsidR="007842D0" w:rsidRPr="0054775B" w:rsidRDefault="007842D0" w:rsidP="009E6F7F"/>
    <w:p w14:paraId="01618CEB" w14:textId="77777777" w:rsidR="007842D0" w:rsidRPr="0054775B" w:rsidRDefault="007842D0" w:rsidP="009E6F7F"/>
    <w:p w14:paraId="1667B40B" w14:textId="77777777" w:rsidR="007842D0" w:rsidRPr="0054775B" w:rsidRDefault="007842D0" w:rsidP="009E6F7F"/>
    <w:p w14:paraId="2372C4F8" w14:textId="77777777" w:rsidR="007842D0" w:rsidRPr="0054775B" w:rsidRDefault="007842D0" w:rsidP="009E6F7F"/>
    <w:p w14:paraId="04FB1B34" w14:textId="77777777" w:rsidR="007842D0" w:rsidRPr="0054775B" w:rsidRDefault="007842D0" w:rsidP="009E6F7F"/>
    <w:p w14:paraId="304F3F18" w14:textId="77777777" w:rsidR="007842D0" w:rsidRPr="0054775B" w:rsidRDefault="007842D0" w:rsidP="009E6F7F"/>
    <w:p w14:paraId="6B344974" w14:textId="77777777" w:rsidR="007842D0" w:rsidRPr="0054775B" w:rsidRDefault="007842D0" w:rsidP="009E6F7F"/>
    <w:p w14:paraId="4FF2E582" w14:textId="77777777" w:rsidR="007842D0" w:rsidRPr="0054775B" w:rsidRDefault="007842D0" w:rsidP="009E6F7F"/>
    <w:p w14:paraId="345B7FC6" w14:textId="77777777" w:rsidR="007842D0" w:rsidRPr="0054775B" w:rsidRDefault="007842D0" w:rsidP="009E6F7F"/>
    <w:p w14:paraId="354196B6" w14:textId="77777777" w:rsidR="007842D0" w:rsidRPr="0054775B" w:rsidRDefault="007842D0" w:rsidP="009E6F7F"/>
    <w:p w14:paraId="303F9E68" w14:textId="77777777" w:rsidR="007842D0" w:rsidRPr="0054775B" w:rsidRDefault="007842D0" w:rsidP="009E6F7F"/>
    <w:p w14:paraId="13ACD0E7" w14:textId="77777777" w:rsidR="007842D0" w:rsidRPr="0054775B" w:rsidRDefault="007842D0" w:rsidP="009E6F7F"/>
    <w:p w14:paraId="2860195A" w14:textId="77777777" w:rsidR="007842D0" w:rsidRPr="0054775B" w:rsidRDefault="007842D0" w:rsidP="009E6F7F"/>
    <w:p w14:paraId="25E9E047" w14:textId="77777777" w:rsidR="007842D0" w:rsidRPr="0054775B" w:rsidRDefault="007842D0" w:rsidP="009E6F7F"/>
    <w:p w14:paraId="042CAE43" w14:textId="77777777" w:rsidR="007842D0" w:rsidRPr="0054775B" w:rsidRDefault="007842D0" w:rsidP="009E6F7F"/>
    <w:p w14:paraId="6AC4CB0A" w14:textId="77777777" w:rsidR="007842D0" w:rsidRPr="0054775B" w:rsidRDefault="007842D0" w:rsidP="009E6F7F"/>
    <w:p w14:paraId="448CEA21" w14:textId="77777777" w:rsidR="008308E9" w:rsidRPr="0054775B" w:rsidRDefault="008308E9" w:rsidP="009E6F7F">
      <w:pPr>
        <w:pStyle w:val="2024HEADER3"/>
        <w:rPr>
          <w:rFonts w:ascii="Aptos" w:hAnsi="Aptos"/>
        </w:rPr>
      </w:pPr>
      <w:r w:rsidRPr="0054775B">
        <w:rPr>
          <w:rFonts w:ascii="Aptos" w:hAnsi="Aptos"/>
        </w:rPr>
        <w:t>Description of included reviews</w:t>
      </w:r>
    </w:p>
    <w:p w14:paraId="6538FB61" w14:textId="1845272E" w:rsidR="007842D0" w:rsidRPr="0054775B" w:rsidRDefault="007842D0" w:rsidP="009E6F7F">
      <w:r w:rsidRPr="0054775B">
        <w:t xml:space="preserve">Three </w:t>
      </w:r>
      <w:r w:rsidR="006619FC" w:rsidRPr="0054775B">
        <w:t>reviews</w:t>
      </w:r>
      <w:r w:rsidRPr="0054775B">
        <w:t xml:space="preserve"> were identified as eligible for inclusion; </w:t>
      </w:r>
      <w:r w:rsidR="003C2AC9">
        <w:t>review</w:t>
      </w:r>
      <w:r w:rsidR="003C2AC9" w:rsidRPr="0054775B">
        <w:t xml:space="preserve"> </w:t>
      </w:r>
      <w:r w:rsidRPr="0054775B">
        <w:t xml:space="preserve">characteristics are reported in detail in Appendix </w:t>
      </w:r>
      <w:r w:rsidR="00836CC7">
        <w:t>D</w:t>
      </w:r>
      <w:r w:rsidRPr="0054775B">
        <w:t>. The included reviews were conducted between 20</w:t>
      </w:r>
      <w:r w:rsidR="006619FC" w:rsidRPr="0054775B">
        <w:t>12</w:t>
      </w:r>
      <w:r w:rsidRPr="0054775B">
        <w:t xml:space="preserve"> and 202</w:t>
      </w:r>
      <w:r w:rsidR="006619FC" w:rsidRPr="0054775B">
        <w:t>0</w:t>
      </w:r>
      <w:r w:rsidRPr="0054775B">
        <w:t>.</w:t>
      </w:r>
    </w:p>
    <w:p w14:paraId="55B58ECF" w14:textId="57A4BE42" w:rsidR="00C81C05" w:rsidRPr="0054775B" w:rsidRDefault="00B9742F" w:rsidP="009E6F7F">
      <w:r w:rsidRPr="0054775B">
        <w:t xml:space="preserve">All reviews examined atopic dermatitis as the condition of interest. </w:t>
      </w:r>
      <w:r w:rsidR="00736FBB" w:rsidRPr="0054775B">
        <w:t>Two</w:t>
      </w:r>
      <w:r w:rsidRPr="0054775B">
        <w:t xml:space="preserve"> reviews</w:t>
      </w:r>
      <w:r w:rsidR="001B0547" w:rsidRPr="0054775B">
        <w:t xml:space="preserve"> aimed to evaluate the evidence for zinc </w:t>
      </w:r>
      <w:r w:rsidR="00C75508" w:rsidRPr="0054775B">
        <w:t>specifically in treatment of atopic dermatitis</w:t>
      </w:r>
      <w:r w:rsidRPr="0054775B">
        <w:t xml:space="preserve"> </w:t>
      </w:r>
      <w:r w:rsidR="00F54937">
        <w:rPr>
          <w:noProof/>
        </w:rPr>
        <w:t>(135, 136)</w:t>
      </w:r>
      <w:r w:rsidR="00736FBB" w:rsidRPr="0054775B">
        <w:t xml:space="preserve">; </w:t>
      </w:r>
      <w:r w:rsidR="000071E8">
        <w:t xml:space="preserve">only one included </w:t>
      </w:r>
      <w:r w:rsidR="00E0350A">
        <w:t>a meta-analysis</w:t>
      </w:r>
      <w:r w:rsidR="000071E8">
        <w:t xml:space="preserve"> </w:t>
      </w:r>
      <w:r w:rsidR="00F54937">
        <w:rPr>
          <w:noProof/>
        </w:rPr>
        <w:t>(135)</w:t>
      </w:r>
      <w:r w:rsidR="00736FBB" w:rsidRPr="0054775B">
        <w:t xml:space="preserve">. </w:t>
      </w:r>
      <w:r w:rsidR="00C81C05" w:rsidRPr="0054775B">
        <w:t xml:space="preserve">The third </w:t>
      </w:r>
      <w:r w:rsidR="00041C48" w:rsidRPr="0054775B">
        <w:t xml:space="preserve">eligible </w:t>
      </w:r>
      <w:r w:rsidR="00C81C05" w:rsidRPr="0054775B">
        <w:t>review was a Cochrane review aiming</w:t>
      </w:r>
      <w:r w:rsidR="00344099" w:rsidRPr="0054775B">
        <w:t xml:space="preserve"> to evaluate a range of dietary supplements for treating established atopic eczema</w:t>
      </w:r>
      <w:r w:rsidR="00C81C05" w:rsidRPr="0054775B">
        <w:t xml:space="preserve"> (dermatitis) </w:t>
      </w:r>
      <w:r w:rsidR="00F54937">
        <w:rPr>
          <w:noProof/>
        </w:rPr>
        <w:t>(137)</w:t>
      </w:r>
      <w:r w:rsidR="00344099" w:rsidRPr="0054775B">
        <w:t>.</w:t>
      </w:r>
      <w:r w:rsidR="00C75508" w:rsidRPr="0054775B">
        <w:t xml:space="preserve"> </w:t>
      </w:r>
    </w:p>
    <w:p w14:paraId="6CFED0D2" w14:textId="77777777" w:rsidR="008308E9" w:rsidRPr="0054775B" w:rsidRDefault="008308E9" w:rsidP="009E6F7F">
      <w:pPr>
        <w:pStyle w:val="2024HEADER3"/>
        <w:rPr>
          <w:rFonts w:ascii="Aptos" w:hAnsi="Aptos"/>
        </w:rPr>
      </w:pPr>
      <w:r w:rsidRPr="0054775B">
        <w:rPr>
          <w:rFonts w:ascii="Aptos" w:hAnsi="Aptos"/>
        </w:rPr>
        <w:t>Assessment of risk of bias of included systematic reviews</w:t>
      </w:r>
    </w:p>
    <w:p w14:paraId="069E0A85" w14:textId="0A091F7D" w:rsidR="008308E9" w:rsidRPr="0054775B" w:rsidRDefault="00776530" w:rsidP="009E6F7F">
      <w:r w:rsidRPr="0054775B">
        <w:t xml:space="preserve">Risk </w:t>
      </w:r>
      <w:r w:rsidR="00C81C05" w:rsidRPr="0054775B">
        <w:t xml:space="preserve">of bias assessments of the included reviews, as appraised using the ROBIS tool, are presented below. </w:t>
      </w:r>
      <w:r w:rsidR="006D3FE4" w:rsidRPr="0054775B">
        <w:t xml:space="preserve">Full assessments are reported in Appendix </w:t>
      </w:r>
      <w:r w:rsidR="00836CC7">
        <w:t>F</w:t>
      </w:r>
      <w:r w:rsidRPr="0054775B">
        <w:t>.</w:t>
      </w:r>
    </w:p>
    <w:p w14:paraId="6F7D1B6A" w14:textId="3D038AA0" w:rsidR="00776530" w:rsidRPr="0054775B" w:rsidRDefault="00776530" w:rsidP="009760CB">
      <w:pPr>
        <w:pStyle w:val="2024TABLECAPTION"/>
        <w:rPr>
          <w:rFonts w:ascii="Aptos" w:hAnsi="Aptos"/>
        </w:rPr>
      </w:pPr>
      <w:bookmarkStart w:id="98" w:name="_Toc185261604"/>
      <w:r w:rsidRPr="0054775B">
        <w:rPr>
          <w:rFonts w:ascii="Aptos" w:hAnsi="Aptos"/>
        </w:rPr>
        <w:t xml:space="preserve">Table </w:t>
      </w:r>
      <w:r w:rsidRPr="0054775B">
        <w:rPr>
          <w:rFonts w:ascii="Aptos" w:hAnsi="Aptos"/>
        </w:rPr>
        <w:fldChar w:fldCharType="begin"/>
      </w:r>
      <w:r w:rsidRPr="0054775B">
        <w:rPr>
          <w:rFonts w:ascii="Aptos" w:hAnsi="Aptos"/>
        </w:rPr>
        <w:instrText>SEQ Table \* ARABIC</w:instrText>
      </w:r>
      <w:r w:rsidRPr="0054775B">
        <w:rPr>
          <w:rFonts w:ascii="Aptos" w:hAnsi="Aptos"/>
        </w:rPr>
        <w:fldChar w:fldCharType="separate"/>
      </w:r>
      <w:r w:rsidR="00CB3AAD" w:rsidRPr="0054775B" w:rsidDel="004E7C54">
        <w:rPr>
          <w:rFonts w:ascii="Aptos" w:hAnsi="Aptos"/>
          <w:noProof/>
        </w:rPr>
        <w:t>26</w:t>
      </w:r>
      <w:r w:rsidRPr="0054775B">
        <w:rPr>
          <w:rFonts w:ascii="Aptos" w:hAnsi="Aptos"/>
        </w:rPr>
        <w:fldChar w:fldCharType="end"/>
      </w:r>
      <w:r w:rsidRPr="0054775B">
        <w:rPr>
          <w:rFonts w:ascii="Aptos" w:hAnsi="Aptos"/>
        </w:rPr>
        <w:t xml:space="preserve">. Summary of ROBIS assessments – </w:t>
      </w:r>
      <w:r w:rsidR="00870BD1" w:rsidRPr="0054775B">
        <w:rPr>
          <w:rFonts w:ascii="Aptos" w:hAnsi="Aptos"/>
        </w:rPr>
        <w:t>atopic disorders, zinc</w:t>
      </w:r>
      <w:bookmarkEnd w:id="98"/>
    </w:p>
    <w:tbl>
      <w:tblPr>
        <w:tblW w:w="901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28" w:type="dxa"/>
        </w:tblCellMar>
        <w:tblLook w:val="04A0" w:firstRow="1" w:lastRow="0" w:firstColumn="1" w:lastColumn="0" w:noHBand="0" w:noVBand="1"/>
      </w:tblPr>
      <w:tblGrid>
        <w:gridCol w:w="1802"/>
        <w:gridCol w:w="1413"/>
        <w:gridCol w:w="1438"/>
        <w:gridCol w:w="1455"/>
        <w:gridCol w:w="1745"/>
        <w:gridCol w:w="1163"/>
      </w:tblGrid>
      <w:tr w:rsidR="008308E9" w:rsidRPr="0054775B" w14:paraId="72536820" w14:textId="77777777" w:rsidTr="00EB0FF5">
        <w:trPr>
          <w:trHeight w:val="95"/>
        </w:trPr>
        <w:tc>
          <w:tcPr>
            <w:tcW w:w="1802" w:type="dxa"/>
            <w:vMerge w:val="restart"/>
            <w:shd w:val="clear" w:color="auto" w:fill="D9D9D9" w:themeFill="background1" w:themeFillShade="D9"/>
            <w:vAlign w:val="center"/>
            <w:hideMark/>
          </w:tcPr>
          <w:p w14:paraId="219D68DB" w14:textId="77777777" w:rsidR="008308E9" w:rsidRPr="0054775B" w:rsidRDefault="008308E9" w:rsidP="00515FE7">
            <w:pPr>
              <w:pStyle w:val="2024TABLEHEADER"/>
              <w:rPr>
                <w:color w:val="000000"/>
              </w:rPr>
            </w:pPr>
            <w:r w:rsidRPr="0054775B">
              <w:t>Review ID</w:t>
            </w:r>
          </w:p>
        </w:tc>
        <w:tc>
          <w:tcPr>
            <w:tcW w:w="6051" w:type="dxa"/>
            <w:gridSpan w:val="4"/>
            <w:shd w:val="clear" w:color="auto" w:fill="D9D9D9" w:themeFill="background1" w:themeFillShade="D9"/>
            <w:vAlign w:val="center"/>
          </w:tcPr>
          <w:p w14:paraId="2ECC4B8A" w14:textId="77777777" w:rsidR="008308E9" w:rsidRPr="0054775B" w:rsidRDefault="008308E9" w:rsidP="00515FE7">
            <w:pPr>
              <w:pStyle w:val="2024TABLEHEADER"/>
            </w:pPr>
            <w:r w:rsidRPr="0054775B">
              <w:t>ROBIS Domains</w:t>
            </w:r>
          </w:p>
        </w:tc>
        <w:tc>
          <w:tcPr>
            <w:tcW w:w="1163" w:type="dxa"/>
            <w:vMerge w:val="restart"/>
            <w:shd w:val="clear" w:color="auto" w:fill="D9D9D9" w:themeFill="background1" w:themeFillShade="D9"/>
            <w:vAlign w:val="center"/>
          </w:tcPr>
          <w:p w14:paraId="6E7AA686" w14:textId="77777777" w:rsidR="008308E9" w:rsidRPr="0054775B" w:rsidRDefault="008308E9" w:rsidP="00515FE7">
            <w:pPr>
              <w:pStyle w:val="2024TABLEHEADER"/>
            </w:pPr>
            <w:r w:rsidRPr="0054775B">
              <w:t>Overall risk of bias</w:t>
            </w:r>
          </w:p>
        </w:tc>
      </w:tr>
      <w:tr w:rsidR="008308E9" w:rsidRPr="0054775B" w14:paraId="024941C7" w14:textId="77777777" w:rsidTr="00EB0FF5">
        <w:trPr>
          <w:trHeight w:val="95"/>
        </w:trPr>
        <w:tc>
          <w:tcPr>
            <w:tcW w:w="1802" w:type="dxa"/>
            <w:vMerge/>
            <w:shd w:val="clear" w:color="auto" w:fill="D9D9D9" w:themeFill="background1" w:themeFillShade="D9"/>
            <w:vAlign w:val="center"/>
          </w:tcPr>
          <w:p w14:paraId="04CE80CD" w14:textId="77777777" w:rsidR="008308E9" w:rsidRPr="0054775B" w:rsidRDefault="008308E9" w:rsidP="00515FE7">
            <w:pPr>
              <w:pStyle w:val="2024TABLEHEADER"/>
            </w:pPr>
          </w:p>
        </w:tc>
        <w:tc>
          <w:tcPr>
            <w:tcW w:w="1413" w:type="dxa"/>
            <w:shd w:val="clear" w:color="auto" w:fill="F2F2F2" w:themeFill="background1" w:themeFillShade="F2"/>
            <w:vAlign w:val="center"/>
          </w:tcPr>
          <w:p w14:paraId="012FDE9E" w14:textId="77777777" w:rsidR="008308E9" w:rsidRPr="0054775B" w:rsidRDefault="008308E9" w:rsidP="00515FE7">
            <w:pPr>
              <w:pStyle w:val="2024TABLEHEADER"/>
            </w:pPr>
            <w:r w:rsidRPr="0054775B">
              <w:t>Domain 1: Study eligibility criteria</w:t>
            </w:r>
          </w:p>
        </w:tc>
        <w:tc>
          <w:tcPr>
            <w:tcW w:w="1438" w:type="dxa"/>
            <w:shd w:val="clear" w:color="auto" w:fill="F2F2F2" w:themeFill="background1" w:themeFillShade="F2"/>
            <w:vAlign w:val="center"/>
          </w:tcPr>
          <w:p w14:paraId="247BF1F9" w14:textId="77777777" w:rsidR="008308E9" w:rsidRPr="0054775B" w:rsidRDefault="008308E9" w:rsidP="00515FE7">
            <w:pPr>
              <w:pStyle w:val="2024TABLEHEADER"/>
            </w:pPr>
            <w:r w:rsidRPr="0054775B">
              <w:t>Domain 2: Identification and selection of studies</w:t>
            </w:r>
          </w:p>
        </w:tc>
        <w:tc>
          <w:tcPr>
            <w:tcW w:w="1455" w:type="dxa"/>
            <w:shd w:val="clear" w:color="auto" w:fill="F2F2F2" w:themeFill="background1" w:themeFillShade="F2"/>
            <w:vAlign w:val="center"/>
          </w:tcPr>
          <w:p w14:paraId="41FE9521" w14:textId="77777777" w:rsidR="008308E9" w:rsidRPr="0054775B" w:rsidRDefault="008308E9" w:rsidP="00515FE7">
            <w:pPr>
              <w:pStyle w:val="2024TABLEHEADER"/>
            </w:pPr>
            <w:r w:rsidRPr="0054775B">
              <w:t>Domain 3: Data collection and study appraisal</w:t>
            </w:r>
          </w:p>
        </w:tc>
        <w:tc>
          <w:tcPr>
            <w:tcW w:w="1745" w:type="dxa"/>
            <w:shd w:val="clear" w:color="auto" w:fill="F2F2F2" w:themeFill="background1" w:themeFillShade="F2"/>
            <w:vAlign w:val="center"/>
          </w:tcPr>
          <w:p w14:paraId="5EABF6C1" w14:textId="77777777" w:rsidR="008308E9" w:rsidRPr="0054775B" w:rsidRDefault="008308E9" w:rsidP="00515FE7">
            <w:pPr>
              <w:pStyle w:val="2024TABLEHEADER"/>
            </w:pPr>
            <w:r w:rsidRPr="0054775B">
              <w:t>Domain 4: Synthesis and findings</w:t>
            </w:r>
          </w:p>
        </w:tc>
        <w:tc>
          <w:tcPr>
            <w:tcW w:w="1163" w:type="dxa"/>
            <w:vMerge/>
            <w:shd w:val="clear" w:color="auto" w:fill="D9D9D9" w:themeFill="background1" w:themeFillShade="D9"/>
            <w:vAlign w:val="center"/>
          </w:tcPr>
          <w:p w14:paraId="06263198" w14:textId="77777777" w:rsidR="008308E9" w:rsidRPr="0054775B" w:rsidRDefault="008308E9" w:rsidP="009E6F7F">
            <w:pPr>
              <w:pStyle w:val="TABLE"/>
              <w:rPr>
                <w:rFonts w:ascii="Aptos" w:hAnsi="Aptos"/>
              </w:rPr>
            </w:pPr>
          </w:p>
        </w:tc>
      </w:tr>
      <w:tr w:rsidR="001E2840" w:rsidRPr="0054775B" w14:paraId="4B1EE65D" w14:textId="77777777" w:rsidTr="00EB0FF5">
        <w:trPr>
          <w:trHeight w:val="95"/>
        </w:trPr>
        <w:tc>
          <w:tcPr>
            <w:tcW w:w="1802" w:type="dxa"/>
            <w:shd w:val="clear" w:color="auto" w:fill="auto"/>
            <w:vAlign w:val="center"/>
          </w:tcPr>
          <w:p w14:paraId="4F6D338D" w14:textId="71A72F21" w:rsidR="001E2840" w:rsidRPr="0054775B" w:rsidRDefault="001E2840" w:rsidP="00041C48">
            <w:pPr>
              <w:pStyle w:val="2024TABLETEXT"/>
              <w:framePr w:hSpace="0" w:wrap="auto" w:vAnchor="margin" w:yAlign="inline"/>
              <w:suppressOverlap w:val="0"/>
            </w:pPr>
            <w:r w:rsidRPr="0054775B">
              <w:lastRenderedPageBreak/>
              <w:t>Bath-Hextall 2012</w:t>
            </w:r>
          </w:p>
        </w:tc>
        <w:tc>
          <w:tcPr>
            <w:tcW w:w="1413" w:type="dxa"/>
            <w:shd w:val="clear" w:color="auto" w:fill="auto"/>
            <w:vAlign w:val="center"/>
          </w:tcPr>
          <w:p w14:paraId="2B5F9446" w14:textId="74024B66" w:rsidR="001E2840" w:rsidRPr="0054775B" w:rsidRDefault="001E2840" w:rsidP="00041C48">
            <w:pPr>
              <w:pStyle w:val="2024TABLETEXT"/>
              <w:framePr w:hSpace="0" w:wrap="auto" w:vAnchor="margin" w:yAlign="inline"/>
              <w:suppressOverlap w:val="0"/>
            </w:pPr>
            <w:r w:rsidRPr="0054775B">
              <w:t>Low</w:t>
            </w:r>
          </w:p>
        </w:tc>
        <w:tc>
          <w:tcPr>
            <w:tcW w:w="1438" w:type="dxa"/>
            <w:shd w:val="clear" w:color="auto" w:fill="auto"/>
            <w:vAlign w:val="center"/>
          </w:tcPr>
          <w:p w14:paraId="0CC80911" w14:textId="17136D6F" w:rsidR="001E2840" w:rsidRPr="0054775B" w:rsidRDefault="001E2840" w:rsidP="00041C48">
            <w:pPr>
              <w:pStyle w:val="2024TABLETEXT"/>
              <w:framePr w:hSpace="0" w:wrap="auto" w:vAnchor="margin" w:yAlign="inline"/>
              <w:suppressOverlap w:val="0"/>
            </w:pPr>
            <w:r w:rsidRPr="0054775B">
              <w:t>Low</w:t>
            </w:r>
          </w:p>
        </w:tc>
        <w:tc>
          <w:tcPr>
            <w:tcW w:w="1455" w:type="dxa"/>
            <w:shd w:val="clear" w:color="auto" w:fill="auto"/>
            <w:vAlign w:val="center"/>
          </w:tcPr>
          <w:p w14:paraId="71107729" w14:textId="5F5A0C05" w:rsidR="001E2840" w:rsidRPr="0054775B" w:rsidRDefault="001E2840" w:rsidP="00041C48">
            <w:pPr>
              <w:pStyle w:val="2024TABLETEXT"/>
              <w:framePr w:hSpace="0" w:wrap="auto" w:vAnchor="margin" w:yAlign="inline"/>
              <w:suppressOverlap w:val="0"/>
            </w:pPr>
            <w:r w:rsidRPr="0054775B">
              <w:t>Low</w:t>
            </w:r>
          </w:p>
        </w:tc>
        <w:tc>
          <w:tcPr>
            <w:tcW w:w="1745" w:type="dxa"/>
            <w:shd w:val="clear" w:color="auto" w:fill="auto"/>
            <w:vAlign w:val="center"/>
          </w:tcPr>
          <w:p w14:paraId="1FB8639F" w14:textId="6CFF37A7" w:rsidR="001E2840" w:rsidRPr="0054775B" w:rsidRDefault="00EB0FF5" w:rsidP="00041C48">
            <w:pPr>
              <w:pStyle w:val="2024TABLETEXT"/>
              <w:framePr w:hSpace="0" w:wrap="auto" w:vAnchor="margin" w:yAlign="inline"/>
              <w:suppressOverlap w:val="0"/>
            </w:pPr>
            <w:r w:rsidRPr="0054775B">
              <w:t>Unclear</w:t>
            </w:r>
          </w:p>
        </w:tc>
        <w:tc>
          <w:tcPr>
            <w:tcW w:w="1163" w:type="dxa"/>
            <w:shd w:val="clear" w:color="auto" w:fill="auto"/>
            <w:vAlign w:val="center"/>
          </w:tcPr>
          <w:p w14:paraId="7FD28AAC" w14:textId="0AF05EAD" w:rsidR="001E2840" w:rsidRPr="0054775B" w:rsidRDefault="00EB0FF5" w:rsidP="00041C48">
            <w:pPr>
              <w:pStyle w:val="2024TABLETEXT"/>
              <w:framePr w:hSpace="0" w:wrap="auto" w:vAnchor="margin" w:yAlign="inline"/>
              <w:suppressOverlap w:val="0"/>
            </w:pPr>
            <w:r>
              <w:t>Unclear</w:t>
            </w:r>
            <w:r w:rsidRPr="0054775B">
              <w:t xml:space="preserve"> </w:t>
            </w:r>
            <w:r w:rsidR="001E2840" w:rsidRPr="0054775B">
              <w:t>risk</w:t>
            </w:r>
          </w:p>
        </w:tc>
      </w:tr>
      <w:tr w:rsidR="001E2840" w:rsidRPr="0054775B" w14:paraId="7E61A339" w14:textId="77777777" w:rsidTr="00EB0FF5">
        <w:trPr>
          <w:trHeight w:val="95"/>
        </w:trPr>
        <w:tc>
          <w:tcPr>
            <w:tcW w:w="1802" w:type="dxa"/>
            <w:shd w:val="clear" w:color="auto" w:fill="auto"/>
            <w:vAlign w:val="center"/>
          </w:tcPr>
          <w:p w14:paraId="7B785D9D" w14:textId="35C7FDD9" w:rsidR="001E2840" w:rsidRPr="0054775B" w:rsidRDefault="001E2840" w:rsidP="00041C48">
            <w:pPr>
              <w:pStyle w:val="2024TABLETEXT"/>
              <w:framePr w:hSpace="0" w:wrap="auto" w:vAnchor="margin" w:yAlign="inline"/>
              <w:suppressOverlap w:val="0"/>
            </w:pPr>
            <w:r w:rsidRPr="0054775B">
              <w:t>Dhaliwal 2020</w:t>
            </w:r>
          </w:p>
        </w:tc>
        <w:tc>
          <w:tcPr>
            <w:tcW w:w="1413" w:type="dxa"/>
            <w:shd w:val="clear" w:color="auto" w:fill="auto"/>
            <w:vAlign w:val="center"/>
          </w:tcPr>
          <w:p w14:paraId="53AC5C73" w14:textId="5B196846" w:rsidR="001E2840" w:rsidRPr="0054775B" w:rsidRDefault="005203D0" w:rsidP="00041C48">
            <w:pPr>
              <w:pStyle w:val="2024TABLETEXT"/>
              <w:framePr w:hSpace="0" w:wrap="auto" w:vAnchor="margin" w:yAlign="inline"/>
              <w:suppressOverlap w:val="0"/>
            </w:pPr>
            <w:r>
              <w:t>Unclear</w:t>
            </w:r>
          </w:p>
        </w:tc>
        <w:tc>
          <w:tcPr>
            <w:tcW w:w="1438" w:type="dxa"/>
            <w:shd w:val="clear" w:color="auto" w:fill="auto"/>
            <w:vAlign w:val="center"/>
          </w:tcPr>
          <w:p w14:paraId="166390C1" w14:textId="67B3AFE6" w:rsidR="001E2840" w:rsidRPr="0054775B" w:rsidRDefault="00092305" w:rsidP="00041C48">
            <w:pPr>
              <w:pStyle w:val="2024TABLETEXT"/>
              <w:framePr w:hSpace="0" w:wrap="auto" w:vAnchor="margin" w:yAlign="inline"/>
              <w:suppressOverlap w:val="0"/>
            </w:pPr>
            <w:r w:rsidRPr="0054775B">
              <w:t>Unclear</w:t>
            </w:r>
          </w:p>
        </w:tc>
        <w:tc>
          <w:tcPr>
            <w:tcW w:w="1455" w:type="dxa"/>
            <w:shd w:val="clear" w:color="auto" w:fill="auto"/>
            <w:vAlign w:val="center"/>
          </w:tcPr>
          <w:p w14:paraId="04B501F3" w14:textId="17432B3F" w:rsidR="001E2840" w:rsidRPr="0054775B" w:rsidRDefault="00776530" w:rsidP="00041C48">
            <w:pPr>
              <w:pStyle w:val="2024TABLETEXT"/>
              <w:framePr w:hSpace="0" w:wrap="auto" w:vAnchor="margin" w:yAlign="inline"/>
              <w:suppressOverlap w:val="0"/>
            </w:pPr>
            <w:r w:rsidRPr="0054775B">
              <w:t>Unclear</w:t>
            </w:r>
          </w:p>
        </w:tc>
        <w:tc>
          <w:tcPr>
            <w:tcW w:w="1745" w:type="dxa"/>
            <w:shd w:val="clear" w:color="auto" w:fill="auto"/>
            <w:vAlign w:val="center"/>
          </w:tcPr>
          <w:p w14:paraId="2F1885D8" w14:textId="727D2E07" w:rsidR="001E2840" w:rsidRPr="0054775B" w:rsidRDefault="00092305" w:rsidP="00041C48">
            <w:pPr>
              <w:pStyle w:val="2024TABLETEXT"/>
              <w:framePr w:hSpace="0" w:wrap="auto" w:vAnchor="margin" w:yAlign="inline"/>
              <w:suppressOverlap w:val="0"/>
            </w:pPr>
            <w:r w:rsidRPr="0054775B">
              <w:t>Unclear</w:t>
            </w:r>
          </w:p>
        </w:tc>
        <w:tc>
          <w:tcPr>
            <w:tcW w:w="1163" w:type="dxa"/>
            <w:shd w:val="clear" w:color="auto" w:fill="auto"/>
            <w:vAlign w:val="center"/>
          </w:tcPr>
          <w:p w14:paraId="5AD37CA5" w14:textId="69AFDF20" w:rsidR="001E2840" w:rsidRPr="0054775B" w:rsidRDefault="004F3396" w:rsidP="00041C48">
            <w:pPr>
              <w:pStyle w:val="2024TABLETEXT"/>
              <w:framePr w:hSpace="0" w:wrap="auto" w:vAnchor="margin" w:yAlign="inline"/>
              <w:suppressOverlap w:val="0"/>
            </w:pPr>
            <w:r>
              <w:t>Unclear</w:t>
            </w:r>
            <w:r w:rsidR="00A404B5" w:rsidRPr="0054775B">
              <w:t xml:space="preserve"> </w:t>
            </w:r>
            <w:r w:rsidR="001E2840" w:rsidRPr="0054775B">
              <w:t>risk</w:t>
            </w:r>
          </w:p>
        </w:tc>
      </w:tr>
      <w:tr w:rsidR="001E2840" w:rsidRPr="0054775B" w14:paraId="6A100816" w14:textId="77777777" w:rsidTr="00EB0FF5">
        <w:trPr>
          <w:trHeight w:val="95"/>
        </w:trPr>
        <w:tc>
          <w:tcPr>
            <w:tcW w:w="1802" w:type="dxa"/>
            <w:shd w:val="clear" w:color="auto" w:fill="auto"/>
            <w:vAlign w:val="center"/>
          </w:tcPr>
          <w:p w14:paraId="19B6FE7A" w14:textId="54624738" w:rsidR="001E2840" w:rsidRPr="0054775B" w:rsidRDefault="001E2840" w:rsidP="00041C48">
            <w:pPr>
              <w:pStyle w:val="2024TABLETEXT"/>
              <w:framePr w:hSpace="0" w:wrap="auto" w:vAnchor="margin" w:yAlign="inline"/>
              <w:suppressOverlap w:val="0"/>
            </w:pPr>
            <w:r w:rsidRPr="0054775B">
              <w:t>Gray 2019</w:t>
            </w:r>
          </w:p>
        </w:tc>
        <w:tc>
          <w:tcPr>
            <w:tcW w:w="1413" w:type="dxa"/>
            <w:shd w:val="clear" w:color="auto" w:fill="auto"/>
            <w:vAlign w:val="center"/>
          </w:tcPr>
          <w:p w14:paraId="1C4D5CD9" w14:textId="3CE20081" w:rsidR="001E2840" w:rsidRPr="0054775B" w:rsidRDefault="001E2840" w:rsidP="00041C48">
            <w:pPr>
              <w:pStyle w:val="2024TABLETEXT"/>
              <w:framePr w:hSpace="0" w:wrap="auto" w:vAnchor="margin" w:yAlign="inline"/>
              <w:suppressOverlap w:val="0"/>
            </w:pPr>
            <w:r w:rsidRPr="0054775B">
              <w:t>Low</w:t>
            </w:r>
          </w:p>
        </w:tc>
        <w:tc>
          <w:tcPr>
            <w:tcW w:w="1438" w:type="dxa"/>
            <w:shd w:val="clear" w:color="auto" w:fill="auto"/>
            <w:vAlign w:val="center"/>
          </w:tcPr>
          <w:p w14:paraId="5EEFB218" w14:textId="453A2830" w:rsidR="001E2840" w:rsidRPr="0054775B" w:rsidRDefault="001E2840" w:rsidP="00041C48">
            <w:pPr>
              <w:pStyle w:val="2024TABLETEXT"/>
              <w:framePr w:hSpace="0" w:wrap="auto" w:vAnchor="margin" w:yAlign="inline"/>
              <w:suppressOverlap w:val="0"/>
            </w:pPr>
            <w:r w:rsidRPr="0054775B">
              <w:t>Low</w:t>
            </w:r>
          </w:p>
        </w:tc>
        <w:tc>
          <w:tcPr>
            <w:tcW w:w="1455" w:type="dxa"/>
            <w:shd w:val="clear" w:color="auto" w:fill="auto"/>
            <w:vAlign w:val="center"/>
          </w:tcPr>
          <w:p w14:paraId="2C902494" w14:textId="63248351" w:rsidR="001E2840" w:rsidRPr="0054775B" w:rsidRDefault="001E2840" w:rsidP="00041C48">
            <w:pPr>
              <w:pStyle w:val="2024TABLETEXT"/>
              <w:framePr w:hSpace="0" w:wrap="auto" w:vAnchor="margin" w:yAlign="inline"/>
              <w:suppressOverlap w:val="0"/>
            </w:pPr>
            <w:r w:rsidRPr="0054775B">
              <w:t>Low</w:t>
            </w:r>
          </w:p>
        </w:tc>
        <w:tc>
          <w:tcPr>
            <w:tcW w:w="1745" w:type="dxa"/>
            <w:shd w:val="clear" w:color="auto" w:fill="auto"/>
            <w:vAlign w:val="center"/>
          </w:tcPr>
          <w:p w14:paraId="30D7FDC9" w14:textId="539C14E7" w:rsidR="001E2840" w:rsidRPr="0054775B" w:rsidRDefault="00EB0FF5" w:rsidP="00041C48">
            <w:pPr>
              <w:pStyle w:val="2024TABLETEXT"/>
              <w:framePr w:hSpace="0" w:wrap="auto" w:vAnchor="margin" w:yAlign="inline"/>
              <w:suppressOverlap w:val="0"/>
            </w:pPr>
            <w:r w:rsidRPr="0054775B">
              <w:t>Unclear</w:t>
            </w:r>
          </w:p>
        </w:tc>
        <w:tc>
          <w:tcPr>
            <w:tcW w:w="1163" w:type="dxa"/>
            <w:shd w:val="clear" w:color="auto" w:fill="auto"/>
            <w:vAlign w:val="center"/>
          </w:tcPr>
          <w:p w14:paraId="692FCE73" w14:textId="46839921" w:rsidR="001E2840" w:rsidRPr="0054775B" w:rsidRDefault="00EB0FF5" w:rsidP="00041C48">
            <w:pPr>
              <w:pStyle w:val="2024TABLETEXT"/>
              <w:framePr w:hSpace="0" w:wrap="auto" w:vAnchor="margin" w:yAlign="inline"/>
              <w:suppressOverlap w:val="0"/>
            </w:pPr>
            <w:r>
              <w:t>Unclear</w:t>
            </w:r>
            <w:r w:rsidRPr="0054775B">
              <w:t xml:space="preserve"> </w:t>
            </w:r>
            <w:r w:rsidR="001E2840" w:rsidRPr="0054775B">
              <w:t>risk</w:t>
            </w:r>
          </w:p>
        </w:tc>
      </w:tr>
    </w:tbl>
    <w:p w14:paraId="1250AFE1" w14:textId="176E1D0B" w:rsidR="008308E9" w:rsidRPr="0054775B" w:rsidRDefault="00EB6711" w:rsidP="009E6F7F">
      <w:pPr>
        <w:pStyle w:val="2024HEADER3"/>
        <w:rPr>
          <w:rFonts w:ascii="Aptos" w:hAnsi="Aptos"/>
        </w:rPr>
      </w:pPr>
      <w:r w:rsidRPr="0054775B">
        <w:rPr>
          <w:rFonts w:ascii="Aptos" w:hAnsi="Aptos"/>
        </w:rPr>
        <w:t>Results</w:t>
      </w:r>
    </w:p>
    <w:p w14:paraId="1985BBB6" w14:textId="7FD9FB0C" w:rsidR="009805D0" w:rsidRPr="0054775B" w:rsidRDefault="0095286C" w:rsidP="009E6F7F">
      <w:r w:rsidRPr="0054775B">
        <w:t xml:space="preserve">The three identified reviews were all assessed to be at </w:t>
      </w:r>
      <w:r w:rsidR="00DB0803">
        <w:t>unclear</w:t>
      </w:r>
      <w:r w:rsidR="00DB0803" w:rsidRPr="0054775B">
        <w:t xml:space="preserve"> </w:t>
      </w:r>
      <w:r w:rsidRPr="0054775B">
        <w:t>risk of bias</w:t>
      </w:r>
      <w:r w:rsidR="00022243" w:rsidRPr="0054775B">
        <w:t xml:space="preserve">. </w:t>
      </w:r>
      <w:r w:rsidR="004D2A52" w:rsidRPr="0054775B">
        <w:t>The only review that presented effect sizes for all outcomes was Bath-Hextall</w:t>
      </w:r>
      <w:r w:rsidR="00181C46" w:rsidRPr="0054775B">
        <w:t xml:space="preserve"> </w:t>
      </w:r>
      <w:r w:rsidR="007932FC">
        <w:t>et al. (</w:t>
      </w:r>
      <w:r w:rsidR="00181C46" w:rsidRPr="0054775B">
        <w:t>2012</w:t>
      </w:r>
      <w:r w:rsidR="007932FC">
        <w:t>)</w:t>
      </w:r>
      <w:r w:rsidR="00181C46" w:rsidRPr="0054775B">
        <w:t xml:space="preserve"> </w:t>
      </w:r>
      <w:r w:rsidR="00F54937">
        <w:rPr>
          <w:noProof/>
        </w:rPr>
        <w:t>(137)</w:t>
      </w:r>
      <w:r w:rsidR="004D2A52" w:rsidRPr="0054775B">
        <w:t xml:space="preserve">. Despite not being the most recent, there have been no changes to the literature </w:t>
      </w:r>
      <w:r w:rsidR="003566A2" w:rsidRPr="0054775B">
        <w:t>(evidenced by all reviews including only the same sing</w:t>
      </w:r>
      <w:r w:rsidR="000071E8">
        <w:t>le</w:t>
      </w:r>
      <w:r w:rsidR="003566A2" w:rsidRPr="0054775B">
        <w:t xml:space="preserve"> primary study), </w:t>
      </w:r>
      <w:r w:rsidR="004D2A52" w:rsidRPr="0054775B">
        <w:t xml:space="preserve">and </w:t>
      </w:r>
      <w:r w:rsidR="00870BD1" w:rsidRPr="0054775B">
        <w:t xml:space="preserve">therefore </w:t>
      </w:r>
      <w:r w:rsidR="007932FC" w:rsidRPr="0054775B">
        <w:t xml:space="preserve">Bath-Hextall </w:t>
      </w:r>
      <w:r w:rsidR="007932FC">
        <w:t>et al. (</w:t>
      </w:r>
      <w:r w:rsidR="007932FC" w:rsidRPr="0054775B">
        <w:t>2012</w:t>
      </w:r>
      <w:r w:rsidR="007932FC">
        <w:t>)</w:t>
      </w:r>
      <w:r w:rsidR="007932FC" w:rsidRPr="0054775B">
        <w:t xml:space="preserve"> </w:t>
      </w:r>
      <w:r w:rsidR="00870BD1" w:rsidRPr="0054775B">
        <w:t xml:space="preserve">was selected as the </w:t>
      </w:r>
      <w:r w:rsidR="00EB6711" w:rsidRPr="0054775B">
        <w:t>preferred</w:t>
      </w:r>
      <w:r w:rsidR="00870BD1" w:rsidRPr="0054775B">
        <w:t xml:space="preserve"> review. </w:t>
      </w:r>
    </w:p>
    <w:p w14:paraId="4CF2BDE0" w14:textId="1A20ED22" w:rsidR="00870BD1" w:rsidRPr="0054775B" w:rsidRDefault="00870BD1" w:rsidP="00693D17">
      <w:pPr>
        <w:pStyle w:val="2024TABLECAPTION"/>
        <w:rPr>
          <w:rFonts w:ascii="Aptos" w:hAnsi="Aptos"/>
        </w:rPr>
      </w:pPr>
      <w:bookmarkStart w:id="99" w:name="_Toc185261605"/>
      <w:r w:rsidRPr="0054775B">
        <w:rPr>
          <w:rFonts w:ascii="Aptos" w:hAnsi="Aptos"/>
        </w:rPr>
        <w:t xml:space="preserve">Table </w:t>
      </w:r>
      <w:r w:rsidRPr="0054775B">
        <w:rPr>
          <w:rFonts w:ascii="Aptos" w:hAnsi="Aptos"/>
        </w:rPr>
        <w:fldChar w:fldCharType="begin"/>
      </w:r>
      <w:r w:rsidRPr="0054775B">
        <w:rPr>
          <w:rFonts w:ascii="Aptos" w:hAnsi="Aptos"/>
        </w:rPr>
        <w:instrText>SEQ Table \* ARABIC</w:instrText>
      </w:r>
      <w:r w:rsidRPr="0054775B">
        <w:rPr>
          <w:rFonts w:ascii="Aptos" w:hAnsi="Aptos"/>
        </w:rPr>
        <w:fldChar w:fldCharType="separate"/>
      </w:r>
      <w:r w:rsidR="00CB3AAD" w:rsidRPr="0054775B" w:rsidDel="004E7C54">
        <w:rPr>
          <w:rFonts w:ascii="Aptos" w:hAnsi="Aptos"/>
          <w:noProof/>
        </w:rPr>
        <w:t>27</w:t>
      </w:r>
      <w:r w:rsidRPr="0054775B">
        <w:rPr>
          <w:rFonts w:ascii="Aptos" w:hAnsi="Aptos"/>
        </w:rPr>
        <w:fldChar w:fldCharType="end"/>
      </w:r>
      <w:r w:rsidRPr="0054775B">
        <w:rPr>
          <w:rFonts w:ascii="Aptos" w:hAnsi="Aptos"/>
        </w:rPr>
        <w:t xml:space="preserve">. </w:t>
      </w:r>
      <w:r w:rsidR="00334EDA" w:rsidRPr="0054775B">
        <w:rPr>
          <w:rFonts w:ascii="Aptos" w:hAnsi="Aptos"/>
        </w:rPr>
        <w:t xml:space="preserve">Contributing </w:t>
      </w:r>
      <w:r w:rsidRPr="0054775B">
        <w:rPr>
          <w:rFonts w:ascii="Aptos" w:hAnsi="Aptos"/>
        </w:rPr>
        <w:t>reviews for each population and intervention/co-intervention combination – atopic disorders, zinc</w:t>
      </w:r>
      <w:bookmarkEnd w:id="99"/>
    </w:p>
    <w:tbl>
      <w:tblPr>
        <w:tblStyle w:val="TableGrid"/>
        <w:tblW w:w="0" w:type="auto"/>
        <w:tblLook w:val="04A0" w:firstRow="1" w:lastRow="0" w:firstColumn="1" w:lastColumn="0" w:noHBand="0" w:noVBand="1"/>
      </w:tblPr>
      <w:tblGrid>
        <w:gridCol w:w="3366"/>
        <w:gridCol w:w="3008"/>
        <w:gridCol w:w="2846"/>
      </w:tblGrid>
      <w:tr w:rsidR="00041C48" w:rsidRPr="0054775B" w14:paraId="30D997EC" w14:textId="4B14357B" w:rsidTr="00041C48">
        <w:trPr>
          <w:trHeight w:val="75"/>
        </w:trPr>
        <w:tc>
          <w:tcPr>
            <w:tcW w:w="3366" w:type="dxa"/>
            <w:shd w:val="clear" w:color="auto" w:fill="D9D9D9" w:themeFill="background1" w:themeFillShade="D9"/>
          </w:tcPr>
          <w:p w14:paraId="176B25AD" w14:textId="77777777" w:rsidR="00041C48" w:rsidRPr="0054775B" w:rsidRDefault="00041C48" w:rsidP="00515FE7">
            <w:pPr>
              <w:pStyle w:val="2024TABLEHEADER"/>
            </w:pPr>
          </w:p>
        </w:tc>
        <w:tc>
          <w:tcPr>
            <w:tcW w:w="3008" w:type="dxa"/>
            <w:shd w:val="clear" w:color="auto" w:fill="D9D9D9" w:themeFill="background1" w:themeFillShade="D9"/>
          </w:tcPr>
          <w:p w14:paraId="04911586" w14:textId="50F92234" w:rsidR="00041C48" w:rsidRPr="0054775B" w:rsidRDefault="00041C48" w:rsidP="00515FE7">
            <w:pPr>
              <w:pStyle w:val="2024TABLEHEADER"/>
            </w:pPr>
            <w:r w:rsidRPr="0054775B">
              <w:t>With atopic disorders</w:t>
            </w:r>
          </w:p>
        </w:tc>
        <w:tc>
          <w:tcPr>
            <w:tcW w:w="2846" w:type="dxa"/>
            <w:shd w:val="clear" w:color="auto" w:fill="D9D9D9" w:themeFill="background1" w:themeFillShade="D9"/>
          </w:tcPr>
          <w:p w14:paraId="61548613" w14:textId="47382C35" w:rsidR="00041C48" w:rsidRPr="0054775B" w:rsidRDefault="00041C48" w:rsidP="00515FE7">
            <w:pPr>
              <w:pStyle w:val="2024TABLEHEADER"/>
            </w:pPr>
            <w:r w:rsidRPr="0054775B">
              <w:t>At risk of atopic disorders</w:t>
            </w:r>
          </w:p>
        </w:tc>
      </w:tr>
      <w:tr w:rsidR="00041C48" w:rsidRPr="0054775B" w14:paraId="1B22CCD4" w14:textId="520031E4" w:rsidTr="00041C48">
        <w:trPr>
          <w:trHeight w:val="75"/>
        </w:trPr>
        <w:tc>
          <w:tcPr>
            <w:tcW w:w="3366" w:type="dxa"/>
            <w:shd w:val="clear" w:color="auto" w:fill="D9D9D9" w:themeFill="background1" w:themeFillShade="D9"/>
          </w:tcPr>
          <w:p w14:paraId="26A5F594" w14:textId="2A190036" w:rsidR="00041C48" w:rsidRPr="0054775B" w:rsidRDefault="00041C48" w:rsidP="00515FE7">
            <w:pPr>
              <w:pStyle w:val="2024TABLEHEADER"/>
              <w:rPr>
                <w:rFonts w:eastAsiaTheme="minorHAnsi"/>
                <w:color w:val="000000" w:themeColor="text1"/>
                <w:lang w:eastAsia="en-US"/>
              </w:rPr>
            </w:pPr>
            <w:r w:rsidRPr="0054775B">
              <w:t>Zinc VS placebo/inactive control</w:t>
            </w:r>
          </w:p>
        </w:tc>
        <w:tc>
          <w:tcPr>
            <w:tcW w:w="3008" w:type="dxa"/>
          </w:tcPr>
          <w:p w14:paraId="5E1D09E8" w14:textId="70B1D4DD" w:rsidR="00041C48" w:rsidRPr="0054775B" w:rsidRDefault="00041C48" w:rsidP="00041C48">
            <w:pPr>
              <w:pStyle w:val="2024TABLEHEADER"/>
              <w:rPr>
                <w:b w:val="0"/>
                <w:bCs w:val="0"/>
              </w:rPr>
            </w:pPr>
            <w:r w:rsidRPr="0054775B">
              <w:rPr>
                <w:b w:val="0"/>
                <w:bCs w:val="0"/>
              </w:rPr>
              <w:t>Bath-Hextall 2012</w:t>
            </w:r>
          </w:p>
        </w:tc>
        <w:tc>
          <w:tcPr>
            <w:tcW w:w="2846" w:type="dxa"/>
          </w:tcPr>
          <w:p w14:paraId="6C86E31F" w14:textId="4D2E0D68" w:rsidR="00041C48" w:rsidRPr="0054775B" w:rsidRDefault="00041C48" w:rsidP="00041C48">
            <w:pPr>
              <w:pStyle w:val="2024TABLEHEADER"/>
              <w:rPr>
                <w:b w:val="0"/>
                <w:bCs w:val="0"/>
              </w:rPr>
            </w:pPr>
            <w:r w:rsidRPr="0054775B">
              <w:rPr>
                <w:b w:val="0"/>
                <w:bCs w:val="0"/>
              </w:rPr>
              <w:t>-</w:t>
            </w:r>
          </w:p>
        </w:tc>
      </w:tr>
      <w:tr w:rsidR="00041C48" w:rsidRPr="0054775B" w14:paraId="052C501D" w14:textId="77777777" w:rsidTr="00041C48">
        <w:trPr>
          <w:trHeight w:val="75"/>
        </w:trPr>
        <w:tc>
          <w:tcPr>
            <w:tcW w:w="3366" w:type="dxa"/>
            <w:shd w:val="clear" w:color="auto" w:fill="D9D9D9" w:themeFill="background1" w:themeFillShade="D9"/>
          </w:tcPr>
          <w:p w14:paraId="089BC8C0" w14:textId="3EE1D48E" w:rsidR="00041C48" w:rsidRPr="0054775B" w:rsidRDefault="00041C48" w:rsidP="00515FE7">
            <w:pPr>
              <w:pStyle w:val="2024TABLEHEADER"/>
            </w:pPr>
            <w:r w:rsidRPr="0054775B">
              <w:t>Zinc + naturopathy co-intervention VS placebo/inactive control</w:t>
            </w:r>
          </w:p>
        </w:tc>
        <w:tc>
          <w:tcPr>
            <w:tcW w:w="3008" w:type="dxa"/>
          </w:tcPr>
          <w:p w14:paraId="5B71354E" w14:textId="78A42BB7" w:rsidR="00041C48" w:rsidRPr="0054775B" w:rsidRDefault="00041C48" w:rsidP="00041C48">
            <w:pPr>
              <w:pStyle w:val="2024TABLEHEADER"/>
              <w:rPr>
                <w:b w:val="0"/>
                <w:bCs w:val="0"/>
              </w:rPr>
            </w:pPr>
            <w:r w:rsidRPr="0054775B">
              <w:rPr>
                <w:b w:val="0"/>
                <w:bCs w:val="0"/>
              </w:rPr>
              <w:t>-</w:t>
            </w:r>
          </w:p>
        </w:tc>
        <w:tc>
          <w:tcPr>
            <w:tcW w:w="2846" w:type="dxa"/>
          </w:tcPr>
          <w:p w14:paraId="2116DD16" w14:textId="7AC52745" w:rsidR="00041C48" w:rsidRPr="0054775B" w:rsidRDefault="00041C48" w:rsidP="00041C48">
            <w:pPr>
              <w:pStyle w:val="2024TABLEHEADER"/>
              <w:rPr>
                <w:b w:val="0"/>
                <w:bCs w:val="0"/>
              </w:rPr>
            </w:pPr>
            <w:r w:rsidRPr="0054775B">
              <w:rPr>
                <w:b w:val="0"/>
                <w:bCs w:val="0"/>
              </w:rPr>
              <w:t>-</w:t>
            </w:r>
          </w:p>
        </w:tc>
      </w:tr>
    </w:tbl>
    <w:p w14:paraId="07CFE0E1" w14:textId="77777777" w:rsidR="00870BD1" w:rsidRPr="0054775B" w:rsidRDefault="00870BD1" w:rsidP="009E6F7F"/>
    <w:p w14:paraId="429ECB68" w14:textId="77777777" w:rsidR="00EA20A2" w:rsidRPr="0054775B" w:rsidRDefault="00EA20A2" w:rsidP="009E6F7F">
      <w:pPr>
        <w:rPr>
          <w:color w:val="000000" w:themeColor="text1"/>
          <w:sz w:val="20"/>
          <w:szCs w:val="20"/>
        </w:rPr>
      </w:pPr>
      <w:r w:rsidRPr="0054775B">
        <w:br w:type="page"/>
      </w:r>
    </w:p>
    <w:p w14:paraId="5FA29B88" w14:textId="77777777" w:rsidR="00EA20A2" w:rsidRPr="0054775B" w:rsidRDefault="00EA20A2" w:rsidP="009E6F7F">
      <w:pPr>
        <w:pStyle w:val="Caption1"/>
        <w:rPr>
          <w:rFonts w:ascii="Aptos" w:hAnsi="Aptos"/>
        </w:rPr>
        <w:sectPr w:rsidR="00EA20A2" w:rsidRPr="0054775B" w:rsidSect="006A72DC">
          <w:pgSz w:w="11910" w:h="16840"/>
          <w:pgMar w:top="1356" w:right="1340" w:bottom="280" w:left="1340" w:header="720" w:footer="720" w:gutter="0"/>
          <w:cols w:space="720"/>
        </w:sectPr>
      </w:pPr>
    </w:p>
    <w:p w14:paraId="79900057" w14:textId="77777777" w:rsidR="004B061B" w:rsidRPr="004B061B" w:rsidRDefault="004B061B" w:rsidP="004B061B">
      <w:pPr>
        <w:pStyle w:val="2024HEADER3"/>
        <w:rPr>
          <w:rFonts w:ascii="Aptos" w:hAnsi="Aptos"/>
        </w:rPr>
      </w:pPr>
      <w:r w:rsidRPr="004B061B">
        <w:rPr>
          <w:rFonts w:ascii="Aptos" w:hAnsi="Aptos"/>
        </w:rPr>
        <w:lastRenderedPageBreak/>
        <w:t>Summary of findings and evidence statements</w:t>
      </w:r>
    </w:p>
    <w:p w14:paraId="0E6AF471" w14:textId="55958A4D" w:rsidR="00E77F6D" w:rsidRPr="0054775B" w:rsidRDefault="00E77F6D" w:rsidP="00515FE7">
      <w:pPr>
        <w:pStyle w:val="2024TABLECAPTION"/>
        <w:rPr>
          <w:rFonts w:ascii="Aptos" w:hAnsi="Aptos"/>
        </w:rPr>
      </w:pPr>
      <w:bookmarkStart w:id="100" w:name="_Toc185261606"/>
      <w:r w:rsidRPr="0054775B">
        <w:rPr>
          <w:rFonts w:ascii="Aptos" w:hAnsi="Aptos"/>
        </w:rPr>
        <w:t xml:space="preserve">Table </w:t>
      </w:r>
      <w:r w:rsidRPr="0054775B">
        <w:rPr>
          <w:rFonts w:ascii="Aptos" w:hAnsi="Aptos"/>
        </w:rPr>
        <w:fldChar w:fldCharType="begin"/>
      </w:r>
      <w:r w:rsidRPr="0054775B">
        <w:rPr>
          <w:rFonts w:ascii="Aptos" w:hAnsi="Aptos"/>
        </w:rPr>
        <w:instrText>SEQ Table \* ARABIC</w:instrText>
      </w:r>
      <w:r w:rsidRPr="0054775B">
        <w:rPr>
          <w:rFonts w:ascii="Aptos" w:hAnsi="Aptos"/>
        </w:rPr>
        <w:fldChar w:fldCharType="separate"/>
      </w:r>
      <w:r w:rsidR="00CB3AAD" w:rsidRPr="0054775B" w:rsidDel="004E7C54">
        <w:rPr>
          <w:rFonts w:ascii="Aptos" w:hAnsi="Aptos"/>
          <w:noProof/>
        </w:rPr>
        <w:t>28</w:t>
      </w:r>
      <w:r w:rsidRPr="0054775B">
        <w:rPr>
          <w:rFonts w:ascii="Aptos" w:hAnsi="Aptos"/>
        </w:rPr>
        <w:fldChar w:fldCharType="end"/>
      </w:r>
      <w:r w:rsidRPr="0054775B">
        <w:rPr>
          <w:rFonts w:ascii="Aptos" w:hAnsi="Aptos"/>
        </w:rPr>
        <w:t>. Zinc compared to placebo</w:t>
      </w:r>
      <w:r w:rsidR="00D778F7" w:rsidRPr="0054775B">
        <w:rPr>
          <w:rFonts w:ascii="Aptos" w:hAnsi="Aptos"/>
        </w:rPr>
        <w:t>/inactive control</w:t>
      </w:r>
      <w:r w:rsidRPr="0054775B">
        <w:rPr>
          <w:rFonts w:ascii="Aptos" w:hAnsi="Aptos"/>
        </w:rPr>
        <w:t xml:space="preserve"> for atopic </w:t>
      </w:r>
      <w:r w:rsidR="0012519F" w:rsidRPr="0054775B">
        <w:rPr>
          <w:rFonts w:ascii="Aptos" w:hAnsi="Aptos"/>
        </w:rPr>
        <w:t>disorders</w:t>
      </w:r>
      <w:bookmarkEnd w:id="100"/>
    </w:p>
    <w:tbl>
      <w:tblPr>
        <w:tblpPr w:leftFromText="180" w:rightFromText="180" w:vertAnchor="text" w:tblpY="1"/>
        <w:tblOverlap w:val="never"/>
        <w:tblW w:w="4625" w:type="pct"/>
        <w:tblLayout w:type="fixed"/>
        <w:tblCellMar>
          <w:top w:w="28" w:type="dxa"/>
          <w:left w:w="57" w:type="dxa"/>
          <w:bottom w:w="28" w:type="dxa"/>
          <w:right w:w="28" w:type="dxa"/>
        </w:tblCellMar>
        <w:tblLook w:val="04A0" w:firstRow="1" w:lastRow="0" w:firstColumn="1" w:lastColumn="0" w:noHBand="0" w:noVBand="1"/>
      </w:tblPr>
      <w:tblGrid>
        <w:gridCol w:w="807"/>
        <w:gridCol w:w="3080"/>
        <w:gridCol w:w="1218"/>
        <w:gridCol w:w="1277"/>
        <w:gridCol w:w="512"/>
        <w:gridCol w:w="551"/>
        <w:gridCol w:w="470"/>
        <w:gridCol w:w="84"/>
        <w:gridCol w:w="1567"/>
        <w:gridCol w:w="84"/>
        <w:gridCol w:w="1100"/>
        <w:gridCol w:w="84"/>
        <w:gridCol w:w="1077"/>
        <w:gridCol w:w="82"/>
        <w:gridCol w:w="2003"/>
        <w:gridCol w:w="37"/>
        <w:gridCol w:w="31"/>
      </w:tblGrid>
      <w:tr w:rsidR="005119E1" w:rsidRPr="0054775B" w14:paraId="5DF5BA44" w14:textId="77777777" w:rsidTr="005119E1">
        <w:trPr>
          <w:gridAfter w:val="1"/>
          <w:wAfter w:w="11" w:type="pct"/>
          <w:cantSplit/>
        </w:trPr>
        <w:tc>
          <w:tcPr>
            <w:tcW w:w="4989" w:type="pct"/>
            <w:gridSpan w:val="16"/>
            <w:tcBorders>
              <w:top w:val="single" w:sz="12" w:space="0" w:color="000000"/>
              <w:left w:val="nil"/>
              <w:bottom w:val="single" w:sz="12" w:space="0" w:color="000000"/>
              <w:right w:val="nil"/>
            </w:tcBorders>
          </w:tcPr>
          <w:p w14:paraId="6E3661CD" w14:textId="77777777" w:rsidR="005119E1" w:rsidRPr="0054775B" w:rsidRDefault="005119E1" w:rsidP="00CD4FE9">
            <w:pPr>
              <w:pStyle w:val="2024TABLETEXT"/>
              <w:framePr w:hSpace="0" w:wrap="auto" w:vAnchor="margin" w:yAlign="inline"/>
              <w:suppressOverlap w:val="0"/>
              <w:rPr>
                <w:rStyle w:val="Strong"/>
              </w:rPr>
            </w:pPr>
            <w:r w:rsidRPr="0054775B">
              <w:rPr>
                <w:rStyle w:val="Strong"/>
                <w:b w:val="0"/>
                <w:bCs w:val="0"/>
              </w:rPr>
              <w:t>Patient or population:</w:t>
            </w:r>
            <w:r w:rsidRPr="0054775B">
              <w:rPr>
                <w:rStyle w:val="Strong"/>
              </w:rPr>
              <w:t xml:space="preserve"> Atopic disorders</w:t>
            </w:r>
          </w:p>
          <w:p w14:paraId="3752DB14" w14:textId="77777777" w:rsidR="005119E1" w:rsidRPr="0054775B" w:rsidRDefault="005119E1" w:rsidP="00CD4FE9">
            <w:pPr>
              <w:pStyle w:val="2024TABLETEXT"/>
              <w:framePr w:hSpace="0" w:wrap="auto" w:vAnchor="margin" w:yAlign="inline"/>
              <w:suppressOverlap w:val="0"/>
              <w:rPr>
                <w:rStyle w:val="Strong"/>
              </w:rPr>
            </w:pPr>
            <w:r w:rsidRPr="0054775B">
              <w:rPr>
                <w:rStyle w:val="Strong"/>
                <w:b w:val="0"/>
                <w:bCs w:val="0"/>
              </w:rPr>
              <w:t>Intervention:</w:t>
            </w:r>
            <w:r w:rsidRPr="0054775B">
              <w:rPr>
                <w:rStyle w:val="Strong"/>
              </w:rPr>
              <w:t xml:space="preserve"> Zinc</w:t>
            </w:r>
          </w:p>
          <w:p w14:paraId="0A277624" w14:textId="00AB4D6F" w:rsidR="005119E1" w:rsidRPr="0054775B" w:rsidRDefault="005119E1" w:rsidP="00CD4FE9">
            <w:pPr>
              <w:pStyle w:val="2024TABLETEXT"/>
              <w:framePr w:hSpace="0" w:wrap="auto" w:vAnchor="margin" w:yAlign="inline"/>
              <w:suppressOverlap w:val="0"/>
              <w:rPr>
                <w:rStyle w:val="Strong"/>
                <w:b w:val="0"/>
                <w:bCs w:val="0"/>
              </w:rPr>
            </w:pPr>
            <w:r w:rsidRPr="0054775B">
              <w:rPr>
                <w:rStyle w:val="Strong"/>
                <w:b w:val="0"/>
                <w:bCs w:val="0"/>
              </w:rPr>
              <w:t>Comparison:</w:t>
            </w:r>
            <w:r w:rsidRPr="0054775B">
              <w:rPr>
                <w:rStyle w:val="Strong"/>
              </w:rPr>
              <w:t xml:space="preserve"> Placebo/inactive control</w:t>
            </w:r>
          </w:p>
        </w:tc>
      </w:tr>
      <w:tr w:rsidR="005119E1" w:rsidRPr="0054775B" w14:paraId="0A0F1C47" w14:textId="77777777" w:rsidTr="004F6C89">
        <w:trPr>
          <w:cantSplit/>
          <w:trHeight w:val="280"/>
        </w:trPr>
        <w:tc>
          <w:tcPr>
            <w:tcW w:w="287" w:type="pct"/>
            <w:vMerge w:val="restart"/>
            <w:tcBorders>
              <w:right w:val="single" w:sz="6" w:space="0" w:color="EFEFEF"/>
            </w:tcBorders>
            <w:shd w:val="clear" w:color="auto" w:fill="FFE599" w:themeFill="accent4" w:themeFillTint="66"/>
            <w:vAlign w:val="bottom"/>
          </w:tcPr>
          <w:p w14:paraId="36F7A3E3" w14:textId="77777777" w:rsidR="005119E1" w:rsidRPr="0054775B" w:rsidRDefault="005119E1" w:rsidP="00CD4FE9">
            <w:pPr>
              <w:pStyle w:val="2024TABLEHEADER"/>
              <w:spacing w:before="0" w:after="0"/>
            </w:pPr>
            <w:r w:rsidRPr="0054775B">
              <w:t>NTWC Rating*</w:t>
            </w:r>
          </w:p>
        </w:tc>
        <w:tc>
          <w:tcPr>
            <w:tcW w:w="1095" w:type="pct"/>
            <w:vMerge w:val="restart"/>
            <w:tcBorders>
              <w:right w:val="single" w:sz="6" w:space="0" w:color="EFEFEF"/>
            </w:tcBorders>
            <w:shd w:val="clear" w:color="auto" w:fill="FFE599" w:themeFill="accent4" w:themeFillTint="66"/>
            <w:vAlign w:val="bottom"/>
            <w:hideMark/>
          </w:tcPr>
          <w:p w14:paraId="5557057E" w14:textId="77777777" w:rsidR="005119E1" w:rsidRPr="0054775B" w:rsidRDefault="005119E1" w:rsidP="00CD4FE9">
            <w:pPr>
              <w:pStyle w:val="2024TABLEHEADER"/>
              <w:spacing w:before="0" w:after="0"/>
            </w:pPr>
            <w:r w:rsidRPr="0054775B">
              <w:t>Outcomes</w:t>
            </w:r>
          </w:p>
        </w:tc>
        <w:tc>
          <w:tcPr>
            <w:tcW w:w="433" w:type="pct"/>
            <w:vMerge w:val="restart"/>
            <w:shd w:val="clear" w:color="auto" w:fill="FFF2CC" w:themeFill="accent4" w:themeFillTint="33"/>
            <w:vAlign w:val="bottom"/>
          </w:tcPr>
          <w:p w14:paraId="067A9E4D" w14:textId="77777777" w:rsidR="005119E1" w:rsidRPr="0054775B" w:rsidRDefault="005119E1" w:rsidP="00CD4FE9">
            <w:pPr>
              <w:pStyle w:val="2024TABLEHEADER"/>
              <w:spacing w:before="0" w:after="0"/>
            </w:pPr>
            <w:r w:rsidRPr="0054775B">
              <w:t>Contributing review</w:t>
            </w:r>
          </w:p>
        </w:tc>
        <w:tc>
          <w:tcPr>
            <w:tcW w:w="636" w:type="pct"/>
            <w:gridSpan w:val="2"/>
            <w:shd w:val="clear" w:color="auto" w:fill="E0E0E0"/>
            <w:vAlign w:val="bottom"/>
          </w:tcPr>
          <w:p w14:paraId="69576E98" w14:textId="1A5DB697" w:rsidR="005119E1" w:rsidRPr="0054775B" w:rsidRDefault="005119E1" w:rsidP="00CD4FE9">
            <w:pPr>
              <w:pStyle w:val="2024TABLEHEADER"/>
              <w:spacing w:before="0" w:after="0"/>
            </w:pPr>
            <w:r w:rsidRPr="0054775B">
              <w:t>Absolute Effects</w:t>
            </w:r>
          </w:p>
        </w:tc>
        <w:tc>
          <w:tcPr>
            <w:tcW w:w="196" w:type="pct"/>
            <w:shd w:val="clear" w:color="auto" w:fill="E0E0E0"/>
          </w:tcPr>
          <w:p w14:paraId="5A3ABD7F" w14:textId="77777777" w:rsidR="005119E1" w:rsidRPr="0054775B" w:rsidRDefault="005119E1" w:rsidP="00CD4FE9">
            <w:pPr>
              <w:pStyle w:val="2024TABLEHEADER"/>
              <w:spacing w:before="0" w:after="0"/>
            </w:pPr>
          </w:p>
        </w:tc>
        <w:tc>
          <w:tcPr>
            <w:tcW w:w="196" w:type="pct"/>
            <w:gridSpan w:val="2"/>
            <w:shd w:val="clear" w:color="auto" w:fill="E0E0E0"/>
          </w:tcPr>
          <w:p w14:paraId="53E9853D" w14:textId="10535E5A" w:rsidR="005119E1" w:rsidRPr="0054775B" w:rsidRDefault="005119E1" w:rsidP="00CD4FE9">
            <w:pPr>
              <w:pStyle w:val="2024TABLEHEADER"/>
              <w:spacing w:before="0" w:after="0"/>
            </w:pPr>
          </w:p>
        </w:tc>
        <w:tc>
          <w:tcPr>
            <w:tcW w:w="587" w:type="pct"/>
            <w:gridSpan w:val="2"/>
            <w:vMerge w:val="restart"/>
            <w:tcBorders>
              <w:top w:val="single" w:sz="6" w:space="0" w:color="EFEFEF"/>
              <w:right w:val="single" w:sz="6" w:space="0" w:color="EFEFEF"/>
            </w:tcBorders>
            <w:shd w:val="clear" w:color="auto" w:fill="E0E0E0"/>
            <w:vAlign w:val="bottom"/>
          </w:tcPr>
          <w:p w14:paraId="29179630" w14:textId="30FC2378" w:rsidR="005119E1" w:rsidRPr="0054775B" w:rsidRDefault="005119E1" w:rsidP="00CD4FE9">
            <w:pPr>
              <w:pStyle w:val="2024TABLEHEADER"/>
              <w:spacing w:before="0" w:after="0"/>
            </w:pPr>
            <w:r w:rsidRPr="0054775B">
              <w:t>Relative effect</w:t>
            </w:r>
            <w:r w:rsidRPr="0054775B">
              <w:br/>
              <w:t>(95% CI)</w:t>
            </w:r>
          </w:p>
        </w:tc>
        <w:tc>
          <w:tcPr>
            <w:tcW w:w="421" w:type="pct"/>
            <w:gridSpan w:val="2"/>
            <w:vMerge w:val="restart"/>
            <w:tcBorders>
              <w:right w:val="single" w:sz="6" w:space="0" w:color="EFEFEF"/>
            </w:tcBorders>
            <w:shd w:val="clear" w:color="auto" w:fill="FFE599" w:themeFill="accent4" w:themeFillTint="66"/>
            <w:vAlign w:val="bottom"/>
            <w:hideMark/>
          </w:tcPr>
          <w:p w14:paraId="08E97B58" w14:textId="77777777" w:rsidR="005119E1" w:rsidRPr="0054775B" w:rsidRDefault="005119E1" w:rsidP="00CD4FE9">
            <w:pPr>
              <w:pStyle w:val="2024TABLEHEADER"/>
              <w:spacing w:before="0" w:after="0"/>
            </w:pPr>
            <w:r w:rsidRPr="0054775B">
              <w:t>№ of participants</w:t>
            </w:r>
            <w:r w:rsidRPr="0054775B">
              <w:br/>
              <w:t>(studies)</w:t>
            </w:r>
          </w:p>
        </w:tc>
        <w:tc>
          <w:tcPr>
            <w:tcW w:w="412" w:type="pct"/>
            <w:gridSpan w:val="2"/>
            <w:vMerge w:val="restart"/>
            <w:tcBorders>
              <w:right w:val="single" w:sz="6" w:space="0" w:color="EFEFEF"/>
            </w:tcBorders>
            <w:shd w:val="clear" w:color="auto" w:fill="FFE599" w:themeFill="accent4" w:themeFillTint="66"/>
            <w:vAlign w:val="bottom"/>
            <w:hideMark/>
          </w:tcPr>
          <w:p w14:paraId="002D9286" w14:textId="77777777" w:rsidR="005119E1" w:rsidRPr="0054775B" w:rsidRDefault="005119E1" w:rsidP="00CD4FE9">
            <w:pPr>
              <w:pStyle w:val="2024TABLEHEADER"/>
              <w:spacing w:before="0" w:after="0"/>
            </w:pPr>
            <w:r w:rsidRPr="0054775B">
              <w:t>Certainty of the evidence</w:t>
            </w:r>
            <w:r w:rsidRPr="0054775B">
              <w:br/>
              <w:t>(GRADE)</w:t>
            </w:r>
          </w:p>
        </w:tc>
        <w:tc>
          <w:tcPr>
            <w:tcW w:w="737" w:type="pct"/>
            <w:gridSpan w:val="3"/>
            <w:vMerge w:val="restart"/>
            <w:tcBorders>
              <w:right w:val="single" w:sz="6" w:space="0" w:color="EFEFEF"/>
            </w:tcBorders>
            <w:shd w:val="clear" w:color="auto" w:fill="FFE599" w:themeFill="accent4" w:themeFillTint="66"/>
            <w:vAlign w:val="bottom"/>
            <w:hideMark/>
          </w:tcPr>
          <w:p w14:paraId="6F5AD0F4" w14:textId="77777777" w:rsidR="005119E1" w:rsidRPr="0054775B" w:rsidRDefault="005119E1" w:rsidP="00CD4FE9">
            <w:pPr>
              <w:pStyle w:val="2024TABLEHEADER"/>
              <w:spacing w:before="0" w:after="0"/>
            </w:pPr>
            <w:r w:rsidRPr="0054775B">
              <w:t>Evidence statement</w:t>
            </w:r>
          </w:p>
        </w:tc>
      </w:tr>
      <w:tr w:rsidR="005119E1" w:rsidRPr="0054775B" w14:paraId="70DD0149" w14:textId="77777777" w:rsidTr="007935D7">
        <w:trPr>
          <w:cantSplit/>
          <w:trHeight w:val="400"/>
        </w:trPr>
        <w:tc>
          <w:tcPr>
            <w:tcW w:w="287" w:type="pct"/>
            <w:vMerge/>
            <w:tcBorders>
              <w:right w:val="single" w:sz="6" w:space="0" w:color="EFEFEF"/>
            </w:tcBorders>
            <w:shd w:val="clear" w:color="auto" w:fill="FFE599" w:themeFill="accent4" w:themeFillTint="66"/>
            <w:vAlign w:val="bottom"/>
          </w:tcPr>
          <w:p w14:paraId="15DB53E2" w14:textId="77777777" w:rsidR="005119E1" w:rsidRPr="0054775B" w:rsidRDefault="005119E1" w:rsidP="00CD4FE9">
            <w:pPr>
              <w:pStyle w:val="2024TABLEHEADER"/>
              <w:spacing w:before="0" w:after="0"/>
            </w:pPr>
          </w:p>
        </w:tc>
        <w:tc>
          <w:tcPr>
            <w:tcW w:w="1095" w:type="pct"/>
            <w:vMerge/>
            <w:tcBorders>
              <w:bottom w:val="single" w:sz="6" w:space="0" w:color="000000"/>
              <w:right w:val="single" w:sz="6" w:space="0" w:color="EFEFEF"/>
            </w:tcBorders>
            <w:shd w:val="clear" w:color="auto" w:fill="FFE599" w:themeFill="accent4" w:themeFillTint="66"/>
            <w:vAlign w:val="bottom"/>
          </w:tcPr>
          <w:p w14:paraId="1A2DD175" w14:textId="77777777" w:rsidR="005119E1" w:rsidRPr="0054775B" w:rsidRDefault="005119E1" w:rsidP="00CD4FE9">
            <w:pPr>
              <w:pStyle w:val="2024TABLEHEADER"/>
              <w:spacing w:before="0" w:after="0"/>
            </w:pPr>
          </w:p>
        </w:tc>
        <w:tc>
          <w:tcPr>
            <w:tcW w:w="433" w:type="pct"/>
            <w:vMerge/>
            <w:tcBorders>
              <w:bottom w:val="single" w:sz="6" w:space="0" w:color="000000"/>
            </w:tcBorders>
            <w:shd w:val="clear" w:color="auto" w:fill="FFF2CC" w:themeFill="accent4" w:themeFillTint="33"/>
            <w:vAlign w:val="bottom"/>
          </w:tcPr>
          <w:p w14:paraId="6AC92C80" w14:textId="77777777" w:rsidR="005119E1" w:rsidRPr="0054775B" w:rsidRDefault="005119E1" w:rsidP="00CD4FE9">
            <w:pPr>
              <w:pStyle w:val="2024TABLEHEADER"/>
              <w:spacing w:before="0" w:after="0"/>
            </w:pPr>
          </w:p>
        </w:tc>
        <w:tc>
          <w:tcPr>
            <w:tcW w:w="454" w:type="pct"/>
            <w:shd w:val="clear" w:color="auto" w:fill="E0E0E0"/>
            <w:vAlign w:val="bottom"/>
          </w:tcPr>
          <w:p w14:paraId="6A3979E2" w14:textId="0661DD92" w:rsidR="005119E1" w:rsidRPr="0054775B" w:rsidRDefault="005119E1" w:rsidP="00CD4FE9">
            <w:pPr>
              <w:pStyle w:val="2024TABLEHEADER"/>
              <w:spacing w:before="0" w:after="0"/>
            </w:pPr>
            <w:r>
              <w:t>Comparator Mean (SD)</w:t>
            </w:r>
          </w:p>
        </w:tc>
        <w:tc>
          <w:tcPr>
            <w:tcW w:w="575" w:type="pct"/>
            <w:gridSpan w:val="4"/>
            <w:shd w:val="clear" w:color="auto" w:fill="E0E0E0"/>
            <w:vAlign w:val="bottom"/>
          </w:tcPr>
          <w:p w14:paraId="4A8FDAE5" w14:textId="7BF2B5AA" w:rsidR="005119E1" w:rsidRPr="0054775B" w:rsidRDefault="005119E1" w:rsidP="00CD4FE9">
            <w:pPr>
              <w:pStyle w:val="2024TABLEHEADER"/>
              <w:spacing w:before="0" w:after="0"/>
            </w:pPr>
            <w:r>
              <w:t>Intervention  Mean (SD)</w:t>
            </w:r>
          </w:p>
        </w:tc>
        <w:tc>
          <w:tcPr>
            <w:tcW w:w="587" w:type="pct"/>
            <w:gridSpan w:val="2"/>
            <w:vMerge/>
            <w:tcBorders>
              <w:right w:val="single" w:sz="6" w:space="0" w:color="EFEFEF"/>
            </w:tcBorders>
            <w:shd w:val="clear" w:color="auto" w:fill="E0E0E0"/>
            <w:vAlign w:val="center"/>
          </w:tcPr>
          <w:p w14:paraId="3A05B9E7" w14:textId="26529E4E" w:rsidR="005119E1" w:rsidRPr="0054775B" w:rsidRDefault="005119E1" w:rsidP="00CD4FE9">
            <w:pPr>
              <w:pStyle w:val="2024TABLEHEADER"/>
              <w:spacing w:before="0" w:after="0"/>
            </w:pPr>
          </w:p>
        </w:tc>
        <w:tc>
          <w:tcPr>
            <w:tcW w:w="421" w:type="pct"/>
            <w:gridSpan w:val="2"/>
            <w:vMerge/>
            <w:tcBorders>
              <w:right w:val="single" w:sz="6" w:space="0" w:color="EFEFEF"/>
            </w:tcBorders>
            <w:shd w:val="clear" w:color="auto" w:fill="FFE599" w:themeFill="accent4" w:themeFillTint="66"/>
            <w:vAlign w:val="bottom"/>
          </w:tcPr>
          <w:p w14:paraId="08B9B4DA" w14:textId="77777777" w:rsidR="005119E1" w:rsidRPr="0054775B" w:rsidRDefault="005119E1" w:rsidP="00CD4FE9">
            <w:pPr>
              <w:pStyle w:val="2024TABLEHEADER"/>
              <w:spacing w:before="0" w:after="0"/>
            </w:pPr>
          </w:p>
        </w:tc>
        <w:tc>
          <w:tcPr>
            <w:tcW w:w="412" w:type="pct"/>
            <w:gridSpan w:val="2"/>
            <w:vMerge/>
            <w:tcBorders>
              <w:right w:val="single" w:sz="6" w:space="0" w:color="EFEFEF"/>
            </w:tcBorders>
            <w:shd w:val="clear" w:color="auto" w:fill="FFE599" w:themeFill="accent4" w:themeFillTint="66"/>
            <w:vAlign w:val="bottom"/>
          </w:tcPr>
          <w:p w14:paraId="575BD22E" w14:textId="77777777" w:rsidR="005119E1" w:rsidRPr="0054775B" w:rsidRDefault="005119E1" w:rsidP="00CD4FE9">
            <w:pPr>
              <w:pStyle w:val="2024TABLEHEADER"/>
              <w:spacing w:before="0" w:after="0"/>
            </w:pPr>
          </w:p>
        </w:tc>
        <w:tc>
          <w:tcPr>
            <w:tcW w:w="737" w:type="pct"/>
            <w:gridSpan w:val="3"/>
            <w:vMerge/>
            <w:tcBorders>
              <w:right w:val="single" w:sz="6" w:space="0" w:color="EFEFEF"/>
            </w:tcBorders>
            <w:shd w:val="clear" w:color="auto" w:fill="FFE599" w:themeFill="accent4" w:themeFillTint="66"/>
            <w:vAlign w:val="bottom"/>
          </w:tcPr>
          <w:p w14:paraId="789B1762" w14:textId="77777777" w:rsidR="005119E1" w:rsidRPr="0054775B" w:rsidRDefault="005119E1" w:rsidP="00CD4FE9">
            <w:pPr>
              <w:pStyle w:val="2024TABLEHEADER"/>
              <w:spacing w:before="0" w:after="0"/>
            </w:pPr>
          </w:p>
        </w:tc>
      </w:tr>
      <w:tr w:rsidR="005119E1" w:rsidRPr="0054775B" w14:paraId="62D85137" w14:textId="77777777" w:rsidTr="007935D7">
        <w:trPr>
          <w:gridAfter w:val="2"/>
          <w:wAfter w:w="25" w:type="pct"/>
          <w:cantSplit/>
          <w:trHeight w:val="671"/>
        </w:trPr>
        <w:tc>
          <w:tcPr>
            <w:tcW w:w="287" w:type="pct"/>
            <w:vMerge w:val="restart"/>
            <w:tcBorders>
              <w:top w:val="single" w:sz="6" w:space="0" w:color="000000"/>
              <w:left w:val="nil"/>
              <w:right w:val="nil"/>
            </w:tcBorders>
            <w:vAlign w:val="center"/>
          </w:tcPr>
          <w:p w14:paraId="00BC866B" w14:textId="77777777" w:rsidR="005119E1" w:rsidRPr="0054775B" w:rsidRDefault="005119E1" w:rsidP="00CD4FE9">
            <w:pPr>
              <w:pStyle w:val="2024TABLETEXT"/>
              <w:framePr w:hSpace="0" w:wrap="auto" w:vAnchor="margin" w:yAlign="inline"/>
              <w:suppressOverlap w:val="0"/>
            </w:pPr>
            <w:r w:rsidRPr="0054775B">
              <w:t>9</w:t>
            </w:r>
          </w:p>
        </w:tc>
        <w:tc>
          <w:tcPr>
            <w:tcW w:w="1095" w:type="pct"/>
            <w:tcBorders>
              <w:top w:val="single" w:sz="6" w:space="0" w:color="000000"/>
              <w:left w:val="nil"/>
              <w:bottom w:val="single" w:sz="4" w:space="0" w:color="auto"/>
              <w:right w:val="nil"/>
            </w:tcBorders>
            <w:vAlign w:val="center"/>
            <w:hideMark/>
          </w:tcPr>
          <w:p w14:paraId="5B7D7A4E" w14:textId="1A7C5DB4" w:rsidR="005119E1" w:rsidRPr="0054775B" w:rsidRDefault="005119E1" w:rsidP="00CD4FE9">
            <w:pPr>
              <w:pStyle w:val="2024TABLETEXT"/>
              <w:framePr w:hSpace="0" w:wrap="auto" w:vAnchor="margin" w:yAlign="inline"/>
              <w:ind w:left="87"/>
              <w:suppressOverlap w:val="0"/>
              <w:rPr>
                <w:b/>
                <w:bCs/>
              </w:rPr>
            </w:pPr>
            <w:r w:rsidRPr="0054775B">
              <w:rPr>
                <w:b/>
                <w:bCs/>
              </w:rPr>
              <w:t>Global severity of condition/improvement of symptoms</w:t>
            </w:r>
          </w:p>
          <w:p w14:paraId="77C9EE75" w14:textId="116B63F7" w:rsidR="005119E1" w:rsidRPr="0054775B" w:rsidRDefault="005119E1" w:rsidP="00CD4FE9">
            <w:pPr>
              <w:pStyle w:val="2024TABLETEXT"/>
              <w:framePr w:hSpace="0" w:wrap="auto" w:vAnchor="margin" w:yAlign="inline"/>
              <w:ind w:left="370"/>
              <w:suppressOverlap w:val="0"/>
            </w:pPr>
            <w:r w:rsidRPr="0054775B">
              <w:rPr>
                <w:b/>
                <w:bCs/>
              </w:rPr>
              <w:t>Condition:</w:t>
            </w:r>
            <w:r w:rsidRPr="0054775B">
              <w:t xml:space="preserve"> Atopic eczema (paediatric)</w:t>
            </w:r>
          </w:p>
          <w:p w14:paraId="2E475ED1" w14:textId="31D90AD2" w:rsidR="005119E1" w:rsidRPr="0054775B" w:rsidRDefault="005119E1" w:rsidP="00CD4FE9">
            <w:pPr>
              <w:pStyle w:val="2024TABLETEXT"/>
              <w:framePr w:hSpace="0" w:wrap="auto" w:vAnchor="margin" w:yAlign="inline"/>
              <w:ind w:left="370"/>
              <w:suppressOverlap w:val="0"/>
            </w:pPr>
            <w:r w:rsidRPr="0054775B">
              <w:rPr>
                <w:b/>
                <w:bCs/>
              </w:rPr>
              <w:t>Dosage:</w:t>
            </w:r>
            <w:r w:rsidRPr="0054775B">
              <w:t xml:space="preserve"> 61.8mg zinc sulphate</w:t>
            </w:r>
          </w:p>
        </w:tc>
        <w:tc>
          <w:tcPr>
            <w:tcW w:w="433" w:type="pct"/>
            <w:tcBorders>
              <w:top w:val="single" w:sz="6" w:space="0" w:color="000000"/>
              <w:left w:val="nil"/>
              <w:bottom w:val="single" w:sz="4" w:space="0" w:color="auto"/>
              <w:right w:val="nil"/>
            </w:tcBorders>
            <w:vAlign w:val="center"/>
          </w:tcPr>
          <w:p w14:paraId="030D4B1A" w14:textId="6567C2B7" w:rsidR="005119E1" w:rsidRPr="0054775B" w:rsidRDefault="005119E1" w:rsidP="00CD4FE9">
            <w:pPr>
              <w:pStyle w:val="2024TABLETEXT"/>
              <w:framePr w:hSpace="0" w:wrap="auto" w:vAnchor="margin" w:yAlign="inline"/>
              <w:suppressOverlap w:val="0"/>
            </w:pPr>
          </w:p>
        </w:tc>
        <w:tc>
          <w:tcPr>
            <w:tcW w:w="454" w:type="pct"/>
            <w:tcBorders>
              <w:top w:val="single" w:sz="6" w:space="0" w:color="000000"/>
              <w:left w:val="nil"/>
              <w:bottom w:val="single" w:sz="6" w:space="0" w:color="000000"/>
              <w:right w:val="nil"/>
            </w:tcBorders>
            <w:vAlign w:val="bottom"/>
          </w:tcPr>
          <w:p w14:paraId="13FBA955" w14:textId="5E798DFC" w:rsidR="005119E1" w:rsidRPr="0054775B" w:rsidRDefault="005119E1" w:rsidP="00CD4FE9">
            <w:pPr>
              <w:pStyle w:val="2024TABLETEXT"/>
              <w:framePr w:hSpace="0" w:wrap="auto" w:vAnchor="margin" w:yAlign="inline"/>
              <w:suppressOverlap w:val="0"/>
            </w:pPr>
          </w:p>
        </w:tc>
        <w:tc>
          <w:tcPr>
            <w:tcW w:w="545" w:type="pct"/>
            <w:gridSpan w:val="3"/>
            <w:tcBorders>
              <w:top w:val="single" w:sz="6" w:space="0" w:color="000000"/>
              <w:left w:val="nil"/>
              <w:bottom w:val="single" w:sz="6" w:space="0" w:color="000000"/>
              <w:right w:val="nil"/>
            </w:tcBorders>
            <w:vAlign w:val="bottom"/>
          </w:tcPr>
          <w:p w14:paraId="632A91A4" w14:textId="77777777" w:rsidR="005119E1" w:rsidRPr="0054775B" w:rsidRDefault="005119E1" w:rsidP="00CD4FE9">
            <w:pPr>
              <w:pStyle w:val="2024TABLETEXT"/>
              <w:framePr w:hSpace="0" w:wrap="auto" w:vAnchor="margin" w:yAlign="inline"/>
              <w:suppressOverlap w:val="0"/>
            </w:pPr>
          </w:p>
        </w:tc>
        <w:tc>
          <w:tcPr>
            <w:tcW w:w="587" w:type="pct"/>
            <w:gridSpan w:val="2"/>
            <w:tcBorders>
              <w:top w:val="single" w:sz="6" w:space="0" w:color="000000"/>
              <w:left w:val="nil"/>
              <w:bottom w:val="single" w:sz="6" w:space="0" w:color="000000"/>
              <w:right w:val="nil"/>
            </w:tcBorders>
            <w:shd w:val="clear" w:color="auto" w:fill="auto"/>
            <w:vAlign w:val="center"/>
            <w:hideMark/>
          </w:tcPr>
          <w:p w14:paraId="3006C963" w14:textId="270E1AE5" w:rsidR="005119E1" w:rsidRPr="0054775B" w:rsidRDefault="005119E1" w:rsidP="00CD4FE9">
            <w:pPr>
              <w:pStyle w:val="2024TABLETEXT"/>
              <w:framePr w:hSpace="0" w:wrap="auto" w:vAnchor="margin" w:yAlign="inline"/>
              <w:suppressOverlap w:val="0"/>
            </w:pPr>
          </w:p>
        </w:tc>
        <w:tc>
          <w:tcPr>
            <w:tcW w:w="450" w:type="pct"/>
            <w:gridSpan w:val="3"/>
            <w:tcBorders>
              <w:top w:val="single" w:sz="6" w:space="0" w:color="000000"/>
              <w:left w:val="nil"/>
              <w:bottom w:val="single" w:sz="4" w:space="0" w:color="auto"/>
              <w:right w:val="nil"/>
            </w:tcBorders>
            <w:vAlign w:val="center"/>
          </w:tcPr>
          <w:p w14:paraId="780CC2C2" w14:textId="652564F8" w:rsidR="005119E1" w:rsidRPr="0054775B" w:rsidRDefault="005119E1" w:rsidP="00CD4FE9">
            <w:pPr>
              <w:pStyle w:val="2024TABLETEXT"/>
              <w:framePr w:hSpace="0" w:wrap="auto" w:vAnchor="margin" w:yAlign="inline"/>
              <w:suppressOverlap w:val="0"/>
            </w:pPr>
          </w:p>
        </w:tc>
        <w:tc>
          <w:tcPr>
            <w:tcW w:w="383" w:type="pct"/>
            <w:tcBorders>
              <w:top w:val="single" w:sz="6" w:space="0" w:color="000000"/>
              <w:left w:val="nil"/>
              <w:bottom w:val="single" w:sz="4" w:space="0" w:color="auto"/>
              <w:right w:val="nil"/>
            </w:tcBorders>
            <w:vAlign w:val="center"/>
          </w:tcPr>
          <w:p w14:paraId="7B5FCBBF" w14:textId="540E5EF0" w:rsidR="005119E1" w:rsidRPr="0054775B" w:rsidRDefault="005119E1" w:rsidP="00CD4FE9">
            <w:pPr>
              <w:pStyle w:val="2024TABLETEXT"/>
              <w:framePr w:hSpace="0" w:wrap="auto" w:vAnchor="margin" w:yAlign="inline"/>
              <w:suppressOverlap w:val="0"/>
              <w:rPr>
                <w:rStyle w:val="FootnoteReference"/>
                <w:caps/>
              </w:rPr>
            </w:pPr>
          </w:p>
        </w:tc>
        <w:tc>
          <w:tcPr>
            <w:tcW w:w="741" w:type="pct"/>
            <w:gridSpan w:val="2"/>
            <w:tcBorders>
              <w:top w:val="single" w:sz="6" w:space="0" w:color="000000"/>
              <w:left w:val="nil"/>
              <w:bottom w:val="single" w:sz="4" w:space="0" w:color="auto"/>
              <w:right w:val="nil"/>
            </w:tcBorders>
            <w:vAlign w:val="center"/>
          </w:tcPr>
          <w:p w14:paraId="2A21842C" w14:textId="2124CD2E" w:rsidR="005119E1" w:rsidRPr="0054775B" w:rsidRDefault="005119E1" w:rsidP="00CD4FE9">
            <w:pPr>
              <w:pStyle w:val="2024TABLETEXT"/>
              <w:framePr w:hSpace="0" w:wrap="auto" w:vAnchor="margin" w:yAlign="inline"/>
              <w:suppressOverlap w:val="0"/>
              <w:rPr>
                <w:b/>
                <w:bCs/>
              </w:rPr>
            </w:pPr>
          </w:p>
        </w:tc>
      </w:tr>
      <w:tr w:rsidR="00A5611E" w:rsidRPr="0054775B" w14:paraId="575828AD" w14:textId="77777777" w:rsidTr="007935D7">
        <w:trPr>
          <w:gridAfter w:val="2"/>
          <w:wAfter w:w="25" w:type="pct"/>
          <w:cantSplit/>
          <w:trHeight w:val="38"/>
        </w:trPr>
        <w:tc>
          <w:tcPr>
            <w:tcW w:w="287" w:type="pct"/>
            <w:vMerge/>
            <w:tcBorders>
              <w:top w:val="single" w:sz="4" w:space="0" w:color="auto"/>
              <w:left w:val="nil"/>
              <w:right w:val="nil"/>
            </w:tcBorders>
            <w:vAlign w:val="center"/>
          </w:tcPr>
          <w:p w14:paraId="5C108D1D" w14:textId="77777777" w:rsidR="00A5611E" w:rsidRPr="0054775B" w:rsidRDefault="00A5611E" w:rsidP="00CD4FE9">
            <w:pPr>
              <w:pStyle w:val="2024TABLETEXT"/>
              <w:framePr w:hSpace="0" w:wrap="auto" w:vAnchor="margin" w:yAlign="inline"/>
              <w:suppressOverlap w:val="0"/>
            </w:pPr>
          </w:p>
        </w:tc>
        <w:tc>
          <w:tcPr>
            <w:tcW w:w="1095" w:type="pct"/>
            <w:tcBorders>
              <w:top w:val="single" w:sz="4" w:space="0" w:color="auto"/>
              <w:left w:val="nil"/>
              <w:bottom w:val="single" w:sz="4" w:space="0" w:color="auto"/>
              <w:right w:val="nil"/>
            </w:tcBorders>
            <w:vAlign w:val="center"/>
          </w:tcPr>
          <w:p w14:paraId="5765981B" w14:textId="26EC9C81" w:rsidR="00A5611E" w:rsidRPr="0054775B" w:rsidRDefault="00A5611E" w:rsidP="00CD4FE9">
            <w:pPr>
              <w:pStyle w:val="2024TABLETEXT"/>
              <w:framePr w:hSpace="0" w:wrap="auto" w:vAnchor="margin" w:yAlign="inline"/>
              <w:ind w:left="360"/>
              <w:suppressOverlap w:val="0"/>
              <w:rPr>
                <w:b/>
                <w:bCs/>
              </w:rPr>
            </w:pPr>
            <w:r w:rsidRPr="0054775B">
              <w:rPr>
                <w:b/>
                <w:bCs/>
              </w:rPr>
              <w:t>Combined disease severity score</w:t>
            </w:r>
          </w:p>
          <w:p w14:paraId="0202666F" w14:textId="4C1F7422" w:rsidR="00A5611E" w:rsidRPr="0054775B" w:rsidRDefault="00A5611E" w:rsidP="00CD4FE9">
            <w:pPr>
              <w:pStyle w:val="2024TABLETEXT"/>
              <w:framePr w:hSpace="0" w:wrap="auto" w:vAnchor="margin" w:yAlign="inline"/>
              <w:ind w:left="644"/>
              <w:suppressOverlap w:val="0"/>
            </w:pPr>
            <w:r w:rsidRPr="0054775B">
              <w:rPr>
                <w:b/>
                <w:bCs/>
              </w:rPr>
              <w:t>Assessed with:</w:t>
            </w:r>
            <w:r w:rsidRPr="0054775B">
              <w:t xml:space="preserve"> Affected surface area score multiplied by severity score</w:t>
            </w:r>
          </w:p>
        </w:tc>
        <w:tc>
          <w:tcPr>
            <w:tcW w:w="433" w:type="pct"/>
            <w:vMerge w:val="restart"/>
            <w:tcBorders>
              <w:top w:val="single" w:sz="4" w:space="0" w:color="auto"/>
              <w:left w:val="nil"/>
              <w:right w:val="nil"/>
            </w:tcBorders>
            <w:vAlign w:val="center"/>
          </w:tcPr>
          <w:p w14:paraId="31205C15" w14:textId="63BC9465" w:rsidR="00A5611E" w:rsidRPr="0054775B" w:rsidRDefault="00A5611E" w:rsidP="00CD4FE9">
            <w:pPr>
              <w:pStyle w:val="2024TABLETEXT"/>
              <w:framePr w:hSpace="0" w:wrap="auto" w:vAnchor="margin" w:yAlign="inline"/>
              <w:suppressOverlap w:val="0"/>
            </w:pPr>
            <w:r w:rsidRPr="0054775B">
              <w:t>Bath-Hextall 2012</w:t>
            </w:r>
          </w:p>
        </w:tc>
        <w:tc>
          <w:tcPr>
            <w:tcW w:w="454" w:type="pct"/>
            <w:tcBorders>
              <w:top w:val="single" w:sz="4" w:space="0" w:color="auto"/>
              <w:left w:val="nil"/>
              <w:bottom w:val="single" w:sz="6" w:space="0" w:color="000000"/>
              <w:right w:val="nil"/>
            </w:tcBorders>
          </w:tcPr>
          <w:p w14:paraId="3A1E9D29" w14:textId="40A34DA1" w:rsidR="00A5611E" w:rsidRPr="0054775B" w:rsidRDefault="00A5611E" w:rsidP="00CD4FE9">
            <w:pPr>
              <w:pStyle w:val="2024TABLETEXT"/>
              <w:framePr w:hSpace="0" w:wrap="auto" w:vAnchor="margin" w:yAlign="inline"/>
              <w:suppressOverlap w:val="0"/>
            </w:pPr>
          </w:p>
        </w:tc>
        <w:tc>
          <w:tcPr>
            <w:tcW w:w="545" w:type="pct"/>
            <w:gridSpan w:val="3"/>
            <w:tcBorders>
              <w:top w:val="single" w:sz="4" w:space="0" w:color="auto"/>
              <w:left w:val="nil"/>
              <w:bottom w:val="single" w:sz="6" w:space="0" w:color="000000"/>
              <w:right w:val="nil"/>
            </w:tcBorders>
          </w:tcPr>
          <w:p w14:paraId="30CFBA17" w14:textId="77777777" w:rsidR="00A5611E" w:rsidRPr="0054775B" w:rsidRDefault="00A5611E" w:rsidP="00CD4FE9">
            <w:pPr>
              <w:pStyle w:val="2024TABLETEXT"/>
              <w:framePr w:hSpace="0" w:wrap="auto" w:vAnchor="margin" w:yAlign="inline"/>
              <w:suppressOverlap w:val="0"/>
            </w:pPr>
          </w:p>
        </w:tc>
        <w:tc>
          <w:tcPr>
            <w:tcW w:w="587" w:type="pct"/>
            <w:gridSpan w:val="2"/>
            <w:tcBorders>
              <w:top w:val="single" w:sz="4" w:space="0" w:color="auto"/>
              <w:left w:val="nil"/>
              <w:bottom w:val="single" w:sz="6" w:space="0" w:color="000000"/>
              <w:right w:val="nil"/>
            </w:tcBorders>
            <w:shd w:val="clear" w:color="auto" w:fill="auto"/>
            <w:vAlign w:val="center"/>
          </w:tcPr>
          <w:p w14:paraId="41796E78" w14:textId="68F8EE02" w:rsidR="00A5611E" w:rsidRPr="0054775B" w:rsidRDefault="00A5611E" w:rsidP="00CD4FE9">
            <w:pPr>
              <w:pStyle w:val="2024TABLETEXT"/>
              <w:framePr w:hSpace="0" w:wrap="auto" w:vAnchor="margin" w:yAlign="inline"/>
              <w:suppressOverlap w:val="0"/>
            </w:pPr>
          </w:p>
        </w:tc>
        <w:tc>
          <w:tcPr>
            <w:tcW w:w="450" w:type="pct"/>
            <w:gridSpan w:val="3"/>
            <w:vMerge w:val="restart"/>
            <w:tcBorders>
              <w:top w:val="single" w:sz="4" w:space="0" w:color="auto"/>
              <w:left w:val="nil"/>
              <w:right w:val="nil"/>
            </w:tcBorders>
            <w:vAlign w:val="center"/>
          </w:tcPr>
          <w:p w14:paraId="614A3908" w14:textId="536FA648" w:rsidR="00A5611E" w:rsidRPr="0054775B" w:rsidRDefault="00A5611E" w:rsidP="00CD4FE9">
            <w:pPr>
              <w:pStyle w:val="2024TABLETEXT"/>
              <w:framePr w:hSpace="0" w:wrap="auto" w:vAnchor="margin" w:yAlign="inline"/>
              <w:suppressOverlap w:val="0"/>
              <w:jc w:val="center"/>
              <w:rPr>
                <w:b/>
                <w:bCs/>
              </w:rPr>
            </w:pPr>
            <w:r>
              <w:t>42</w:t>
            </w:r>
            <w:r w:rsidRPr="0054775B">
              <w:t xml:space="preserve"> (1)</w:t>
            </w:r>
          </w:p>
        </w:tc>
        <w:tc>
          <w:tcPr>
            <w:tcW w:w="383" w:type="pct"/>
            <w:vMerge w:val="restart"/>
            <w:tcBorders>
              <w:top w:val="single" w:sz="4" w:space="0" w:color="auto"/>
              <w:left w:val="nil"/>
              <w:bottom w:val="single" w:sz="4" w:space="0" w:color="auto"/>
              <w:right w:val="nil"/>
            </w:tcBorders>
            <w:vAlign w:val="center"/>
          </w:tcPr>
          <w:p w14:paraId="777AD513" w14:textId="73D1E06D" w:rsidR="00A5611E" w:rsidRPr="0054775B" w:rsidRDefault="00A5611E" w:rsidP="00CD4FE9">
            <w:pPr>
              <w:pStyle w:val="2024TABLETEXT"/>
              <w:framePr w:hSpace="0" w:wrap="auto" w:vAnchor="margin" w:yAlign="inline"/>
              <w:ind w:left="-28"/>
              <w:suppressOverlap w:val="0"/>
              <w:rPr>
                <w:b/>
                <w:bCs/>
              </w:rPr>
            </w:pPr>
            <w:r w:rsidRPr="008F7EFC">
              <w:rPr>
                <w:rFonts w:ascii="Cambria Math" w:hAnsi="Cambria Math" w:cs="Cambria Math"/>
                <w:sz w:val="22"/>
                <w:szCs w:val="22"/>
              </w:rPr>
              <w:t>⨁</w:t>
            </w:r>
            <w:r w:rsidRPr="0054775B">
              <w:rPr>
                <w:rFonts w:ascii="Segoe UI Symbol" w:hAnsi="Segoe UI Symbol" w:cs="Segoe UI Symbol"/>
              </w:rPr>
              <w:t>◯◯◯</w:t>
            </w:r>
            <w:r w:rsidRPr="0054775B">
              <w:br/>
              <w:t>VERY LOW</w:t>
            </w:r>
            <w:r w:rsidRPr="0054775B">
              <w:rPr>
                <w:rStyle w:val="FootnoteReference"/>
              </w:rPr>
              <w:t xml:space="preserve"> a</w:t>
            </w:r>
          </w:p>
        </w:tc>
        <w:tc>
          <w:tcPr>
            <w:tcW w:w="741" w:type="pct"/>
            <w:gridSpan w:val="2"/>
            <w:vMerge w:val="restart"/>
            <w:tcBorders>
              <w:top w:val="single" w:sz="4" w:space="0" w:color="auto"/>
              <w:left w:val="nil"/>
              <w:bottom w:val="single" w:sz="4" w:space="0" w:color="auto"/>
              <w:right w:val="nil"/>
            </w:tcBorders>
            <w:vAlign w:val="center"/>
          </w:tcPr>
          <w:p w14:paraId="6FC7997C" w14:textId="3DB80028" w:rsidR="00A5611E" w:rsidRPr="0054775B" w:rsidRDefault="00A5611E" w:rsidP="00CD4FE9">
            <w:pPr>
              <w:pStyle w:val="2024TABLETEXT"/>
              <w:framePr w:hSpace="0" w:wrap="auto" w:vAnchor="margin" w:yAlign="inline"/>
              <w:suppressOverlap w:val="0"/>
              <w:rPr>
                <w:b/>
                <w:bCs/>
              </w:rPr>
            </w:pPr>
            <w:r w:rsidRPr="0054775B">
              <w:t xml:space="preserve">The evidence is very uncertain about the effect of zinc on </w:t>
            </w:r>
            <w:r>
              <w:t>combined disease</w:t>
            </w:r>
            <w:r w:rsidRPr="0054775B">
              <w:t xml:space="preserve"> severity for atopic disorders</w:t>
            </w:r>
            <w:r>
              <w:t xml:space="preserve"> (paediatric atopic eczema)</w:t>
            </w:r>
            <w:r w:rsidRPr="0054775B">
              <w:t>.</w:t>
            </w:r>
          </w:p>
        </w:tc>
      </w:tr>
      <w:tr w:rsidR="00A5611E" w:rsidRPr="0054775B" w14:paraId="5A382B5E" w14:textId="77777777" w:rsidTr="007935D7">
        <w:trPr>
          <w:gridAfter w:val="2"/>
          <w:wAfter w:w="25" w:type="pct"/>
          <w:cantSplit/>
          <w:trHeight w:val="38"/>
        </w:trPr>
        <w:tc>
          <w:tcPr>
            <w:tcW w:w="287" w:type="pct"/>
            <w:vMerge/>
            <w:tcBorders>
              <w:left w:val="nil"/>
              <w:right w:val="nil"/>
            </w:tcBorders>
            <w:vAlign w:val="center"/>
          </w:tcPr>
          <w:p w14:paraId="40FDBD3F" w14:textId="77777777" w:rsidR="00A5611E" w:rsidRPr="0054775B" w:rsidRDefault="00A5611E" w:rsidP="00CD4FE9">
            <w:pPr>
              <w:pStyle w:val="2024TABLETEXT"/>
              <w:framePr w:hSpace="0" w:wrap="auto" w:vAnchor="margin" w:yAlign="inline"/>
              <w:suppressOverlap w:val="0"/>
            </w:pPr>
          </w:p>
        </w:tc>
        <w:tc>
          <w:tcPr>
            <w:tcW w:w="1095" w:type="pct"/>
            <w:tcBorders>
              <w:top w:val="single" w:sz="4" w:space="0" w:color="auto"/>
              <w:left w:val="nil"/>
              <w:bottom w:val="single" w:sz="6" w:space="0" w:color="000000"/>
              <w:right w:val="nil"/>
            </w:tcBorders>
            <w:vAlign w:val="center"/>
          </w:tcPr>
          <w:p w14:paraId="6151EEDB" w14:textId="70E7D171" w:rsidR="00A5611E" w:rsidRPr="0054775B" w:rsidRDefault="00A5611E" w:rsidP="00CD4FE9">
            <w:pPr>
              <w:pStyle w:val="2024TABLETEXT"/>
              <w:framePr w:hSpace="0" w:wrap="auto" w:vAnchor="margin" w:yAlign="inline"/>
              <w:ind w:left="935"/>
              <w:suppressOverlap w:val="0"/>
              <w:rPr>
                <w:b/>
                <w:bCs/>
              </w:rPr>
            </w:pPr>
            <w:r w:rsidRPr="0054775B">
              <w:rPr>
                <w:b/>
                <w:bCs/>
              </w:rPr>
              <w:t>Follow up:</w:t>
            </w:r>
            <w:r w:rsidRPr="0054775B">
              <w:t xml:space="preserve"> 4 weeks</w:t>
            </w:r>
          </w:p>
        </w:tc>
        <w:tc>
          <w:tcPr>
            <w:tcW w:w="433" w:type="pct"/>
            <w:vMerge/>
            <w:tcBorders>
              <w:left w:val="nil"/>
              <w:right w:val="nil"/>
            </w:tcBorders>
            <w:vAlign w:val="center"/>
          </w:tcPr>
          <w:p w14:paraId="1F4520A7" w14:textId="6695A129" w:rsidR="00A5611E" w:rsidRPr="0054775B" w:rsidRDefault="00A5611E" w:rsidP="00CD4FE9">
            <w:pPr>
              <w:pStyle w:val="2024TABLETEXT"/>
              <w:framePr w:hSpace="0" w:wrap="auto" w:vAnchor="margin" w:yAlign="inline"/>
              <w:suppressOverlap w:val="0"/>
            </w:pPr>
          </w:p>
        </w:tc>
        <w:tc>
          <w:tcPr>
            <w:tcW w:w="454" w:type="pct"/>
            <w:tcBorders>
              <w:top w:val="single" w:sz="6" w:space="0" w:color="000000"/>
              <w:left w:val="nil"/>
              <w:bottom w:val="single" w:sz="6" w:space="0" w:color="000000"/>
              <w:right w:val="nil"/>
            </w:tcBorders>
            <w:vAlign w:val="center"/>
          </w:tcPr>
          <w:p w14:paraId="53C2A658" w14:textId="77777777" w:rsidR="00A5611E" w:rsidRPr="00D404B7" w:rsidRDefault="00A5611E" w:rsidP="00CD4FE9">
            <w:pPr>
              <w:pStyle w:val="2024TABLETEXT"/>
              <w:framePr w:hSpace="0" w:wrap="auto" w:vAnchor="margin" w:yAlign="inline"/>
              <w:suppressOverlap w:val="0"/>
            </w:pPr>
            <w:r w:rsidRPr="00C400E6">
              <w:t xml:space="preserve">37.8 (98.8) </w:t>
            </w:r>
          </w:p>
          <w:p w14:paraId="13B1B556" w14:textId="51852FAB" w:rsidR="00A5611E" w:rsidRPr="0054775B" w:rsidRDefault="00A5611E" w:rsidP="00CD4FE9">
            <w:pPr>
              <w:pStyle w:val="2024TABLETEXT"/>
              <w:framePr w:hSpace="0" w:wrap="auto" w:vAnchor="margin" w:yAlign="inline"/>
              <w:suppressOverlap w:val="0"/>
              <w:rPr>
                <w:rFonts w:eastAsia="Calibri"/>
              </w:rPr>
            </w:pPr>
          </w:p>
        </w:tc>
        <w:tc>
          <w:tcPr>
            <w:tcW w:w="545" w:type="pct"/>
            <w:gridSpan w:val="3"/>
            <w:tcBorders>
              <w:top w:val="single" w:sz="6" w:space="0" w:color="000000"/>
              <w:left w:val="nil"/>
              <w:bottom w:val="single" w:sz="6" w:space="0" w:color="000000"/>
              <w:right w:val="nil"/>
            </w:tcBorders>
            <w:vAlign w:val="center"/>
          </w:tcPr>
          <w:p w14:paraId="29302455" w14:textId="77777777" w:rsidR="00A5611E" w:rsidRPr="00D404B7" w:rsidRDefault="00A5611E" w:rsidP="00CD4FE9">
            <w:pPr>
              <w:pStyle w:val="2024TABLETEXT"/>
              <w:framePr w:hSpace="0" w:wrap="auto" w:vAnchor="margin" w:yAlign="inline"/>
              <w:suppressOverlap w:val="0"/>
            </w:pPr>
            <w:r w:rsidRPr="00C400E6">
              <w:t xml:space="preserve">41.8 (44.2) </w:t>
            </w:r>
          </w:p>
          <w:p w14:paraId="27FCEF76" w14:textId="77777777" w:rsidR="00A5611E" w:rsidRPr="0054775B" w:rsidRDefault="00A5611E" w:rsidP="00CD4FE9">
            <w:pPr>
              <w:pStyle w:val="2024TABLETEXT"/>
              <w:framePr w:hSpace="0" w:wrap="auto" w:vAnchor="margin" w:yAlign="inline"/>
              <w:suppressOverlap w:val="0"/>
              <w:rPr>
                <w:rFonts w:eastAsia="Calibri"/>
              </w:rPr>
            </w:pPr>
          </w:p>
        </w:tc>
        <w:tc>
          <w:tcPr>
            <w:tcW w:w="587" w:type="pct"/>
            <w:gridSpan w:val="2"/>
            <w:tcBorders>
              <w:top w:val="single" w:sz="6" w:space="0" w:color="000000"/>
              <w:left w:val="nil"/>
              <w:bottom w:val="single" w:sz="6" w:space="0" w:color="000000"/>
              <w:right w:val="nil"/>
            </w:tcBorders>
            <w:shd w:val="clear" w:color="auto" w:fill="auto"/>
            <w:vAlign w:val="center"/>
          </w:tcPr>
          <w:p w14:paraId="3A025905" w14:textId="4AAB97A6" w:rsidR="00A5611E" w:rsidRPr="0054775B" w:rsidRDefault="00A5611E" w:rsidP="00CD4FE9">
            <w:pPr>
              <w:pStyle w:val="2024TABLETEXT"/>
              <w:framePr w:hSpace="0" w:wrap="auto" w:vAnchor="margin" w:yAlign="inline"/>
              <w:suppressOverlap w:val="0"/>
              <w:rPr>
                <w:rFonts w:eastAsia="Calibri"/>
              </w:rPr>
            </w:pPr>
            <w:r w:rsidRPr="0054775B">
              <w:rPr>
                <w:rFonts w:eastAsia="Calibri"/>
              </w:rPr>
              <w:t>MD = 4.00 (</w:t>
            </w:r>
            <w:r>
              <w:rPr>
                <w:rFonts w:eastAsia="Calibri"/>
              </w:rPr>
              <w:t>–</w:t>
            </w:r>
            <w:r w:rsidRPr="0054775B">
              <w:rPr>
                <w:rFonts w:eastAsia="Calibri"/>
              </w:rPr>
              <w:t>43.07</w:t>
            </w:r>
            <w:r w:rsidR="000071E8">
              <w:rPr>
                <w:rFonts w:eastAsia="Calibri"/>
              </w:rPr>
              <w:t xml:space="preserve"> to</w:t>
            </w:r>
            <w:r w:rsidRPr="0054775B">
              <w:rPr>
                <w:rFonts w:eastAsia="Calibri"/>
              </w:rPr>
              <w:t xml:space="preserve"> 51.07)</w:t>
            </w:r>
            <w:r>
              <w:rPr>
                <w:rFonts w:eastAsia="Calibri"/>
              </w:rPr>
              <w:t>^</w:t>
            </w:r>
          </w:p>
        </w:tc>
        <w:tc>
          <w:tcPr>
            <w:tcW w:w="450" w:type="pct"/>
            <w:gridSpan w:val="3"/>
            <w:vMerge/>
            <w:tcBorders>
              <w:left w:val="nil"/>
              <w:right w:val="nil"/>
            </w:tcBorders>
            <w:vAlign w:val="center"/>
          </w:tcPr>
          <w:p w14:paraId="1BA76D3E" w14:textId="57C909F9" w:rsidR="00A5611E" w:rsidRPr="0054775B" w:rsidRDefault="00A5611E" w:rsidP="00CD4FE9">
            <w:pPr>
              <w:pStyle w:val="2024TABLETEXT"/>
              <w:framePr w:hSpace="0" w:wrap="auto" w:vAnchor="margin" w:yAlign="inline"/>
              <w:suppressOverlap w:val="0"/>
              <w:jc w:val="center"/>
            </w:pPr>
          </w:p>
        </w:tc>
        <w:tc>
          <w:tcPr>
            <w:tcW w:w="383" w:type="pct"/>
            <w:vMerge/>
            <w:tcBorders>
              <w:left w:val="nil"/>
              <w:bottom w:val="single" w:sz="4" w:space="0" w:color="auto"/>
              <w:right w:val="nil"/>
            </w:tcBorders>
            <w:vAlign w:val="center"/>
          </w:tcPr>
          <w:p w14:paraId="0116925C" w14:textId="77777777" w:rsidR="00A5611E" w:rsidRPr="0054775B" w:rsidRDefault="00A5611E" w:rsidP="00CD4FE9">
            <w:pPr>
              <w:pStyle w:val="2024TABLETEXT"/>
              <w:framePr w:hSpace="0" w:wrap="auto" w:vAnchor="margin" w:yAlign="inline"/>
              <w:suppressOverlap w:val="0"/>
            </w:pPr>
          </w:p>
        </w:tc>
        <w:tc>
          <w:tcPr>
            <w:tcW w:w="741" w:type="pct"/>
            <w:gridSpan w:val="2"/>
            <w:vMerge/>
            <w:tcBorders>
              <w:left w:val="nil"/>
              <w:bottom w:val="single" w:sz="4" w:space="0" w:color="auto"/>
              <w:right w:val="nil"/>
            </w:tcBorders>
            <w:vAlign w:val="center"/>
          </w:tcPr>
          <w:p w14:paraId="25AC3349" w14:textId="18875A7F" w:rsidR="00A5611E" w:rsidRPr="0054775B" w:rsidRDefault="00A5611E" w:rsidP="00CD4FE9">
            <w:pPr>
              <w:pStyle w:val="2024TABLETEXT"/>
              <w:framePr w:hSpace="0" w:wrap="auto" w:vAnchor="margin" w:yAlign="inline"/>
              <w:suppressOverlap w:val="0"/>
            </w:pPr>
          </w:p>
        </w:tc>
      </w:tr>
      <w:tr w:rsidR="00A5611E" w:rsidRPr="0054775B" w14:paraId="7AF61A5E" w14:textId="77777777" w:rsidTr="007935D7">
        <w:trPr>
          <w:gridAfter w:val="2"/>
          <w:wAfter w:w="25" w:type="pct"/>
          <w:cantSplit/>
          <w:trHeight w:val="38"/>
        </w:trPr>
        <w:tc>
          <w:tcPr>
            <w:tcW w:w="287" w:type="pct"/>
            <w:vMerge/>
            <w:tcBorders>
              <w:left w:val="nil"/>
              <w:right w:val="nil"/>
            </w:tcBorders>
            <w:vAlign w:val="center"/>
          </w:tcPr>
          <w:p w14:paraId="30C48B4F" w14:textId="77777777" w:rsidR="00A5611E" w:rsidRPr="0054775B" w:rsidRDefault="00A5611E" w:rsidP="00CD4FE9">
            <w:pPr>
              <w:pStyle w:val="2024TABLETEXT"/>
              <w:framePr w:hSpace="0" w:wrap="auto" w:vAnchor="margin" w:yAlign="inline"/>
              <w:suppressOverlap w:val="0"/>
            </w:pPr>
          </w:p>
        </w:tc>
        <w:tc>
          <w:tcPr>
            <w:tcW w:w="1095" w:type="pct"/>
            <w:tcBorders>
              <w:top w:val="single" w:sz="6" w:space="0" w:color="000000"/>
              <w:left w:val="nil"/>
              <w:bottom w:val="single" w:sz="4" w:space="0" w:color="auto"/>
              <w:right w:val="nil"/>
            </w:tcBorders>
            <w:vAlign w:val="center"/>
          </w:tcPr>
          <w:p w14:paraId="7F21171C" w14:textId="0F154EC7" w:rsidR="00A5611E" w:rsidRPr="0054775B" w:rsidRDefault="00A5611E" w:rsidP="00CD4FE9">
            <w:pPr>
              <w:pStyle w:val="2024TABLETEXT"/>
              <w:framePr w:hSpace="0" w:wrap="auto" w:vAnchor="margin" w:yAlign="inline"/>
              <w:ind w:left="935"/>
              <w:suppressOverlap w:val="0"/>
            </w:pPr>
            <w:r w:rsidRPr="0054775B">
              <w:rPr>
                <w:b/>
                <w:bCs/>
              </w:rPr>
              <w:t>Follow up:</w:t>
            </w:r>
            <w:r w:rsidRPr="0054775B">
              <w:t xml:space="preserve"> 8 weeks</w:t>
            </w:r>
          </w:p>
        </w:tc>
        <w:tc>
          <w:tcPr>
            <w:tcW w:w="433" w:type="pct"/>
            <w:vMerge/>
            <w:tcBorders>
              <w:left w:val="nil"/>
              <w:bottom w:val="single" w:sz="4" w:space="0" w:color="auto"/>
              <w:right w:val="nil"/>
            </w:tcBorders>
            <w:vAlign w:val="center"/>
          </w:tcPr>
          <w:p w14:paraId="33807CF7" w14:textId="4BD1EC5C" w:rsidR="00A5611E" w:rsidRPr="0054775B" w:rsidRDefault="00A5611E" w:rsidP="00CD4FE9">
            <w:pPr>
              <w:pStyle w:val="2024TABLETEXT"/>
              <w:framePr w:hSpace="0" w:wrap="auto" w:vAnchor="margin" w:yAlign="inline"/>
              <w:suppressOverlap w:val="0"/>
            </w:pPr>
          </w:p>
        </w:tc>
        <w:tc>
          <w:tcPr>
            <w:tcW w:w="454" w:type="pct"/>
            <w:tcBorders>
              <w:top w:val="single" w:sz="6" w:space="0" w:color="000000"/>
              <w:left w:val="nil"/>
              <w:bottom w:val="single" w:sz="6" w:space="0" w:color="000000"/>
              <w:right w:val="nil"/>
            </w:tcBorders>
            <w:vAlign w:val="center"/>
          </w:tcPr>
          <w:p w14:paraId="6F9552AC" w14:textId="05F123D7" w:rsidR="00A5611E" w:rsidRPr="001428E8" w:rsidRDefault="00A5611E" w:rsidP="00CD4FE9">
            <w:pPr>
              <w:pStyle w:val="2024TABLETEXT"/>
              <w:framePr w:hSpace="0" w:wrap="auto" w:vAnchor="margin" w:yAlign="inline"/>
              <w:suppressOverlap w:val="0"/>
            </w:pPr>
            <w:r w:rsidRPr="001428E8">
              <w:t xml:space="preserve">39.3 (70.4) </w:t>
            </w:r>
          </w:p>
        </w:tc>
        <w:tc>
          <w:tcPr>
            <w:tcW w:w="545" w:type="pct"/>
            <w:gridSpan w:val="3"/>
            <w:tcBorders>
              <w:top w:val="single" w:sz="6" w:space="0" w:color="000000"/>
              <w:left w:val="nil"/>
              <w:bottom w:val="single" w:sz="6" w:space="0" w:color="000000"/>
              <w:right w:val="nil"/>
            </w:tcBorders>
            <w:vAlign w:val="center"/>
          </w:tcPr>
          <w:p w14:paraId="49193FF6" w14:textId="36EEA82C" w:rsidR="00A5611E" w:rsidRPr="0054775B" w:rsidRDefault="00A5611E" w:rsidP="00CD4FE9">
            <w:pPr>
              <w:pStyle w:val="2024TABLETEXT"/>
              <w:framePr w:hSpace="0" w:wrap="auto" w:vAnchor="margin" w:yAlign="inline"/>
              <w:suppressOverlap w:val="0"/>
              <w:rPr>
                <w:rFonts w:eastAsia="Calibri"/>
              </w:rPr>
            </w:pPr>
            <w:r w:rsidRPr="001428E8">
              <w:t xml:space="preserve">48.7 (40.9) </w:t>
            </w:r>
          </w:p>
        </w:tc>
        <w:tc>
          <w:tcPr>
            <w:tcW w:w="587" w:type="pct"/>
            <w:gridSpan w:val="2"/>
            <w:tcBorders>
              <w:top w:val="single" w:sz="6" w:space="0" w:color="000000"/>
              <w:left w:val="nil"/>
              <w:bottom w:val="single" w:sz="6" w:space="0" w:color="000000"/>
              <w:right w:val="nil"/>
            </w:tcBorders>
            <w:shd w:val="clear" w:color="auto" w:fill="auto"/>
            <w:vAlign w:val="center"/>
          </w:tcPr>
          <w:p w14:paraId="6346E9DE" w14:textId="569C46F2" w:rsidR="00A5611E" w:rsidRPr="0054775B" w:rsidRDefault="00A5611E" w:rsidP="00CD4FE9">
            <w:pPr>
              <w:pStyle w:val="2024TABLETEXT"/>
              <w:framePr w:hSpace="0" w:wrap="auto" w:vAnchor="margin" w:yAlign="inline"/>
              <w:suppressOverlap w:val="0"/>
            </w:pPr>
            <w:r w:rsidRPr="0054775B">
              <w:rPr>
                <w:rFonts w:eastAsia="Calibri"/>
              </w:rPr>
              <w:t>MD = 9.40 (</w:t>
            </w:r>
            <w:r>
              <w:rPr>
                <w:rFonts w:eastAsia="Calibri"/>
              </w:rPr>
              <w:t>–</w:t>
            </w:r>
            <w:r w:rsidRPr="0054775B">
              <w:rPr>
                <w:rFonts w:eastAsia="Calibri"/>
              </w:rPr>
              <w:t>25.87</w:t>
            </w:r>
            <w:r w:rsidR="000071E8">
              <w:rPr>
                <w:rFonts w:eastAsia="Calibri"/>
              </w:rPr>
              <w:t xml:space="preserve"> to</w:t>
            </w:r>
            <w:r w:rsidRPr="0054775B">
              <w:rPr>
                <w:rFonts w:eastAsia="Calibri"/>
              </w:rPr>
              <w:t xml:space="preserve"> 44.67)</w:t>
            </w:r>
            <w:r>
              <w:rPr>
                <w:rFonts w:eastAsia="Calibri"/>
              </w:rPr>
              <w:t>^</w:t>
            </w:r>
          </w:p>
        </w:tc>
        <w:tc>
          <w:tcPr>
            <w:tcW w:w="450" w:type="pct"/>
            <w:gridSpan w:val="3"/>
            <w:vMerge/>
            <w:tcBorders>
              <w:left w:val="nil"/>
              <w:bottom w:val="single" w:sz="4" w:space="0" w:color="auto"/>
              <w:right w:val="nil"/>
            </w:tcBorders>
            <w:vAlign w:val="center"/>
          </w:tcPr>
          <w:p w14:paraId="00826573" w14:textId="77777777" w:rsidR="00A5611E" w:rsidRPr="0054775B" w:rsidRDefault="00A5611E" w:rsidP="00CD4FE9">
            <w:pPr>
              <w:pStyle w:val="2024TABLETEXT"/>
              <w:framePr w:hSpace="0" w:wrap="auto" w:vAnchor="margin" w:yAlign="inline"/>
              <w:suppressOverlap w:val="0"/>
              <w:jc w:val="center"/>
            </w:pPr>
          </w:p>
        </w:tc>
        <w:tc>
          <w:tcPr>
            <w:tcW w:w="383" w:type="pct"/>
            <w:vMerge/>
            <w:tcBorders>
              <w:left w:val="nil"/>
              <w:bottom w:val="single" w:sz="4" w:space="0" w:color="auto"/>
              <w:right w:val="nil"/>
            </w:tcBorders>
            <w:vAlign w:val="center"/>
          </w:tcPr>
          <w:p w14:paraId="257A9DDB" w14:textId="77777777" w:rsidR="00A5611E" w:rsidRPr="0054775B" w:rsidRDefault="00A5611E" w:rsidP="00CD4FE9">
            <w:pPr>
              <w:pStyle w:val="2024TABLETEXT"/>
              <w:framePr w:hSpace="0" w:wrap="auto" w:vAnchor="margin" w:yAlign="inline"/>
              <w:suppressOverlap w:val="0"/>
            </w:pPr>
          </w:p>
        </w:tc>
        <w:tc>
          <w:tcPr>
            <w:tcW w:w="741" w:type="pct"/>
            <w:gridSpan w:val="2"/>
            <w:vMerge/>
            <w:tcBorders>
              <w:left w:val="nil"/>
              <w:bottom w:val="single" w:sz="4" w:space="0" w:color="auto"/>
              <w:right w:val="nil"/>
            </w:tcBorders>
            <w:vAlign w:val="center"/>
          </w:tcPr>
          <w:p w14:paraId="15911C44" w14:textId="1ADBE239" w:rsidR="00A5611E" w:rsidRPr="0054775B" w:rsidRDefault="00A5611E" w:rsidP="00CD4FE9">
            <w:pPr>
              <w:pStyle w:val="2024TABLETEXT"/>
              <w:framePr w:hSpace="0" w:wrap="auto" w:vAnchor="margin" w:yAlign="inline"/>
              <w:suppressOverlap w:val="0"/>
            </w:pPr>
          </w:p>
        </w:tc>
      </w:tr>
      <w:tr w:rsidR="005119E1" w:rsidRPr="0054775B" w14:paraId="546D562A" w14:textId="77777777" w:rsidTr="007935D7">
        <w:trPr>
          <w:gridAfter w:val="2"/>
          <w:wAfter w:w="25" w:type="pct"/>
          <w:cantSplit/>
          <w:trHeight w:val="38"/>
        </w:trPr>
        <w:tc>
          <w:tcPr>
            <w:tcW w:w="287" w:type="pct"/>
            <w:vMerge/>
            <w:tcBorders>
              <w:left w:val="nil"/>
              <w:right w:val="nil"/>
            </w:tcBorders>
            <w:vAlign w:val="center"/>
          </w:tcPr>
          <w:p w14:paraId="03C9D5DD" w14:textId="77777777" w:rsidR="005119E1" w:rsidRPr="0054775B" w:rsidRDefault="005119E1" w:rsidP="00CD4FE9">
            <w:pPr>
              <w:pStyle w:val="2024TABLETEXT"/>
              <w:framePr w:hSpace="0" w:wrap="auto" w:vAnchor="margin" w:yAlign="inline"/>
              <w:suppressOverlap w:val="0"/>
            </w:pPr>
          </w:p>
        </w:tc>
        <w:tc>
          <w:tcPr>
            <w:tcW w:w="1095" w:type="pct"/>
            <w:tcBorders>
              <w:top w:val="single" w:sz="4" w:space="0" w:color="auto"/>
              <w:left w:val="nil"/>
              <w:bottom w:val="single" w:sz="4" w:space="0" w:color="auto"/>
              <w:right w:val="nil"/>
            </w:tcBorders>
            <w:vAlign w:val="center"/>
          </w:tcPr>
          <w:p w14:paraId="34DB4EAD" w14:textId="4144ABBE" w:rsidR="005119E1" w:rsidRPr="0054775B" w:rsidRDefault="005119E1" w:rsidP="00CD4FE9">
            <w:pPr>
              <w:pStyle w:val="2024TABLETEXT"/>
              <w:framePr w:hSpace="0" w:wrap="auto" w:vAnchor="margin" w:yAlign="inline"/>
              <w:ind w:left="360"/>
              <w:suppressOverlap w:val="0"/>
              <w:rPr>
                <w:b/>
                <w:bCs/>
              </w:rPr>
            </w:pPr>
            <w:r w:rsidRPr="0054775B">
              <w:rPr>
                <w:b/>
                <w:bCs/>
              </w:rPr>
              <w:t>Surface area of body affected by eczema</w:t>
            </w:r>
          </w:p>
          <w:p w14:paraId="711E2BCA" w14:textId="63874B00" w:rsidR="005119E1" w:rsidRPr="0054775B" w:rsidRDefault="005119E1" w:rsidP="00CD4FE9">
            <w:pPr>
              <w:pStyle w:val="2024TABLETEXT"/>
              <w:framePr w:hSpace="0" w:wrap="auto" w:vAnchor="margin" w:yAlign="inline"/>
              <w:ind w:left="644"/>
              <w:suppressOverlap w:val="0"/>
            </w:pPr>
            <w:r w:rsidRPr="0054775B">
              <w:rPr>
                <w:b/>
                <w:bCs/>
              </w:rPr>
              <w:t>Assessed with:</w:t>
            </w:r>
            <w:r w:rsidRPr="0054775B">
              <w:t xml:space="preserve"> Estimate based on percentage surface area of the body affected by eczema (scores across 14 separate body areas)</w:t>
            </w:r>
          </w:p>
        </w:tc>
        <w:tc>
          <w:tcPr>
            <w:tcW w:w="433" w:type="pct"/>
            <w:vMerge w:val="restart"/>
            <w:tcBorders>
              <w:top w:val="single" w:sz="4" w:space="0" w:color="auto"/>
              <w:left w:val="nil"/>
              <w:right w:val="nil"/>
            </w:tcBorders>
            <w:vAlign w:val="center"/>
          </w:tcPr>
          <w:p w14:paraId="2D82E08A" w14:textId="5D0BA8EB" w:rsidR="005119E1" w:rsidRPr="0054775B" w:rsidRDefault="005119E1" w:rsidP="00CD4FE9">
            <w:pPr>
              <w:pStyle w:val="2024TABLETEXT"/>
              <w:framePr w:hSpace="0" w:wrap="auto" w:vAnchor="margin" w:yAlign="inline"/>
              <w:suppressOverlap w:val="0"/>
            </w:pPr>
            <w:r w:rsidRPr="0054775B">
              <w:t>Bath-Hextall 2012</w:t>
            </w:r>
          </w:p>
        </w:tc>
        <w:tc>
          <w:tcPr>
            <w:tcW w:w="454" w:type="pct"/>
            <w:tcBorders>
              <w:top w:val="single" w:sz="6" w:space="0" w:color="000000"/>
              <w:left w:val="nil"/>
              <w:bottom w:val="single" w:sz="6" w:space="0" w:color="000000"/>
              <w:right w:val="nil"/>
            </w:tcBorders>
          </w:tcPr>
          <w:p w14:paraId="29C758B7" w14:textId="7C4FC8D1" w:rsidR="005119E1" w:rsidRPr="0054775B" w:rsidRDefault="005119E1" w:rsidP="00CD4FE9">
            <w:pPr>
              <w:pStyle w:val="2024TABLETEXT"/>
              <w:framePr w:hSpace="0" w:wrap="auto" w:vAnchor="margin" w:yAlign="inline"/>
              <w:suppressOverlap w:val="0"/>
            </w:pPr>
          </w:p>
        </w:tc>
        <w:tc>
          <w:tcPr>
            <w:tcW w:w="545" w:type="pct"/>
            <w:gridSpan w:val="3"/>
            <w:tcBorders>
              <w:top w:val="single" w:sz="6" w:space="0" w:color="000000"/>
              <w:left w:val="nil"/>
              <w:bottom w:val="single" w:sz="6" w:space="0" w:color="000000"/>
              <w:right w:val="nil"/>
            </w:tcBorders>
          </w:tcPr>
          <w:p w14:paraId="24B4F2C4" w14:textId="77777777" w:rsidR="005119E1" w:rsidRPr="0054775B" w:rsidRDefault="005119E1" w:rsidP="00CD4FE9">
            <w:pPr>
              <w:pStyle w:val="2024TABLETEXT"/>
              <w:framePr w:hSpace="0" w:wrap="auto" w:vAnchor="margin" w:yAlign="inline"/>
              <w:suppressOverlap w:val="0"/>
            </w:pPr>
          </w:p>
        </w:tc>
        <w:tc>
          <w:tcPr>
            <w:tcW w:w="587" w:type="pct"/>
            <w:gridSpan w:val="2"/>
            <w:tcBorders>
              <w:top w:val="single" w:sz="6" w:space="0" w:color="000000"/>
              <w:left w:val="nil"/>
              <w:bottom w:val="single" w:sz="6" w:space="0" w:color="000000"/>
              <w:right w:val="nil"/>
            </w:tcBorders>
            <w:shd w:val="clear" w:color="auto" w:fill="auto"/>
            <w:vAlign w:val="center"/>
          </w:tcPr>
          <w:p w14:paraId="10ECE73A" w14:textId="7A6C3833" w:rsidR="005119E1" w:rsidRPr="0054775B" w:rsidRDefault="005119E1" w:rsidP="00CD4FE9">
            <w:pPr>
              <w:pStyle w:val="2024TABLETEXT"/>
              <w:framePr w:hSpace="0" w:wrap="auto" w:vAnchor="margin" w:yAlign="inline"/>
              <w:suppressOverlap w:val="0"/>
            </w:pPr>
          </w:p>
        </w:tc>
        <w:tc>
          <w:tcPr>
            <w:tcW w:w="450" w:type="pct"/>
            <w:gridSpan w:val="3"/>
            <w:tcBorders>
              <w:left w:val="nil"/>
              <w:bottom w:val="single" w:sz="4" w:space="0" w:color="auto"/>
              <w:right w:val="nil"/>
            </w:tcBorders>
            <w:vAlign w:val="center"/>
          </w:tcPr>
          <w:p w14:paraId="08F888FB" w14:textId="77777777" w:rsidR="005119E1" w:rsidRPr="0054775B" w:rsidRDefault="005119E1" w:rsidP="00CD4FE9">
            <w:pPr>
              <w:pStyle w:val="2024TABLETEXT"/>
              <w:framePr w:hSpace="0" w:wrap="auto" w:vAnchor="margin" w:yAlign="inline"/>
              <w:suppressOverlap w:val="0"/>
              <w:jc w:val="center"/>
            </w:pPr>
          </w:p>
        </w:tc>
        <w:tc>
          <w:tcPr>
            <w:tcW w:w="383" w:type="pct"/>
            <w:vMerge w:val="restart"/>
            <w:tcBorders>
              <w:top w:val="single" w:sz="4" w:space="0" w:color="auto"/>
              <w:left w:val="nil"/>
              <w:right w:val="nil"/>
            </w:tcBorders>
            <w:vAlign w:val="center"/>
          </w:tcPr>
          <w:p w14:paraId="41ABB9DC" w14:textId="75A3798E" w:rsidR="005119E1" w:rsidRPr="0054775B" w:rsidRDefault="005119E1" w:rsidP="00CD4FE9">
            <w:pPr>
              <w:pStyle w:val="2024TABLETEXT"/>
              <w:framePr w:hSpace="0" w:wrap="auto" w:vAnchor="margin" w:yAlign="inline"/>
              <w:suppressOverlap w:val="0"/>
            </w:pPr>
            <w:r w:rsidRPr="008F7EFC">
              <w:rPr>
                <w:rFonts w:ascii="Cambria Math" w:hAnsi="Cambria Math" w:cs="Cambria Math"/>
                <w:sz w:val="22"/>
                <w:szCs w:val="22"/>
              </w:rPr>
              <w:t>⨁</w:t>
            </w:r>
            <w:r w:rsidRPr="0054775B">
              <w:rPr>
                <w:rFonts w:ascii="Segoe UI Symbol" w:hAnsi="Segoe UI Symbol" w:cs="Segoe UI Symbol"/>
              </w:rPr>
              <w:t>◯◯◯</w:t>
            </w:r>
            <w:r w:rsidRPr="0054775B">
              <w:br/>
              <w:t>VERY LOW</w:t>
            </w:r>
            <w:r w:rsidRPr="0054775B">
              <w:rPr>
                <w:rStyle w:val="FootnoteReference"/>
              </w:rPr>
              <w:t xml:space="preserve"> a</w:t>
            </w:r>
          </w:p>
        </w:tc>
        <w:tc>
          <w:tcPr>
            <w:tcW w:w="741" w:type="pct"/>
            <w:gridSpan w:val="2"/>
            <w:vMerge w:val="restart"/>
            <w:tcBorders>
              <w:top w:val="single" w:sz="4" w:space="0" w:color="auto"/>
              <w:left w:val="nil"/>
              <w:right w:val="nil"/>
            </w:tcBorders>
            <w:vAlign w:val="center"/>
          </w:tcPr>
          <w:p w14:paraId="7D482982" w14:textId="14D47EFD" w:rsidR="005119E1" w:rsidRPr="0054775B" w:rsidRDefault="005119E1" w:rsidP="00CD4FE9">
            <w:pPr>
              <w:pStyle w:val="2024TABLETEXT"/>
              <w:framePr w:hSpace="0" w:wrap="auto" w:vAnchor="margin" w:yAlign="inline"/>
              <w:suppressOverlap w:val="0"/>
            </w:pPr>
            <w:r w:rsidRPr="0054775B">
              <w:t xml:space="preserve">The evidence is very uncertain about the effect of zinc on </w:t>
            </w:r>
            <w:r>
              <w:t>s</w:t>
            </w:r>
            <w:r w:rsidRPr="00506944">
              <w:t>urface area of body affected by eczema</w:t>
            </w:r>
            <w:r>
              <w:t xml:space="preserve"> </w:t>
            </w:r>
            <w:r w:rsidRPr="0054775B">
              <w:t>for atopic disorders</w:t>
            </w:r>
            <w:r>
              <w:t xml:space="preserve"> (paediatric atopic eczema)</w:t>
            </w:r>
            <w:r w:rsidRPr="0054775B">
              <w:t>.</w:t>
            </w:r>
          </w:p>
        </w:tc>
      </w:tr>
      <w:tr w:rsidR="005119E1" w:rsidRPr="0054775B" w14:paraId="5DED041E" w14:textId="77777777" w:rsidTr="007935D7">
        <w:trPr>
          <w:gridAfter w:val="2"/>
          <w:wAfter w:w="25" w:type="pct"/>
          <w:cantSplit/>
          <w:trHeight w:val="38"/>
        </w:trPr>
        <w:tc>
          <w:tcPr>
            <w:tcW w:w="287" w:type="pct"/>
            <w:vMerge/>
            <w:tcBorders>
              <w:left w:val="nil"/>
              <w:bottom w:val="single" w:sz="6" w:space="0" w:color="000000"/>
              <w:right w:val="nil"/>
            </w:tcBorders>
            <w:vAlign w:val="center"/>
          </w:tcPr>
          <w:p w14:paraId="16194A5F" w14:textId="77777777" w:rsidR="005119E1" w:rsidRPr="0054775B" w:rsidRDefault="005119E1" w:rsidP="00CD4FE9">
            <w:pPr>
              <w:pStyle w:val="2024TABLETEXT"/>
              <w:framePr w:hSpace="0" w:wrap="auto" w:vAnchor="margin" w:yAlign="inline"/>
              <w:suppressOverlap w:val="0"/>
            </w:pPr>
          </w:p>
        </w:tc>
        <w:tc>
          <w:tcPr>
            <w:tcW w:w="1095" w:type="pct"/>
            <w:tcBorders>
              <w:top w:val="single" w:sz="4" w:space="0" w:color="auto"/>
              <w:left w:val="nil"/>
              <w:bottom w:val="single" w:sz="6" w:space="0" w:color="000000"/>
              <w:right w:val="nil"/>
            </w:tcBorders>
            <w:vAlign w:val="center"/>
          </w:tcPr>
          <w:p w14:paraId="6346E671" w14:textId="581FFA68" w:rsidR="005119E1" w:rsidRPr="0054775B" w:rsidRDefault="005119E1" w:rsidP="00CD4FE9">
            <w:pPr>
              <w:pStyle w:val="2024TABLETEXT"/>
              <w:framePr w:hSpace="0" w:wrap="auto" w:vAnchor="margin" w:yAlign="inline"/>
              <w:ind w:left="935"/>
              <w:suppressOverlap w:val="0"/>
            </w:pPr>
            <w:r w:rsidRPr="0054775B">
              <w:rPr>
                <w:b/>
                <w:bCs/>
              </w:rPr>
              <w:t>Follow up:</w:t>
            </w:r>
            <w:r w:rsidRPr="0054775B">
              <w:t xml:space="preserve"> 4 weeks</w:t>
            </w:r>
          </w:p>
        </w:tc>
        <w:tc>
          <w:tcPr>
            <w:tcW w:w="433" w:type="pct"/>
            <w:vMerge/>
            <w:tcBorders>
              <w:left w:val="nil"/>
              <w:right w:val="nil"/>
            </w:tcBorders>
            <w:vAlign w:val="center"/>
          </w:tcPr>
          <w:p w14:paraId="32036547" w14:textId="00F6854F" w:rsidR="005119E1" w:rsidRPr="0054775B" w:rsidRDefault="005119E1" w:rsidP="00CD4FE9">
            <w:pPr>
              <w:pStyle w:val="2024TABLETEXT"/>
              <w:framePr w:hSpace="0" w:wrap="auto" w:vAnchor="margin" w:yAlign="inline"/>
              <w:suppressOverlap w:val="0"/>
            </w:pPr>
          </w:p>
        </w:tc>
        <w:tc>
          <w:tcPr>
            <w:tcW w:w="454" w:type="pct"/>
            <w:tcBorders>
              <w:top w:val="single" w:sz="6" w:space="0" w:color="000000"/>
              <w:left w:val="nil"/>
              <w:bottom w:val="single" w:sz="6" w:space="0" w:color="000000"/>
              <w:right w:val="nil"/>
            </w:tcBorders>
            <w:vAlign w:val="center"/>
          </w:tcPr>
          <w:p w14:paraId="58410194" w14:textId="2C02B144" w:rsidR="005119E1" w:rsidRPr="001428E8" w:rsidRDefault="005119E1" w:rsidP="00CD4FE9">
            <w:pPr>
              <w:pStyle w:val="2024TABLETEXT"/>
              <w:framePr w:hSpace="0" w:wrap="auto" w:vAnchor="margin" w:yAlign="inline"/>
              <w:suppressOverlap w:val="0"/>
            </w:pPr>
            <w:r w:rsidRPr="001428E8">
              <w:t xml:space="preserve">12.5 (19.6) </w:t>
            </w:r>
          </w:p>
        </w:tc>
        <w:tc>
          <w:tcPr>
            <w:tcW w:w="545" w:type="pct"/>
            <w:gridSpan w:val="3"/>
            <w:tcBorders>
              <w:top w:val="single" w:sz="6" w:space="0" w:color="000000"/>
              <w:left w:val="nil"/>
              <w:bottom w:val="single" w:sz="6" w:space="0" w:color="000000"/>
              <w:right w:val="nil"/>
            </w:tcBorders>
            <w:vAlign w:val="center"/>
          </w:tcPr>
          <w:p w14:paraId="7515FC49" w14:textId="7CB66AE9" w:rsidR="005119E1" w:rsidRPr="001428E8" w:rsidRDefault="005119E1" w:rsidP="00CD4FE9">
            <w:pPr>
              <w:pStyle w:val="2024TABLETEXT"/>
              <w:framePr w:hSpace="0" w:wrap="auto" w:vAnchor="margin" w:yAlign="inline"/>
              <w:suppressOverlap w:val="0"/>
            </w:pPr>
            <w:r w:rsidRPr="001428E8">
              <w:t xml:space="preserve">16.7 (14) </w:t>
            </w:r>
          </w:p>
        </w:tc>
        <w:tc>
          <w:tcPr>
            <w:tcW w:w="587" w:type="pct"/>
            <w:gridSpan w:val="2"/>
            <w:tcBorders>
              <w:top w:val="single" w:sz="6" w:space="0" w:color="000000"/>
              <w:left w:val="nil"/>
              <w:bottom w:val="single" w:sz="6" w:space="0" w:color="000000"/>
              <w:right w:val="nil"/>
            </w:tcBorders>
            <w:shd w:val="clear" w:color="auto" w:fill="auto"/>
            <w:vAlign w:val="center"/>
          </w:tcPr>
          <w:p w14:paraId="475121AB" w14:textId="4F482394" w:rsidR="005119E1" w:rsidRPr="001428E8" w:rsidRDefault="005119E1" w:rsidP="00CD4FE9">
            <w:pPr>
              <w:pStyle w:val="2024TABLETEXT"/>
              <w:framePr w:hSpace="0" w:wrap="auto" w:vAnchor="margin" w:yAlign="inline"/>
              <w:suppressOverlap w:val="0"/>
            </w:pPr>
            <w:r w:rsidRPr="001428E8">
              <w:t xml:space="preserve">MD = 4.20 (–6.19 </w:t>
            </w:r>
            <w:r w:rsidR="000071E8">
              <w:t xml:space="preserve">to </w:t>
            </w:r>
            <w:r w:rsidRPr="001428E8">
              <w:t>14.59)</w:t>
            </w:r>
            <w:r w:rsidRPr="0054775B">
              <w:t>^</w:t>
            </w:r>
          </w:p>
        </w:tc>
        <w:tc>
          <w:tcPr>
            <w:tcW w:w="450" w:type="pct"/>
            <w:gridSpan w:val="3"/>
            <w:vMerge w:val="restart"/>
            <w:tcBorders>
              <w:left w:val="nil"/>
              <w:bottom w:val="single" w:sz="4" w:space="0" w:color="auto"/>
              <w:right w:val="nil"/>
            </w:tcBorders>
            <w:vAlign w:val="center"/>
          </w:tcPr>
          <w:p w14:paraId="061A401A" w14:textId="5A0485FC" w:rsidR="005119E1" w:rsidRPr="0054775B" w:rsidRDefault="005119E1" w:rsidP="00CD4FE9">
            <w:pPr>
              <w:pStyle w:val="2024TABLETEXT"/>
              <w:framePr w:hSpace="0" w:wrap="auto" w:vAnchor="margin" w:yAlign="inline"/>
              <w:suppressOverlap w:val="0"/>
              <w:jc w:val="center"/>
            </w:pPr>
            <w:r>
              <w:t>42</w:t>
            </w:r>
            <w:r w:rsidRPr="0054775B">
              <w:t xml:space="preserve"> (1)</w:t>
            </w:r>
          </w:p>
        </w:tc>
        <w:tc>
          <w:tcPr>
            <w:tcW w:w="383" w:type="pct"/>
            <w:vMerge/>
            <w:tcBorders>
              <w:left w:val="nil"/>
              <w:right w:val="nil"/>
            </w:tcBorders>
            <w:vAlign w:val="center"/>
          </w:tcPr>
          <w:p w14:paraId="3819EA4E" w14:textId="77777777" w:rsidR="005119E1" w:rsidRPr="0054775B" w:rsidRDefault="005119E1" w:rsidP="00CD4FE9">
            <w:pPr>
              <w:pStyle w:val="2024TABLETEXT"/>
              <w:framePr w:hSpace="0" w:wrap="auto" w:vAnchor="margin" w:yAlign="inline"/>
              <w:suppressOverlap w:val="0"/>
            </w:pPr>
          </w:p>
        </w:tc>
        <w:tc>
          <w:tcPr>
            <w:tcW w:w="741" w:type="pct"/>
            <w:gridSpan w:val="2"/>
            <w:vMerge/>
            <w:tcBorders>
              <w:left w:val="nil"/>
              <w:right w:val="nil"/>
            </w:tcBorders>
            <w:vAlign w:val="center"/>
          </w:tcPr>
          <w:p w14:paraId="742581AF" w14:textId="7ECFD48E" w:rsidR="005119E1" w:rsidRPr="0054775B" w:rsidRDefault="005119E1" w:rsidP="00CD4FE9">
            <w:pPr>
              <w:pStyle w:val="2024TABLETEXT"/>
              <w:framePr w:hSpace="0" w:wrap="auto" w:vAnchor="margin" w:yAlign="inline"/>
              <w:suppressOverlap w:val="0"/>
            </w:pPr>
          </w:p>
        </w:tc>
      </w:tr>
      <w:tr w:rsidR="005119E1" w:rsidRPr="0054775B" w14:paraId="77505961" w14:textId="77777777" w:rsidTr="007935D7">
        <w:trPr>
          <w:gridAfter w:val="2"/>
          <w:wAfter w:w="25" w:type="pct"/>
          <w:cantSplit/>
          <w:trHeight w:val="38"/>
        </w:trPr>
        <w:tc>
          <w:tcPr>
            <w:tcW w:w="287" w:type="pct"/>
            <w:vMerge/>
            <w:tcBorders>
              <w:left w:val="nil"/>
              <w:bottom w:val="single" w:sz="6" w:space="0" w:color="000000"/>
              <w:right w:val="nil"/>
            </w:tcBorders>
            <w:vAlign w:val="center"/>
          </w:tcPr>
          <w:p w14:paraId="14D8F6C3" w14:textId="77777777" w:rsidR="005119E1" w:rsidRPr="0054775B" w:rsidRDefault="005119E1" w:rsidP="00CD4FE9">
            <w:pPr>
              <w:pStyle w:val="2024TABLETEXT"/>
              <w:framePr w:hSpace="0" w:wrap="auto" w:vAnchor="margin" w:yAlign="inline"/>
              <w:suppressOverlap w:val="0"/>
            </w:pPr>
          </w:p>
        </w:tc>
        <w:tc>
          <w:tcPr>
            <w:tcW w:w="1095" w:type="pct"/>
            <w:tcBorders>
              <w:top w:val="single" w:sz="6" w:space="0" w:color="000000"/>
              <w:left w:val="nil"/>
              <w:bottom w:val="single" w:sz="6" w:space="0" w:color="000000"/>
              <w:right w:val="nil"/>
            </w:tcBorders>
            <w:vAlign w:val="center"/>
          </w:tcPr>
          <w:p w14:paraId="627F49F0" w14:textId="5DD63D93" w:rsidR="005119E1" w:rsidRPr="0054775B" w:rsidRDefault="005119E1" w:rsidP="00CD4FE9">
            <w:pPr>
              <w:pStyle w:val="2024TABLETEXT"/>
              <w:framePr w:hSpace="0" w:wrap="auto" w:vAnchor="margin" w:yAlign="inline"/>
              <w:ind w:left="935"/>
              <w:suppressOverlap w:val="0"/>
            </w:pPr>
            <w:r w:rsidRPr="0054775B">
              <w:rPr>
                <w:b/>
                <w:bCs/>
              </w:rPr>
              <w:t>Follow up:</w:t>
            </w:r>
            <w:r w:rsidRPr="0054775B">
              <w:t xml:space="preserve"> 8 weeks</w:t>
            </w:r>
          </w:p>
        </w:tc>
        <w:tc>
          <w:tcPr>
            <w:tcW w:w="433" w:type="pct"/>
            <w:vMerge/>
            <w:tcBorders>
              <w:left w:val="nil"/>
              <w:bottom w:val="single" w:sz="6" w:space="0" w:color="000000"/>
              <w:right w:val="nil"/>
            </w:tcBorders>
            <w:vAlign w:val="center"/>
          </w:tcPr>
          <w:p w14:paraId="484477BE" w14:textId="3D3D67CD" w:rsidR="005119E1" w:rsidRPr="0054775B" w:rsidRDefault="005119E1" w:rsidP="00CD4FE9">
            <w:pPr>
              <w:pStyle w:val="2024TABLETEXT"/>
              <w:framePr w:hSpace="0" w:wrap="auto" w:vAnchor="margin" w:yAlign="inline"/>
              <w:suppressOverlap w:val="0"/>
            </w:pPr>
          </w:p>
        </w:tc>
        <w:tc>
          <w:tcPr>
            <w:tcW w:w="454" w:type="pct"/>
            <w:tcBorders>
              <w:top w:val="single" w:sz="6" w:space="0" w:color="000000"/>
              <w:left w:val="nil"/>
              <w:bottom w:val="single" w:sz="6" w:space="0" w:color="000000"/>
              <w:right w:val="nil"/>
            </w:tcBorders>
            <w:vAlign w:val="center"/>
          </w:tcPr>
          <w:p w14:paraId="051230C0" w14:textId="64F7BE08" w:rsidR="005119E1" w:rsidRPr="001428E8" w:rsidRDefault="005119E1" w:rsidP="00CD4FE9">
            <w:pPr>
              <w:pStyle w:val="2024TABLETEXT"/>
              <w:framePr w:hSpace="0" w:wrap="auto" w:vAnchor="margin" w:yAlign="inline"/>
              <w:suppressOverlap w:val="0"/>
            </w:pPr>
            <w:r w:rsidRPr="001428E8">
              <w:t xml:space="preserve">16 (17.5) </w:t>
            </w:r>
          </w:p>
        </w:tc>
        <w:tc>
          <w:tcPr>
            <w:tcW w:w="545" w:type="pct"/>
            <w:gridSpan w:val="3"/>
            <w:tcBorders>
              <w:top w:val="single" w:sz="6" w:space="0" w:color="000000"/>
              <w:left w:val="nil"/>
              <w:bottom w:val="single" w:sz="6" w:space="0" w:color="000000"/>
              <w:right w:val="nil"/>
            </w:tcBorders>
            <w:vAlign w:val="center"/>
          </w:tcPr>
          <w:p w14:paraId="012184D0" w14:textId="7D305F0E" w:rsidR="005119E1" w:rsidRPr="001428E8" w:rsidRDefault="005119E1" w:rsidP="00CD4FE9">
            <w:pPr>
              <w:pStyle w:val="2024TABLETEXT"/>
              <w:framePr w:hSpace="0" w:wrap="auto" w:vAnchor="margin" w:yAlign="inline"/>
              <w:suppressOverlap w:val="0"/>
            </w:pPr>
            <w:r w:rsidRPr="001428E8">
              <w:t xml:space="preserve">18.9 (11.2) </w:t>
            </w:r>
          </w:p>
        </w:tc>
        <w:tc>
          <w:tcPr>
            <w:tcW w:w="587" w:type="pct"/>
            <w:gridSpan w:val="2"/>
            <w:tcBorders>
              <w:top w:val="single" w:sz="6" w:space="0" w:color="000000"/>
              <w:left w:val="nil"/>
              <w:bottom w:val="single" w:sz="6" w:space="0" w:color="000000"/>
              <w:right w:val="nil"/>
            </w:tcBorders>
            <w:shd w:val="clear" w:color="auto" w:fill="auto"/>
            <w:vAlign w:val="center"/>
          </w:tcPr>
          <w:p w14:paraId="05B2A206" w14:textId="549467FD" w:rsidR="005119E1" w:rsidRPr="0054775B" w:rsidRDefault="005119E1" w:rsidP="00CD4FE9">
            <w:pPr>
              <w:pStyle w:val="2024TABLETEXT"/>
              <w:framePr w:hSpace="0" w:wrap="auto" w:vAnchor="margin" w:yAlign="inline"/>
              <w:suppressOverlap w:val="0"/>
            </w:pPr>
            <w:r w:rsidRPr="001428E8">
              <w:t>MD = 2.90 (–6.08</w:t>
            </w:r>
            <w:r w:rsidR="000071E8">
              <w:t xml:space="preserve"> to</w:t>
            </w:r>
            <w:r w:rsidRPr="001428E8">
              <w:t xml:space="preserve"> 11.88)</w:t>
            </w:r>
            <w:r w:rsidRPr="0054775B">
              <w:t>^</w:t>
            </w:r>
          </w:p>
        </w:tc>
        <w:tc>
          <w:tcPr>
            <w:tcW w:w="450" w:type="pct"/>
            <w:gridSpan w:val="3"/>
            <w:vMerge/>
            <w:tcBorders>
              <w:left w:val="nil"/>
              <w:bottom w:val="single" w:sz="4" w:space="0" w:color="auto"/>
              <w:right w:val="nil"/>
            </w:tcBorders>
            <w:vAlign w:val="center"/>
          </w:tcPr>
          <w:p w14:paraId="6321EB35" w14:textId="77777777" w:rsidR="005119E1" w:rsidRPr="0054775B" w:rsidRDefault="005119E1" w:rsidP="00CD4FE9">
            <w:pPr>
              <w:pStyle w:val="2024TABLETEXT"/>
              <w:framePr w:hSpace="0" w:wrap="auto" w:vAnchor="margin" w:yAlign="inline"/>
              <w:suppressOverlap w:val="0"/>
            </w:pPr>
          </w:p>
        </w:tc>
        <w:tc>
          <w:tcPr>
            <w:tcW w:w="383" w:type="pct"/>
            <w:vMerge/>
            <w:tcBorders>
              <w:left w:val="nil"/>
              <w:bottom w:val="single" w:sz="6" w:space="0" w:color="000000"/>
              <w:right w:val="nil"/>
            </w:tcBorders>
            <w:vAlign w:val="center"/>
          </w:tcPr>
          <w:p w14:paraId="27492C7E" w14:textId="77777777" w:rsidR="005119E1" w:rsidRPr="0054775B" w:rsidRDefault="005119E1" w:rsidP="00CD4FE9">
            <w:pPr>
              <w:pStyle w:val="2024TABLETEXT"/>
              <w:framePr w:hSpace="0" w:wrap="auto" w:vAnchor="margin" w:yAlign="inline"/>
              <w:suppressOverlap w:val="0"/>
            </w:pPr>
          </w:p>
        </w:tc>
        <w:tc>
          <w:tcPr>
            <w:tcW w:w="741" w:type="pct"/>
            <w:gridSpan w:val="2"/>
            <w:vMerge/>
            <w:tcBorders>
              <w:left w:val="nil"/>
              <w:bottom w:val="single" w:sz="6" w:space="0" w:color="000000"/>
              <w:right w:val="nil"/>
            </w:tcBorders>
            <w:vAlign w:val="center"/>
          </w:tcPr>
          <w:p w14:paraId="31D5EF76" w14:textId="47DF7896" w:rsidR="005119E1" w:rsidRPr="0054775B" w:rsidRDefault="005119E1" w:rsidP="00CD4FE9">
            <w:pPr>
              <w:pStyle w:val="2024TABLETEXT"/>
              <w:framePr w:hSpace="0" w:wrap="auto" w:vAnchor="margin" w:yAlign="inline"/>
              <w:suppressOverlap w:val="0"/>
            </w:pPr>
          </w:p>
        </w:tc>
      </w:tr>
      <w:tr w:rsidR="005119E1" w:rsidRPr="007C03F9" w14:paraId="759CFBCB" w14:textId="77777777" w:rsidTr="007935D7">
        <w:trPr>
          <w:gridAfter w:val="2"/>
          <w:wAfter w:w="25" w:type="pct"/>
          <w:cantSplit/>
        </w:trPr>
        <w:tc>
          <w:tcPr>
            <w:tcW w:w="287" w:type="pct"/>
            <w:tcBorders>
              <w:top w:val="single" w:sz="6" w:space="0" w:color="000000"/>
              <w:left w:val="nil"/>
              <w:bottom w:val="single" w:sz="6" w:space="0" w:color="000000"/>
              <w:right w:val="nil"/>
            </w:tcBorders>
            <w:vAlign w:val="center"/>
          </w:tcPr>
          <w:p w14:paraId="1FB0A4E4" w14:textId="3E097D54" w:rsidR="005119E1" w:rsidRPr="0054775B" w:rsidRDefault="005119E1" w:rsidP="00CD4FE9">
            <w:pPr>
              <w:pStyle w:val="2024TABLETEXT"/>
              <w:framePr w:hSpace="0" w:wrap="auto" w:vAnchor="margin" w:yAlign="inline"/>
              <w:suppressOverlap w:val="0"/>
            </w:pPr>
            <w:r w:rsidRPr="0054775B">
              <w:t>8</w:t>
            </w:r>
          </w:p>
        </w:tc>
        <w:tc>
          <w:tcPr>
            <w:tcW w:w="1095" w:type="pct"/>
            <w:tcBorders>
              <w:top w:val="single" w:sz="6" w:space="0" w:color="000000"/>
              <w:left w:val="nil"/>
              <w:bottom w:val="single" w:sz="6" w:space="0" w:color="000000"/>
              <w:right w:val="nil"/>
            </w:tcBorders>
            <w:vAlign w:val="center"/>
          </w:tcPr>
          <w:p w14:paraId="56B2869C" w14:textId="71378F9B" w:rsidR="005119E1" w:rsidRPr="0054775B" w:rsidRDefault="005119E1" w:rsidP="00CD4FE9">
            <w:pPr>
              <w:pStyle w:val="2024TABLETEXT"/>
              <w:framePr w:hSpace="0" w:wrap="auto" w:vAnchor="margin" w:yAlign="inline"/>
              <w:suppressOverlap w:val="0"/>
              <w:rPr>
                <w:b/>
                <w:bCs/>
              </w:rPr>
            </w:pPr>
            <w:r w:rsidRPr="0054775B">
              <w:rPr>
                <w:b/>
                <w:bCs/>
              </w:rPr>
              <w:t>Quality of life</w:t>
            </w:r>
          </w:p>
        </w:tc>
        <w:tc>
          <w:tcPr>
            <w:tcW w:w="433" w:type="pct"/>
            <w:tcBorders>
              <w:top w:val="single" w:sz="6" w:space="0" w:color="000000"/>
              <w:left w:val="nil"/>
              <w:bottom w:val="single" w:sz="6" w:space="0" w:color="000000"/>
              <w:right w:val="nil"/>
            </w:tcBorders>
            <w:vAlign w:val="center"/>
          </w:tcPr>
          <w:p w14:paraId="19E2E8F7" w14:textId="77777777" w:rsidR="005119E1" w:rsidRPr="0054775B" w:rsidRDefault="005119E1" w:rsidP="00CD4FE9">
            <w:pPr>
              <w:pStyle w:val="2024TABLETEXT"/>
              <w:framePr w:hSpace="0" w:wrap="auto" w:vAnchor="margin" w:yAlign="inline"/>
              <w:suppressOverlap w:val="0"/>
            </w:pPr>
            <w:r w:rsidRPr="0054775B">
              <w:t>-</w:t>
            </w:r>
          </w:p>
        </w:tc>
        <w:tc>
          <w:tcPr>
            <w:tcW w:w="454" w:type="pct"/>
            <w:tcBorders>
              <w:top w:val="single" w:sz="6" w:space="0" w:color="000000"/>
              <w:left w:val="nil"/>
              <w:bottom w:val="single" w:sz="6" w:space="0" w:color="000000"/>
              <w:right w:val="nil"/>
            </w:tcBorders>
            <w:vAlign w:val="center"/>
          </w:tcPr>
          <w:p w14:paraId="55E540AA" w14:textId="3185BF85" w:rsidR="005119E1" w:rsidRPr="0054775B" w:rsidRDefault="005119E1" w:rsidP="00CD4FE9">
            <w:pPr>
              <w:pStyle w:val="2024TABLETEXT"/>
              <w:framePr w:hSpace="0" w:wrap="auto" w:vAnchor="margin" w:yAlign="inline"/>
              <w:suppressOverlap w:val="0"/>
            </w:pPr>
            <w:r w:rsidRPr="0054775B">
              <w:t>-</w:t>
            </w:r>
          </w:p>
        </w:tc>
        <w:tc>
          <w:tcPr>
            <w:tcW w:w="545" w:type="pct"/>
            <w:gridSpan w:val="3"/>
            <w:tcBorders>
              <w:top w:val="single" w:sz="6" w:space="0" w:color="000000"/>
              <w:left w:val="nil"/>
              <w:bottom w:val="single" w:sz="6" w:space="0" w:color="000000"/>
              <w:right w:val="nil"/>
            </w:tcBorders>
            <w:vAlign w:val="center"/>
          </w:tcPr>
          <w:p w14:paraId="6043B707" w14:textId="43BBAA60" w:rsidR="005119E1" w:rsidRPr="0054775B" w:rsidRDefault="005119E1" w:rsidP="00CD4FE9">
            <w:pPr>
              <w:pStyle w:val="2024TABLETEXT"/>
              <w:framePr w:hSpace="0" w:wrap="auto" w:vAnchor="margin" w:yAlign="inline"/>
              <w:suppressOverlap w:val="0"/>
            </w:pPr>
            <w:r w:rsidRPr="0054775B">
              <w:t>-</w:t>
            </w:r>
          </w:p>
        </w:tc>
        <w:tc>
          <w:tcPr>
            <w:tcW w:w="587" w:type="pct"/>
            <w:gridSpan w:val="2"/>
            <w:tcBorders>
              <w:top w:val="single" w:sz="6" w:space="0" w:color="000000"/>
              <w:left w:val="nil"/>
              <w:bottom w:val="single" w:sz="6" w:space="0" w:color="000000"/>
              <w:right w:val="nil"/>
            </w:tcBorders>
            <w:shd w:val="clear" w:color="auto" w:fill="auto"/>
            <w:vAlign w:val="center"/>
          </w:tcPr>
          <w:p w14:paraId="310FFA7D" w14:textId="31E95A8E" w:rsidR="005119E1" w:rsidRPr="0054775B" w:rsidRDefault="005119E1" w:rsidP="00CD4FE9">
            <w:pPr>
              <w:pStyle w:val="2024TABLETEXT"/>
              <w:framePr w:hSpace="0" w:wrap="auto" w:vAnchor="margin" w:yAlign="inline"/>
              <w:suppressOverlap w:val="0"/>
            </w:pPr>
            <w:r w:rsidRPr="0054775B">
              <w:t>-</w:t>
            </w:r>
          </w:p>
        </w:tc>
        <w:tc>
          <w:tcPr>
            <w:tcW w:w="421" w:type="pct"/>
            <w:gridSpan w:val="2"/>
            <w:tcBorders>
              <w:top w:val="single" w:sz="6" w:space="0" w:color="000000"/>
              <w:left w:val="nil"/>
              <w:bottom w:val="single" w:sz="6" w:space="0" w:color="000000"/>
              <w:right w:val="nil"/>
            </w:tcBorders>
            <w:vAlign w:val="center"/>
          </w:tcPr>
          <w:p w14:paraId="4D094E13" w14:textId="77777777" w:rsidR="005119E1" w:rsidRPr="0054775B" w:rsidRDefault="005119E1" w:rsidP="00CD4FE9">
            <w:pPr>
              <w:pStyle w:val="2024TABLETEXT"/>
              <w:framePr w:hSpace="0" w:wrap="auto" w:vAnchor="margin" w:yAlign="inline"/>
              <w:suppressOverlap w:val="0"/>
            </w:pPr>
            <w:r w:rsidRPr="0054775B">
              <w:t>-</w:t>
            </w:r>
          </w:p>
        </w:tc>
        <w:tc>
          <w:tcPr>
            <w:tcW w:w="412" w:type="pct"/>
            <w:gridSpan w:val="2"/>
            <w:tcBorders>
              <w:top w:val="single" w:sz="6" w:space="0" w:color="000000"/>
              <w:left w:val="nil"/>
              <w:bottom w:val="single" w:sz="6" w:space="0" w:color="000000"/>
              <w:right w:val="nil"/>
            </w:tcBorders>
            <w:vAlign w:val="center"/>
          </w:tcPr>
          <w:p w14:paraId="7904FF5F" w14:textId="77777777" w:rsidR="005119E1" w:rsidRPr="0054775B" w:rsidRDefault="005119E1" w:rsidP="00CD4FE9">
            <w:pPr>
              <w:pStyle w:val="2024TABLETEXT"/>
              <w:framePr w:hSpace="0" w:wrap="auto" w:vAnchor="margin" w:yAlign="inline"/>
              <w:suppressOverlap w:val="0"/>
            </w:pPr>
            <w:r w:rsidRPr="0054775B">
              <w:t>-</w:t>
            </w:r>
          </w:p>
        </w:tc>
        <w:tc>
          <w:tcPr>
            <w:tcW w:w="741" w:type="pct"/>
            <w:gridSpan w:val="2"/>
            <w:tcBorders>
              <w:top w:val="single" w:sz="6" w:space="0" w:color="000000"/>
              <w:left w:val="nil"/>
              <w:bottom w:val="single" w:sz="6" w:space="0" w:color="000000"/>
              <w:right w:val="nil"/>
            </w:tcBorders>
            <w:vAlign w:val="center"/>
          </w:tcPr>
          <w:p w14:paraId="4FC5E2DC" w14:textId="2983EF00" w:rsidR="005119E1" w:rsidRPr="0054775B" w:rsidRDefault="005119E1" w:rsidP="00CD4FE9">
            <w:pPr>
              <w:pStyle w:val="2024TABLETEXT"/>
              <w:framePr w:hSpace="0" w:wrap="auto" w:vAnchor="margin" w:yAlign="inline"/>
              <w:suppressOverlap w:val="0"/>
            </w:pPr>
            <w:r w:rsidRPr="0054775B">
              <w:t>No</w:t>
            </w:r>
            <w:r w:rsidRPr="0054775B" w:rsidDel="007C03F9">
              <w:t xml:space="preserve"> </w:t>
            </w:r>
            <w:r>
              <w:t>reviews</w:t>
            </w:r>
            <w:r w:rsidRPr="0054775B">
              <w:t xml:space="preserve"> found. The effect of zinc on improvement in quality </w:t>
            </w:r>
            <w:r w:rsidRPr="0054775B">
              <w:lastRenderedPageBreak/>
              <w:t>of life for atopic disorders is unknown.</w:t>
            </w:r>
          </w:p>
        </w:tc>
      </w:tr>
      <w:tr w:rsidR="005119E1" w:rsidRPr="007C03F9" w14:paraId="2FAD64E4" w14:textId="77777777" w:rsidTr="007935D7">
        <w:trPr>
          <w:gridAfter w:val="2"/>
          <w:wAfter w:w="25" w:type="pct"/>
          <w:cantSplit/>
          <w:trHeight w:val="104"/>
        </w:trPr>
        <w:tc>
          <w:tcPr>
            <w:tcW w:w="287" w:type="pct"/>
            <w:tcBorders>
              <w:top w:val="single" w:sz="6" w:space="0" w:color="000000"/>
              <w:left w:val="nil"/>
              <w:bottom w:val="single" w:sz="6" w:space="0" w:color="000000"/>
              <w:right w:val="nil"/>
            </w:tcBorders>
            <w:vAlign w:val="center"/>
          </w:tcPr>
          <w:p w14:paraId="22748DD7" w14:textId="33556E00" w:rsidR="005119E1" w:rsidRPr="0054775B" w:rsidRDefault="005119E1" w:rsidP="00CD4FE9">
            <w:pPr>
              <w:pStyle w:val="2024TABLETEXT"/>
              <w:framePr w:hSpace="0" w:wrap="auto" w:vAnchor="margin" w:yAlign="inline"/>
              <w:suppressOverlap w:val="0"/>
            </w:pPr>
            <w:r w:rsidRPr="0054775B">
              <w:lastRenderedPageBreak/>
              <w:t>8</w:t>
            </w:r>
          </w:p>
        </w:tc>
        <w:tc>
          <w:tcPr>
            <w:tcW w:w="1095" w:type="pct"/>
            <w:tcBorders>
              <w:top w:val="single" w:sz="6" w:space="0" w:color="000000"/>
              <w:left w:val="nil"/>
              <w:bottom w:val="single" w:sz="6" w:space="0" w:color="000000"/>
              <w:right w:val="nil"/>
            </w:tcBorders>
            <w:vAlign w:val="center"/>
          </w:tcPr>
          <w:p w14:paraId="6C722494" w14:textId="4F99C9D0" w:rsidR="005119E1" w:rsidRPr="0054775B" w:rsidRDefault="005119E1" w:rsidP="00CD4FE9">
            <w:pPr>
              <w:pStyle w:val="2024TABLETEXT"/>
              <w:framePr w:hSpace="0" w:wrap="auto" w:vAnchor="margin" w:yAlign="inline"/>
              <w:suppressOverlap w:val="0"/>
              <w:rPr>
                <w:b/>
                <w:bCs/>
              </w:rPr>
            </w:pPr>
            <w:r w:rsidRPr="0054775B">
              <w:rPr>
                <w:b/>
                <w:bCs/>
              </w:rPr>
              <w:t>Long-term measure of control of disease</w:t>
            </w:r>
          </w:p>
        </w:tc>
        <w:tc>
          <w:tcPr>
            <w:tcW w:w="433" w:type="pct"/>
            <w:tcBorders>
              <w:top w:val="single" w:sz="6" w:space="0" w:color="000000"/>
              <w:left w:val="nil"/>
              <w:bottom w:val="single" w:sz="6" w:space="0" w:color="000000"/>
              <w:right w:val="nil"/>
            </w:tcBorders>
            <w:vAlign w:val="center"/>
          </w:tcPr>
          <w:p w14:paraId="71F239CC" w14:textId="056E86E7" w:rsidR="005119E1" w:rsidRPr="0054775B" w:rsidRDefault="005119E1" w:rsidP="00CD4FE9">
            <w:pPr>
              <w:pStyle w:val="2024TABLETEXT"/>
              <w:framePr w:hSpace="0" w:wrap="auto" w:vAnchor="margin" w:yAlign="inline"/>
              <w:suppressOverlap w:val="0"/>
            </w:pPr>
            <w:r w:rsidRPr="0054775B">
              <w:t>-</w:t>
            </w:r>
          </w:p>
        </w:tc>
        <w:tc>
          <w:tcPr>
            <w:tcW w:w="454" w:type="pct"/>
            <w:tcBorders>
              <w:top w:val="single" w:sz="6" w:space="0" w:color="000000"/>
              <w:left w:val="nil"/>
              <w:bottom w:val="single" w:sz="6" w:space="0" w:color="000000"/>
              <w:right w:val="nil"/>
            </w:tcBorders>
            <w:vAlign w:val="center"/>
          </w:tcPr>
          <w:p w14:paraId="4C71E666" w14:textId="731114E6" w:rsidR="005119E1" w:rsidRPr="0054775B" w:rsidRDefault="005119E1" w:rsidP="00CD4FE9">
            <w:pPr>
              <w:pStyle w:val="2024TABLETEXT"/>
              <w:framePr w:hSpace="0" w:wrap="auto" w:vAnchor="margin" w:yAlign="inline"/>
              <w:suppressOverlap w:val="0"/>
            </w:pPr>
            <w:r w:rsidRPr="0054775B">
              <w:t>-</w:t>
            </w:r>
          </w:p>
        </w:tc>
        <w:tc>
          <w:tcPr>
            <w:tcW w:w="545" w:type="pct"/>
            <w:gridSpan w:val="3"/>
            <w:tcBorders>
              <w:top w:val="single" w:sz="6" w:space="0" w:color="000000"/>
              <w:left w:val="nil"/>
              <w:bottom w:val="single" w:sz="6" w:space="0" w:color="000000"/>
              <w:right w:val="nil"/>
            </w:tcBorders>
            <w:vAlign w:val="center"/>
          </w:tcPr>
          <w:p w14:paraId="0DC5ECD7" w14:textId="1183FC52" w:rsidR="005119E1" w:rsidRPr="0054775B" w:rsidRDefault="005119E1" w:rsidP="00CD4FE9">
            <w:pPr>
              <w:pStyle w:val="2024TABLETEXT"/>
              <w:framePr w:hSpace="0" w:wrap="auto" w:vAnchor="margin" w:yAlign="inline"/>
              <w:suppressOverlap w:val="0"/>
            </w:pPr>
            <w:r w:rsidRPr="0054775B">
              <w:t>-</w:t>
            </w:r>
          </w:p>
        </w:tc>
        <w:tc>
          <w:tcPr>
            <w:tcW w:w="587" w:type="pct"/>
            <w:gridSpan w:val="2"/>
            <w:tcBorders>
              <w:top w:val="single" w:sz="6" w:space="0" w:color="000000"/>
              <w:left w:val="nil"/>
              <w:bottom w:val="single" w:sz="6" w:space="0" w:color="000000"/>
              <w:right w:val="nil"/>
            </w:tcBorders>
            <w:shd w:val="clear" w:color="auto" w:fill="auto"/>
            <w:vAlign w:val="center"/>
          </w:tcPr>
          <w:p w14:paraId="74A046DC" w14:textId="3189C7E2" w:rsidR="005119E1" w:rsidRPr="0054775B" w:rsidRDefault="005119E1" w:rsidP="00CD4FE9">
            <w:pPr>
              <w:pStyle w:val="2024TABLETEXT"/>
              <w:framePr w:hSpace="0" w:wrap="auto" w:vAnchor="margin" w:yAlign="inline"/>
              <w:suppressOverlap w:val="0"/>
            </w:pPr>
            <w:r w:rsidRPr="0054775B">
              <w:t>-</w:t>
            </w:r>
          </w:p>
        </w:tc>
        <w:tc>
          <w:tcPr>
            <w:tcW w:w="421" w:type="pct"/>
            <w:gridSpan w:val="2"/>
            <w:tcBorders>
              <w:top w:val="single" w:sz="6" w:space="0" w:color="000000"/>
              <w:left w:val="nil"/>
              <w:bottom w:val="single" w:sz="6" w:space="0" w:color="000000"/>
              <w:right w:val="nil"/>
            </w:tcBorders>
            <w:vAlign w:val="center"/>
          </w:tcPr>
          <w:p w14:paraId="43CB5A96" w14:textId="798033F6" w:rsidR="005119E1" w:rsidRPr="0054775B" w:rsidRDefault="005119E1" w:rsidP="00CD4FE9">
            <w:pPr>
              <w:pStyle w:val="2024TABLETEXT"/>
              <w:framePr w:hSpace="0" w:wrap="auto" w:vAnchor="margin" w:yAlign="inline"/>
              <w:suppressOverlap w:val="0"/>
            </w:pPr>
            <w:r w:rsidRPr="0054775B">
              <w:t>-</w:t>
            </w:r>
          </w:p>
        </w:tc>
        <w:tc>
          <w:tcPr>
            <w:tcW w:w="412" w:type="pct"/>
            <w:gridSpan w:val="2"/>
            <w:tcBorders>
              <w:top w:val="single" w:sz="6" w:space="0" w:color="000000"/>
              <w:left w:val="nil"/>
              <w:bottom w:val="single" w:sz="6" w:space="0" w:color="000000"/>
              <w:right w:val="nil"/>
            </w:tcBorders>
            <w:vAlign w:val="center"/>
          </w:tcPr>
          <w:p w14:paraId="6B5EFF49" w14:textId="7A60122A" w:rsidR="005119E1" w:rsidRPr="0054775B" w:rsidRDefault="005119E1" w:rsidP="00CD4FE9">
            <w:pPr>
              <w:pStyle w:val="2024TABLETEXT"/>
              <w:framePr w:hSpace="0" w:wrap="auto" w:vAnchor="margin" w:yAlign="inline"/>
              <w:suppressOverlap w:val="0"/>
            </w:pPr>
            <w:r w:rsidRPr="0054775B">
              <w:t>-</w:t>
            </w:r>
          </w:p>
        </w:tc>
        <w:tc>
          <w:tcPr>
            <w:tcW w:w="741" w:type="pct"/>
            <w:gridSpan w:val="2"/>
            <w:tcBorders>
              <w:top w:val="single" w:sz="6" w:space="0" w:color="000000"/>
              <w:left w:val="nil"/>
              <w:bottom w:val="single" w:sz="6" w:space="0" w:color="000000"/>
              <w:right w:val="nil"/>
            </w:tcBorders>
            <w:vAlign w:val="center"/>
          </w:tcPr>
          <w:p w14:paraId="367488B5" w14:textId="36C1CA25" w:rsidR="005119E1" w:rsidRPr="0054775B" w:rsidRDefault="005119E1" w:rsidP="00CD4FE9">
            <w:pPr>
              <w:pStyle w:val="2024TABLETEXT"/>
              <w:framePr w:hSpace="0" w:wrap="auto" w:vAnchor="margin" w:yAlign="inline"/>
              <w:suppressOverlap w:val="0"/>
            </w:pPr>
            <w:r w:rsidRPr="0054775B">
              <w:t xml:space="preserve">No </w:t>
            </w:r>
            <w:r>
              <w:t>reviews</w:t>
            </w:r>
            <w:r w:rsidRPr="0054775B">
              <w:t xml:space="preserve"> found. The effect of zinc on improvement in long-term control of disease for atopic disorders is unknown.</w:t>
            </w:r>
          </w:p>
        </w:tc>
      </w:tr>
      <w:tr w:rsidR="005119E1" w:rsidRPr="007C03F9" w14:paraId="2EC11260" w14:textId="77777777" w:rsidTr="007935D7">
        <w:trPr>
          <w:gridAfter w:val="2"/>
          <w:wAfter w:w="25" w:type="pct"/>
          <w:cantSplit/>
        </w:trPr>
        <w:tc>
          <w:tcPr>
            <w:tcW w:w="287" w:type="pct"/>
            <w:vMerge w:val="restart"/>
            <w:tcBorders>
              <w:top w:val="single" w:sz="6" w:space="0" w:color="000000"/>
              <w:left w:val="nil"/>
              <w:right w:val="nil"/>
            </w:tcBorders>
            <w:vAlign w:val="center"/>
          </w:tcPr>
          <w:p w14:paraId="2A045034" w14:textId="46A83BB0" w:rsidR="005119E1" w:rsidRPr="0054775B" w:rsidRDefault="005119E1" w:rsidP="00CD4FE9">
            <w:pPr>
              <w:pStyle w:val="2024TABLETEXT"/>
              <w:framePr w:hSpace="0" w:wrap="auto" w:vAnchor="margin" w:yAlign="inline"/>
              <w:suppressOverlap w:val="0"/>
            </w:pPr>
            <w:r w:rsidRPr="0054775B">
              <w:t>7</w:t>
            </w:r>
          </w:p>
        </w:tc>
        <w:tc>
          <w:tcPr>
            <w:tcW w:w="1095" w:type="pct"/>
            <w:tcBorders>
              <w:top w:val="single" w:sz="6" w:space="0" w:color="000000"/>
              <w:left w:val="nil"/>
              <w:bottom w:val="single" w:sz="6" w:space="0" w:color="000000"/>
              <w:right w:val="nil"/>
            </w:tcBorders>
            <w:vAlign w:val="center"/>
          </w:tcPr>
          <w:p w14:paraId="7FA6BD33" w14:textId="77777777" w:rsidR="005119E1" w:rsidRPr="0054775B" w:rsidRDefault="005119E1" w:rsidP="00CD4FE9">
            <w:pPr>
              <w:pStyle w:val="2024TABLETEXT"/>
              <w:framePr w:hSpace="0" w:wrap="auto" w:vAnchor="margin" w:yAlign="inline"/>
              <w:suppressOverlap w:val="0"/>
              <w:rPr>
                <w:b/>
                <w:bCs/>
              </w:rPr>
            </w:pPr>
            <w:r w:rsidRPr="0054775B">
              <w:rPr>
                <w:b/>
                <w:bCs/>
              </w:rPr>
              <w:t>Individual changes in symptoms</w:t>
            </w:r>
          </w:p>
          <w:p w14:paraId="6380DE88" w14:textId="77777777" w:rsidR="005119E1" w:rsidRPr="0054775B" w:rsidRDefault="005119E1" w:rsidP="00CD4FE9">
            <w:pPr>
              <w:pStyle w:val="2024TABLETEXT"/>
              <w:framePr w:hSpace="0" w:wrap="auto" w:vAnchor="margin" w:yAlign="inline"/>
              <w:ind w:left="370"/>
              <w:suppressOverlap w:val="0"/>
            </w:pPr>
            <w:r w:rsidRPr="0054775B">
              <w:rPr>
                <w:b/>
                <w:bCs/>
              </w:rPr>
              <w:t>Condition:</w:t>
            </w:r>
            <w:r w:rsidRPr="0054775B">
              <w:t xml:space="preserve"> Atopic eczema (paediatric)</w:t>
            </w:r>
          </w:p>
          <w:p w14:paraId="02859869" w14:textId="61E6056F" w:rsidR="005119E1" w:rsidRPr="0054775B" w:rsidRDefault="005119E1" w:rsidP="00CD4FE9">
            <w:pPr>
              <w:pStyle w:val="2024TABLETEXT"/>
              <w:framePr w:hSpace="0" w:wrap="auto" w:vAnchor="margin" w:yAlign="inline"/>
              <w:ind w:left="370"/>
              <w:suppressOverlap w:val="0"/>
            </w:pPr>
            <w:r w:rsidRPr="0054775B">
              <w:rPr>
                <w:b/>
                <w:bCs/>
              </w:rPr>
              <w:t>Dosage:</w:t>
            </w:r>
            <w:r w:rsidRPr="0054775B">
              <w:t xml:space="preserve"> 61.8mg zinc sulphate</w:t>
            </w:r>
          </w:p>
        </w:tc>
        <w:tc>
          <w:tcPr>
            <w:tcW w:w="433" w:type="pct"/>
            <w:tcBorders>
              <w:top w:val="single" w:sz="6" w:space="0" w:color="000000"/>
              <w:left w:val="nil"/>
              <w:bottom w:val="single" w:sz="4" w:space="0" w:color="auto"/>
              <w:right w:val="nil"/>
            </w:tcBorders>
            <w:vAlign w:val="center"/>
          </w:tcPr>
          <w:p w14:paraId="5A34AC7D" w14:textId="067E091E" w:rsidR="005119E1" w:rsidRPr="0054775B" w:rsidRDefault="005119E1" w:rsidP="00CD4FE9">
            <w:pPr>
              <w:pStyle w:val="2024TABLETEXT"/>
              <w:framePr w:hSpace="0" w:wrap="auto" w:vAnchor="margin" w:yAlign="inline"/>
              <w:suppressOverlap w:val="0"/>
            </w:pPr>
          </w:p>
        </w:tc>
        <w:tc>
          <w:tcPr>
            <w:tcW w:w="454" w:type="pct"/>
            <w:tcBorders>
              <w:top w:val="single" w:sz="6" w:space="0" w:color="000000"/>
              <w:left w:val="nil"/>
              <w:bottom w:val="single" w:sz="6" w:space="0" w:color="000000"/>
              <w:right w:val="nil"/>
            </w:tcBorders>
          </w:tcPr>
          <w:p w14:paraId="14CD33A7" w14:textId="1DB28930" w:rsidR="005119E1" w:rsidRPr="0054775B" w:rsidRDefault="005119E1" w:rsidP="00CD4FE9">
            <w:pPr>
              <w:pStyle w:val="2024TABLETEXT"/>
              <w:framePr w:hSpace="0" w:wrap="auto" w:vAnchor="margin" w:yAlign="inline"/>
              <w:suppressOverlap w:val="0"/>
            </w:pPr>
          </w:p>
        </w:tc>
        <w:tc>
          <w:tcPr>
            <w:tcW w:w="545" w:type="pct"/>
            <w:gridSpan w:val="3"/>
            <w:tcBorders>
              <w:top w:val="single" w:sz="6" w:space="0" w:color="000000"/>
              <w:left w:val="nil"/>
              <w:bottom w:val="single" w:sz="6" w:space="0" w:color="000000"/>
              <w:right w:val="nil"/>
            </w:tcBorders>
          </w:tcPr>
          <w:p w14:paraId="55737E99" w14:textId="77777777" w:rsidR="005119E1" w:rsidRPr="0054775B" w:rsidRDefault="005119E1" w:rsidP="00CD4FE9">
            <w:pPr>
              <w:pStyle w:val="2024TABLETEXT"/>
              <w:framePr w:hSpace="0" w:wrap="auto" w:vAnchor="margin" w:yAlign="inline"/>
              <w:suppressOverlap w:val="0"/>
            </w:pPr>
          </w:p>
        </w:tc>
        <w:tc>
          <w:tcPr>
            <w:tcW w:w="587" w:type="pct"/>
            <w:gridSpan w:val="2"/>
            <w:tcBorders>
              <w:top w:val="single" w:sz="6" w:space="0" w:color="000000"/>
              <w:left w:val="nil"/>
              <w:bottom w:val="single" w:sz="6" w:space="0" w:color="000000"/>
              <w:right w:val="nil"/>
            </w:tcBorders>
            <w:shd w:val="clear" w:color="auto" w:fill="auto"/>
            <w:vAlign w:val="center"/>
          </w:tcPr>
          <w:p w14:paraId="31CA2808" w14:textId="390A267E" w:rsidR="005119E1" w:rsidRPr="0054775B" w:rsidRDefault="005119E1" w:rsidP="00CD4FE9">
            <w:pPr>
              <w:pStyle w:val="2024TABLETEXT"/>
              <w:framePr w:hSpace="0" w:wrap="auto" w:vAnchor="margin" w:yAlign="inline"/>
              <w:suppressOverlap w:val="0"/>
            </w:pPr>
          </w:p>
        </w:tc>
        <w:tc>
          <w:tcPr>
            <w:tcW w:w="450" w:type="pct"/>
            <w:gridSpan w:val="3"/>
            <w:tcBorders>
              <w:top w:val="single" w:sz="4" w:space="0" w:color="auto"/>
              <w:left w:val="nil"/>
              <w:bottom w:val="single" w:sz="4" w:space="0" w:color="auto"/>
              <w:right w:val="nil"/>
            </w:tcBorders>
            <w:vAlign w:val="center"/>
          </w:tcPr>
          <w:p w14:paraId="745CC722" w14:textId="1D1F62A2" w:rsidR="005119E1" w:rsidRPr="0054775B" w:rsidDel="00C15A11" w:rsidRDefault="005119E1" w:rsidP="00CD4FE9">
            <w:pPr>
              <w:pStyle w:val="2024TABLETEXT"/>
              <w:framePr w:hSpace="0" w:wrap="auto" w:vAnchor="margin" w:yAlign="inline"/>
              <w:suppressOverlap w:val="0"/>
            </w:pPr>
          </w:p>
        </w:tc>
        <w:tc>
          <w:tcPr>
            <w:tcW w:w="412" w:type="pct"/>
            <w:gridSpan w:val="2"/>
            <w:tcBorders>
              <w:top w:val="single" w:sz="6" w:space="0" w:color="000000"/>
              <w:left w:val="nil"/>
              <w:right w:val="nil"/>
            </w:tcBorders>
            <w:vAlign w:val="center"/>
          </w:tcPr>
          <w:p w14:paraId="2FD4CDA1" w14:textId="2874710A" w:rsidR="005119E1" w:rsidRPr="0054775B" w:rsidRDefault="005119E1" w:rsidP="00CD4FE9">
            <w:pPr>
              <w:pStyle w:val="2024TABLETEXT"/>
              <w:framePr w:hSpace="0" w:wrap="auto" w:vAnchor="margin" w:yAlign="inline"/>
              <w:suppressOverlap w:val="0"/>
            </w:pPr>
          </w:p>
        </w:tc>
        <w:tc>
          <w:tcPr>
            <w:tcW w:w="712" w:type="pct"/>
            <w:tcBorders>
              <w:top w:val="single" w:sz="6" w:space="0" w:color="000000"/>
              <w:left w:val="nil"/>
              <w:right w:val="nil"/>
            </w:tcBorders>
            <w:vAlign w:val="center"/>
          </w:tcPr>
          <w:p w14:paraId="0D69CBEE" w14:textId="450DEE2D" w:rsidR="005119E1" w:rsidRPr="0054775B" w:rsidRDefault="005119E1" w:rsidP="00CD4FE9">
            <w:pPr>
              <w:pStyle w:val="2024TABLETEXT"/>
              <w:framePr w:hSpace="0" w:wrap="auto" w:vAnchor="margin" w:yAlign="inline"/>
              <w:suppressOverlap w:val="0"/>
            </w:pPr>
          </w:p>
        </w:tc>
      </w:tr>
      <w:tr w:rsidR="005119E1" w:rsidRPr="007C03F9" w14:paraId="37119080" w14:textId="77777777" w:rsidTr="007935D7">
        <w:trPr>
          <w:gridAfter w:val="2"/>
          <w:wAfter w:w="25" w:type="pct"/>
          <w:cantSplit/>
        </w:trPr>
        <w:tc>
          <w:tcPr>
            <w:tcW w:w="287" w:type="pct"/>
            <w:vMerge/>
            <w:tcBorders>
              <w:top w:val="single" w:sz="6" w:space="0" w:color="000000"/>
              <w:left w:val="nil"/>
              <w:right w:val="nil"/>
            </w:tcBorders>
            <w:vAlign w:val="center"/>
          </w:tcPr>
          <w:p w14:paraId="5ED448DC" w14:textId="77777777" w:rsidR="005119E1" w:rsidRPr="0054775B" w:rsidRDefault="005119E1" w:rsidP="00CD4FE9">
            <w:pPr>
              <w:pStyle w:val="2024TABLETEXT"/>
              <w:framePr w:hSpace="0" w:wrap="auto" w:vAnchor="margin" w:yAlign="inline"/>
              <w:suppressOverlap w:val="0"/>
            </w:pPr>
          </w:p>
        </w:tc>
        <w:tc>
          <w:tcPr>
            <w:tcW w:w="1095" w:type="pct"/>
            <w:tcBorders>
              <w:top w:val="single" w:sz="6" w:space="0" w:color="000000"/>
              <w:left w:val="nil"/>
              <w:bottom w:val="single" w:sz="6" w:space="0" w:color="000000"/>
              <w:right w:val="nil"/>
            </w:tcBorders>
            <w:vAlign w:val="center"/>
          </w:tcPr>
          <w:p w14:paraId="14C07F5D" w14:textId="7F4EC346" w:rsidR="005119E1" w:rsidRPr="0054775B" w:rsidRDefault="005119E1" w:rsidP="00CD4FE9">
            <w:pPr>
              <w:pStyle w:val="2024TABLETEXT"/>
              <w:framePr w:hSpace="0" w:wrap="auto" w:vAnchor="margin" w:yAlign="inline"/>
              <w:ind w:left="360"/>
              <w:suppressOverlap w:val="0"/>
              <w:rPr>
                <w:b/>
                <w:bCs/>
              </w:rPr>
            </w:pPr>
            <w:r w:rsidRPr="0054775B">
              <w:rPr>
                <w:b/>
                <w:bCs/>
              </w:rPr>
              <w:t>Itch score</w:t>
            </w:r>
          </w:p>
          <w:p w14:paraId="10FC1317" w14:textId="2A2ADAFF" w:rsidR="005119E1" w:rsidRPr="0054775B" w:rsidRDefault="005119E1" w:rsidP="00CD4FE9">
            <w:pPr>
              <w:pStyle w:val="2024TABLETEXT"/>
              <w:framePr w:hSpace="0" w:wrap="auto" w:vAnchor="margin" w:yAlign="inline"/>
              <w:ind w:left="644"/>
              <w:suppressOverlap w:val="0"/>
            </w:pPr>
            <w:r w:rsidRPr="0054775B">
              <w:rPr>
                <w:b/>
                <w:bCs/>
              </w:rPr>
              <w:t>Assessed with:</w:t>
            </w:r>
            <w:r w:rsidRPr="0054775B">
              <w:t xml:space="preserve"> 1 to 10 scale, recorded by family</w:t>
            </w:r>
          </w:p>
        </w:tc>
        <w:tc>
          <w:tcPr>
            <w:tcW w:w="433" w:type="pct"/>
            <w:vMerge w:val="restart"/>
            <w:tcBorders>
              <w:top w:val="single" w:sz="4" w:space="0" w:color="auto"/>
              <w:left w:val="nil"/>
              <w:right w:val="nil"/>
            </w:tcBorders>
            <w:vAlign w:val="center"/>
          </w:tcPr>
          <w:p w14:paraId="317513CD" w14:textId="1CF33C48" w:rsidR="005119E1" w:rsidRPr="0054775B" w:rsidRDefault="005119E1" w:rsidP="00CD4FE9">
            <w:pPr>
              <w:pStyle w:val="2024TABLETEXT"/>
              <w:framePr w:hSpace="0" w:wrap="auto" w:vAnchor="margin" w:yAlign="inline"/>
              <w:suppressOverlap w:val="0"/>
            </w:pPr>
            <w:r w:rsidRPr="0054775B">
              <w:t>Bath-Hextall 2012</w:t>
            </w:r>
          </w:p>
        </w:tc>
        <w:tc>
          <w:tcPr>
            <w:tcW w:w="454" w:type="pct"/>
            <w:tcBorders>
              <w:top w:val="single" w:sz="6" w:space="0" w:color="000000"/>
              <w:left w:val="nil"/>
              <w:bottom w:val="single" w:sz="6" w:space="0" w:color="000000"/>
              <w:right w:val="nil"/>
            </w:tcBorders>
          </w:tcPr>
          <w:p w14:paraId="658938CE" w14:textId="06B2B803" w:rsidR="005119E1" w:rsidRPr="0054775B" w:rsidRDefault="005119E1" w:rsidP="00CD4FE9">
            <w:pPr>
              <w:pStyle w:val="2024TABLETEXT"/>
              <w:framePr w:hSpace="0" w:wrap="auto" w:vAnchor="margin" w:yAlign="inline"/>
              <w:suppressOverlap w:val="0"/>
            </w:pPr>
          </w:p>
        </w:tc>
        <w:tc>
          <w:tcPr>
            <w:tcW w:w="545" w:type="pct"/>
            <w:gridSpan w:val="3"/>
            <w:tcBorders>
              <w:top w:val="single" w:sz="6" w:space="0" w:color="000000"/>
              <w:left w:val="nil"/>
              <w:bottom w:val="single" w:sz="6" w:space="0" w:color="000000"/>
              <w:right w:val="nil"/>
            </w:tcBorders>
          </w:tcPr>
          <w:p w14:paraId="4BCA27A1" w14:textId="77777777" w:rsidR="005119E1" w:rsidRPr="0054775B" w:rsidRDefault="005119E1" w:rsidP="00CD4FE9">
            <w:pPr>
              <w:pStyle w:val="2024TABLETEXT"/>
              <w:framePr w:hSpace="0" w:wrap="auto" w:vAnchor="margin" w:yAlign="inline"/>
              <w:suppressOverlap w:val="0"/>
            </w:pPr>
          </w:p>
        </w:tc>
        <w:tc>
          <w:tcPr>
            <w:tcW w:w="587" w:type="pct"/>
            <w:gridSpan w:val="2"/>
            <w:tcBorders>
              <w:top w:val="single" w:sz="6" w:space="0" w:color="000000"/>
              <w:left w:val="nil"/>
              <w:bottom w:val="single" w:sz="6" w:space="0" w:color="000000"/>
              <w:right w:val="nil"/>
            </w:tcBorders>
            <w:shd w:val="clear" w:color="auto" w:fill="auto"/>
            <w:vAlign w:val="center"/>
          </w:tcPr>
          <w:p w14:paraId="73856D05" w14:textId="288685DD" w:rsidR="005119E1" w:rsidRPr="0054775B" w:rsidRDefault="005119E1" w:rsidP="00CD4FE9">
            <w:pPr>
              <w:pStyle w:val="2024TABLETEXT"/>
              <w:framePr w:hSpace="0" w:wrap="auto" w:vAnchor="margin" w:yAlign="inline"/>
              <w:suppressOverlap w:val="0"/>
            </w:pPr>
          </w:p>
        </w:tc>
        <w:tc>
          <w:tcPr>
            <w:tcW w:w="450" w:type="pct"/>
            <w:gridSpan w:val="3"/>
            <w:tcBorders>
              <w:top w:val="single" w:sz="4" w:space="0" w:color="auto"/>
              <w:left w:val="nil"/>
              <w:bottom w:val="single" w:sz="4" w:space="0" w:color="auto"/>
              <w:right w:val="nil"/>
            </w:tcBorders>
            <w:vAlign w:val="center"/>
          </w:tcPr>
          <w:p w14:paraId="4C0374CA" w14:textId="77777777" w:rsidR="005119E1" w:rsidRPr="0054775B" w:rsidRDefault="005119E1" w:rsidP="00CD4FE9">
            <w:pPr>
              <w:pStyle w:val="2024TABLETEXT"/>
              <w:framePr w:hSpace="0" w:wrap="auto" w:vAnchor="margin" w:yAlign="inline"/>
              <w:suppressOverlap w:val="0"/>
            </w:pPr>
          </w:p>
        </w:tc>
        <w:tc>
          <w:tcPr>
            <w:tcW w:w="412" w:type="pct"/>
            <w:gridSpan w:val="2"/>
            <w:vMerge w:val="restart"/>
            <w:tcBorders>
              <w:left w:val="nil"/>
              <w:right w:val="nil"/>
            </w:tcBorders>
            <w:vAlign w:val="center"/>
          </w:tcPr>
          <w:p w14:paraId="7299D4CD" w14:textId="77777777" w:rsidR="005119E1" w:rsidRPr="0054775B" w:rsidRDefault="005119E1" w:rsidP="00CD4FE9">
            <w:pPr>
              <w:pStyle w:val="2024TABLETEXT"/>
              <w:framePr w:hSpace="0" w:wrap="auto" w:vAnchor="margin" w:yAlign="inline"/>
              <w:suppressOverlap w:val="0"/>
            </w:pPr>
            <w:r w:rsidRPr="004A5FBB">
              <w:rPr>
                <w:rFonts w:ascii="Cambria Math" w:hAnsi="Cambria Math" w:cs="Cambria Math"/>
                <w:sz w:val="22"/>
                <w:szCs w:val="22"/>
              </w:rPr>
              <w:t>⨁</w:t>
            </w:r>
            <w:r w:rsidRPr="007C03F9">
              <w:rPr>
                <w:rFonts w:ascii="Segoe UI Symbol" w:hAnsi="Segoe UI Symbol" w:cs="Segoe UI Symbol"/>
              </w:rPr>
              <w:t>◯◯◯</w:t>
            </w:r>
            <w:r w:rsidRPr="0054775B">
              <w:br/>
              <w:t>VERY LOW</w:t>
            </w:r>
            <w:r w:rsidRPr="004A5FBB">
              <w:t xml:space="preserve"> a</w:t>
            </w:r>
          </w:p>
          <w:p w14:paraId="3BA43609" w14:textId="77777777" w:rsidR="005119E1" w:rsidRPr="0054775B" w:rsidRDefault="005119E1" w:rsidP="00CD4FE9">
            <w:pPr>
              <w:pStyle w:val="2024TABLETEXT"/>
              <w:framePr w:hSpace="0" w:wrap="auto" w:vAnchor="margin" w:yAlign="inline"/>
              <w:suppressOverlap w:val="0"/>
            </w:pPr>
          </w:p>
        </w:tc>
        <w:tc>
          <w:tcPr>
            <w:tcW w:w="712" w:type="pct"/>
            <w:vMerge w:val="restart"/>
            <w:tcBorders>
              <w:left w:val="nil"/>
              <w:right w:val="nil"/>
            </w:tcBorders>
            <w:vAlign w:val="center"/>
          </w:tcPr>
          <w:p w14:paraId="7E9BB8E8" w14:textId="61B49837" w:rsidR="005119E1" w:rsidRPr="0054775B" w:rsidRDefault="005119E1" w:rsidP="00CD4FE9">
            <w:pPr>
              <w:pStyle w:val="2024TABLETEXT"/>
              <w:framePr w:hSpace="0" w:wrap="auto" w:vAnchor="margin" w:yAlign="inline"/>
              <w:ind w:left="3" w:hanging="3"/>
              <w:suppressOverlap w:val="0"/>
            </w:pPr>
            <w:r w:rsidRPr="0054775B">
              <w:t xml:space="preserve">The evidence is very uncertain about the effect of zinc on </w:t>
            </w:r>
            <w:r>
              <w:t>itch score</w:t>
            </w:r>
            <w:r w:rsidRPr="0054775B">
              <w:t xml:space="preserve"> for atopic disorders</w:t>
            </w:r>
            <w:r>
              <w:t xml:space="preserve"> (paediatric atopic eczema)</w:t>
            </w:r>
            <w:r w:rsidRPr="0054775B">
              <w:t>.</w:t>
            </w:r>
          </w:p>
        </w:tc>
      </w:tr>
      <w:tr w:rsidR="005119E1" w:rsidRPr="007C03F9" w14:paraId="1A54E877" w14:textId="77777777" w:rsidTr="007935D7">
        <w:trPr>
          <w:gridAfter w:val="2"/>
          <w:wAfter w:w="25" w:type="pct"/>
          <w:cantSplit/>
        </w:trPr>
        <w:tc>
          <w:tcPr>
            <w:tcW w:w="287" w:type="pct"/>
            <w:vMerge/>
            <w:tcBorders>
              <w:top w:val="single" w:sz="6" w:space="0" w:color="000000"/>
              <w:left w:val="nil"/>
              <w:right w:val="nil"/>
            </w:tcBorders>
            <w:vAlign w:val="center"/>
          </w:tcPr>
          <w:p w14:paraId="20FF8E27" w14:textId="77777777" w:rsidR="005119E1" w:rsidRPr="0054775B" w:rsidRDefault="005119E1" w:rsidP="00CD4FE9">
            <w:pPr>
              <w:pStyle w:val="2024TABLETEXT"/>
              <w:framePr w:hSpace="0" w:wrap="auto" w:vAnchor="margin" w:yAlign="inline"/>
              <w:suppressOverlap w:val="0"/>
            </w:pPr>
          </w:p>
        </w:tc>
        <w:tc>
          <w:tcPr>
            <w:tcW w:w="1095" w:type="pct"/>
            <w:tcBorders>
              <w:top w:val="single" w:sz="6" w:space="0" w:color="000000"/>
              <w:left w:val="nil"/>
              <w:bottom w:val="single" w:sz="6" w:space="0" w:color="000000"/>
              <w:right w:val="nil"/>
            </w:tcBorders>
            <w:vAlign w:val="center"/>
          </w:tcPr>
          <w:p w14:paraId="06FD2518" w14:textId="141BB026" w:rsidR="005119E1" w:rsidRPr="0054775B" w:rsidRDefault="005119E1" w:rsidP="00CD4FE9">
            <w:pPr>
              <w:pStyle w:val="2024TABLETEXT"/>
              <w:framePr w:hSpace="0" w:wrap="auto" w:vAnchor="margin" w:yAlign="inline"/>
              <w:ind w:left="644"/>
              <w:suppressOverlap w:val="0"/>
            </w:pPr>
            <w:r w:rsidRPr="0054775B">
              <w:rPr>
                <w:b/>
                <w:bCs/>
              </w:rPr>
              <w:t>Follow up:</w:t>
            </w:r>
            <w:r w:rsidRPr="0054775B">
              <w:t xml:space="preserve"> 4 weeks</w:t>
            </w:r>
          </w:p>
        </w:tc>
        <w:tc>
          <w:tcPr>
            <w:tcW w:w="433" w:type="pct"/>
            <w:vMerge/>
            <w:tcBorders>
              <w:left w:val="nil"/>
              <w:right w:val="nil"/>
            </w:tcBorders>
            <w:vAlign w:val="center"/>
          </w:tcPr>
          <w:p w14:paraId="3884C2AA" w14:textId="2D549665" w:rsidR="005119E1" w:rsidRPr="0054775B" w:rsidRDefault="005119E1" w:rsidP="00CD4FE9">
            <w:pPr>
              <w:pStyle w:val="2024TABLETEXT"/>
              <w:framePr w:hSpace="0" w:wrap="auto" w:vAnchor="margin" w:yAlign="inline"/>
              <w:suppressOverlap w:val="0"/>
            </w:pPr>
          </w:p>
        </w:tc>
        <w:tc>
          <w:tcPr>
            <w:tcW w:w="454" w:type="pct"/>
            <w:tcBorders>
              <w:top w:val="single" w:sz="6" w:space="0" w:color="000000"/>
              <w:left w:val="nil"/>
              <w:bottom w:val="single" w:sz="6" w:space="0" w:color="000000"/>
              <w:right w:val="nil"/>
            </w:tcBorders>
          </w:tcPr>
          <w:p w14:paraId="7A571DF6" w14:textId="53679E63" w:rsidR="005119E1" w:rsidRPr="001428E8" w:rsidRDefault="005119E1" w:rsidP="00CD4FE9">
            <w:pPr>
              <w:pStyle w:val="2024TABLETEXT"/>
              <w:framePr w:hSpace="0" w:wrap="auto" w:vAnchor="margin" w:yAlign="inline"/>
              <w:suppressOverlap w:val="0"/>
            </w:pPr>
            <w:r>
              <w:t>NR</w:t>
            </w:r>
          </w:p>
        </w:tc>
        <w:tc>
          <w:tcPr>
            <w:tcW w:w="545" w:type="pct"/>
            <w:gridSpan w:val="3"/>
            <w:tcBorders>
              <w:top w:val="single" w:sz="6" w:space="0" w:color="000000"/>
              <w:left w:val="nil"/>
              <w:bottom w:val="single" w:sz="6" w:space="0" w:color="000000"/>
              <w:right w:val="nil"/>
            </w:tcBorders>
          </w:tcPr>
          <w:p w14:paraId="050DD3E3" w14:textId="0F73884B" w:rsidR="005119E1" w:rsidRDefault="005119E1" w:rsidP="00CD4FE9">
            <w:pPr>
              <w:pStyle w:val="2024TABLETEXT"/>
              <w:framePr w:hSpace="0" w:wrap="auto" w:vAnchor="margin" w:yAlign="inline"/>
              <w:suppressOverlap w:val="0"/>
            </w:pPr>
            <w:r>
              <w:t>NR</w:t>
            </w:r>
          </w:p>
        </w:tc>
        <w:tc>
          <w:tcPr>
            <w:tcW w:w="587" w:type="pct"/>
            <w:gridSpan w:val="2"/>
            <w:tcBorders>
              <w:top w:val="single" w:sz="6" w:space="0" w:color="000000"/>
              <w:left w:val="nil"/>
              <w:bottom w:val="single" w:sz="6" w:space="0" w:color="000000"/>
              <w:right w:val="nil"/>
            </w:tcBorders>
            <w:shd w:val="clear" w:color="auto" w:fill="auto"/>
            <w:vAlign w:val="center"/>
          </w:tcPr>
          <w:p w14:paraId="582CCF65" w14:textId="5D619E96" w:rsidR="005119E1" w:rsidRPr="0054775B" w:rsidRDefault="005119E1" w:rsidP="00CD4FE9">
            <w:pPr>
              <w:pStyle w:val="2024TABLETEXT"/>
              <w:framePr w:hSpace="0" w:wrap="auto" w:vAnchor="margin" w:yAlign="inline"/>
              <w:suppressOverlap w:val="0"/>
            </w:pPr>
            <w:r>
              <w:t>NR</w:t>
            </w:r>
          </w:p>
        </w:tc>
        <w:tc>
          <w:tcPr>
            <w:tcW w:w="450" w:type="pct"/>
            <w:gridSpan w:val="3"/>
            <w:vMerge w:val="restart"/>
            <w:tcBorders>
              <w:top w:val="single" w:sz="4" w:space="0" w:color="auto"/>
              <w:left w:val="nil"/>
              <w:right w:val="nil"/>
            </w:tcBorders>
            <w:vAlign w:val="center"/>
          </w:tcPr>
          <w:p w14:paraId="3BD97B54" w14:textId="3ADA0B78" w:rsidR="005119E1" w:rsidRPr="0054775B" w:rsidRDefault="005119E1" w:rsidP="00CD4FE9">
            <w:pPr>
              <w:pStyle w:val="2024TABLETEXT"/>
              <w:framePr w:hSpace="0" w:wrap="auto" w:vAnchor="margin" w:yAlign="inline"/>
              <w:suppressOverlap w:val="0"/>
              <w:jc w:val="center"/>
            </w:pPr>
            <w:r>
              <w:t>42</w:t>
            </w:r>
            <w:r w:rsidRPr="0054775B">
              <w:t xml:space="preserve"> (1)</w:t>
            </w:r>
          </w:p>
        </w:tc>
        <w:tc>
          <w:tcPr>
            <w:tcW w:w="412" w:type="pct"/>
            <w:gridSpan w:val="2"/>
            <w:vMerge/>
            <w:tcBorders>
              <w:left w:val="nil"/>
              <w:right w:val="nil"/>
            </w:tcBorders>
            <w:vAlign w:val="center"/>
          </w:tcPr>
          <w:p w14:paraId="215D2055" w14:textId="77777777" w:rsidR="005119E1" w:rsidRPr="0054775B" w:rsidRDefault="005119E1" w:rsidP="00CD4FE9">
            <w:pPr>
              <w:pStyle w:val="2024TABLETEXT"/>
              <w:framePr w:hSpace="0" w:wrap="auto" w:vAnchor="margin" w:yAlign="inline"/>
              <w:suppressOverlap w:val="0"/>
            </w:pPr>
          </w:p>
        </w:tc>
        <w:tc>
          <w:tcPr>
            <w:tcW w:w="712" w:type="pct"/>
            <w:vMerge/>
            <w:tcBorders>
              <w:left w:val="nil"/>
              <w:right w:val="nil"/>
            </w:tcBorders>
            <w:vAlign w:val="center"/>
          </w:tcPr>
          <w:p w14:paraId="7FEF4C74" w14:textId="43194784" w:rsidR="005119E1" w:rsidRPr="0054775B" w:rsidRDefault="005119E1" w:rsidP="00CD4FE9">
            <w:pPr>
              <w:pStyle w:val="2024TABLETEXT"/>
              <w:framePr w:hSpace="0" w:wrap="auto" w:vAnchor="margin" w:yAlign="inline"/>
              <w:ind w:left="3" w:hanging="3"/>
              <w:suppressOverlap w:val="0"/>
            </w:pPr>
          </w:p>
        </w:tc>
      </w:tr>
      <w:tr w:rsidR="005119E1" w:rsidRPr="0054775B" w14:paraId="3FF72B00" w14:textId="77777777" w:rsidTr="007935D7">
        <w:trPr>
          <w:gridAfter w:val="2"/>
          <w:wAfter w:w="25" w:type="pct"/>
          <w:cantSplit/>
        </w:trPr>
        <w:tc>
          <w:tcPr>
            <w:tcW w:w="287" w:type="pct"/>
            <w:vMerge/>
            <w:tcBorders>
              <w:left w:val="nil"/>
              <w:right w:val="nil"/>
            </w:tcBorders>
            <w:vAlign w:val="center"/>
          </w:tcPr>
          <w:p w14:paraId="43AA13CC" w14:textId="77777777" w:rsidR="005119E1" w:rsidRPr="0054775B" w:rsidRDefault="005119E1" w:rsidP="00CD4FE9">
            <w:pPr>
              <w:pStyle w:val="2024TABLETEXT"/>
              <w:framePr w:hSpace="0" w:wrap="auto" w:vAnchor="margin" w:yAlign="inline"/>
              <w:suppressOverlap w:val="0"/>
            </w:pPr>
          </w:p>
        </w:tc>
        <w:tc>
          <w:tcPr>
            <w:tcW w:w="1095" w:type="pct"/>
            <w:tcBorders>
              <w:top w:val="single" w:sz="6" w:space="0" w:color="000000"/>
              <w:left w:val="nil"/>
              <w:bottom w:val="single" w:sz="6" w:space="0" w:color="000000"/>
              <w:right w:val="nil"/>
            </w:tcBorders>
            <w:vAlign w:val="center"/>
          </w:tcPr>
          <w:p w14:paraId="6EC65F16" w14:textId="39571B76" w:rsidR="005119E1" w:rsidRPr="0054775B" w:rsidRDefault="005119E1" w:rsidP="00CD4FE9">
            <w:pPr>
              <w:pStyle w:val="2024TABLETEXT"/>
              <w:framePr w:hSpace="0" w:wrap="auto" w:vAnchor="margin" w:yAlign="inline"/>
              <w:ind w:left="644"/>
              <w:suppressOverlap w:val="0"/>
            </w:pPr>
            <w:r w:rsidRPr="0054775B">
              <w:rPr>
                <w:b/>
                <w:bCs/>
              </w:rPr>
              <w:t>Follow up:</w:t>
            </w:r>
            <w:r w:rsidRPr="0054775B">
              <w:t xml:space="preserve"> 8 weeks</w:t>
            </w:r>
          </w:p>
        </w:tc>
        <w:tc>
          <w:tcPr>
            <w:tcW w:w="433" w:type="pct"/>
            <w:vMerge/>
            <w:tcBorders>
              <w:left w:val="nil"/>
              <w:bottom w:val="single" w:sz="4" w:space="0" w:color="auto"/>
              <w:right w:val="nil"/>
            </w:tcBorders>
            <w:vAlign w:val="center"/>
          </w:tcPr>
          <w:p w14:paraId="4B3AB0FF" w14:textId="3E137AA4" w:rsidR="005119E1" w:rsidRPr="0054775B" w:rsidRDefault="005119E1" w:rsidP="00CD4FE9">
            <w:pPr>
              <w:pStyle w:val="2024TABLETEXT"/>
              <w:framePr w:hSpace="0" w:wrap="auto" w:vAnchor="margin" w:yAlign="inline"/>
              <w:suppressOverlap w:val="0"/>
            </w:pPr>
          </w:p>
        </w:tc>
        <w:tc>
          <w:tcPr>
            <w:tcW w:w="454" w:type="pct"/>
            <w:tcBorders>
              <w:top w:val="single" w:sz="6" w:space="0" w:color="000000"/>
              <w:left w:val="nil"/>
              <w:bottom w:val="single" w:sz="6" w:space="0" w:color="000000"/>
              <w:right w:val="nil"/>
            </w:tcBorders>
            <w:vAlign w:val="center"/>
          </w:tcPr>
          <w:p w14:paraId="01D7967C" w14:textId="6728BD23" w:rsidR="005119E1" w:rsidRPr="0054775B" w:rsidRDefault="005119E1" w:rsidP="00CD4FE9">
            <w:pPr>
              <w:pStyle w:val="2024TABLETEXT"/>
              <w:framePr w:hSpace="0" w:wrap="auto" w:vAnchor="margin" w:yAlign="inline"/>
              <w:suppressOverlap w:val="0"/>
            </w:pPr>
            <w:r w:rsidRPr="001428E8">
              <w:t xml:space="preserve">3.4 (1.8) </w:t>
            </w:r>
          </w:p>
        </w:tc>
        <w:tc>
          <w:tcPr>
            <w:tcW w:w="545" w:type="pct"/>
            <w:gridSpan w:val="3"/>
            <w:tcBorders>
              <w:top w:val="single" w:sz="6" w:space="0" w:color="000000"/>
              <w:left w:val="nil"/>
              <w:bottom w:val="single" w:sz="6" w:space="0" w:color="000000"/>
              <w:right w:val="nil"/>
            </w:tcBorders>
            <w:vAlign w:val="center"/>
          </w:tcPr>
          <w:p w14:paraId="07E081ED" w14:textId="5E40690E" w:rsidR="005119E1" w:rsidRPr="0054775B" w:rsidRDefault="005119E1" w:rsidP="00CD4FE9">
            <w:pPr>
              <w:pStyle w:val="2024TABLETEXT"/>
              <w:framePr w:hSpace="0" w:wrap="auto" w:vAnchor="margin" w:yAlign="inline"/>
              <w:suppressOverlap w:val="0"/>
            </w:pPr>
            <w:r w:rsidRPr="001428E8">
              <w:t xml:space="preserve">4.6 (2.1) </w:t>
            </w:r>
          </w:p>
        </w:tc>
        <w:tc>
          <w:tcPr>
            <w:tcW w:w="587" w:type="pct"/>
            <w:gridSpan w:val="2"/>
            <w:tcBorders>
              <w:top w:val="single" w:sz="6" w:space="0" w:color="000000"/>
              <w:left w:val="nil"/>
              <w:bottom w:val="single" w:sz="6" w:space="0" w:color="000000"/>
              <w:right w:val="nil"/>
            </w:tcBorders>
            <w:shd w:val="clear" w:color="auto" w:fill="auto"/>
            <w:vAlign w:val="center"/>
          </w:tcPr>
          <w:p w14:paraId="25A516F5" w14:textId="1DBA1C68" w:rsidR="005119E1" w:rsidRPr="0054775B" w:rsidRDefault="005119E1" w:rsidP="00CD4FE9">
            <w:pPr>
              <w:pStyle w:val="2024TABLETEXT"/>
              <w:framePr w:hSpace="0" w:wrap="auto" w:vAnchor="margin" w:yAlign="inline"/>
              <w:suppressOverlap w:val="0"/>
            </w:pPr>
            <w:r w:rsidRPr="0054775B">
              <w:t>MD = 1.20 (0.02 to 2.38)</w:t>
            </w:r>
            <w:r>
              <w:t>^</w:t>
            </w:r>
          </w:p>
        </w:tc>
        <w:tc>
          <w:tcPr>
            <w:tcW w:w="450" w:type="pct"/>
            <w:gridSpan w:val="3"/>
            <w:vMerge/>
            <w:tcBorders>
              <w:left w:val="nil"/>
              <w:bottom w:val="single" w:sz="4" w:space="0" w:color="auto"/>
              <w:right w:val="nil"/>
            </w:tcBorders>
            <w:vAlign w:val="center"/>
          </w:tcPr>
          <w:p w14:paraId="5820B59A" w14:textId="77777777" w:rsidR="005119E1" w:rsidRPr="0054775B" w:rsidRDefault="005119E1" w:rsidP="00CD4FE9">
            <w:pPr>
              <w:pStyle w:val="2024TABLETEXT"/>
              <w:framePr w:hSpace="0" w:wrap="auto" w:vAnchor="margin" w:yAlign="inline"/>
              <w:suppressOverlap w:val="0"/>
              <w:jc w:val="center"/>
            </w:pPr>
          </w:p>
        </w:tc>
        <w:tc>
          <w:tcPr>
            <w:tcW w:w="412" w:type="pct"/>
            <w:gridSpan w:val="2"/>
            <w:vMerge/>
            <w:tcBorders>
              <w:left w:val="nil"/>
              <w:right w:val="nil"/>
            </w:tcBorders>
            <w:vAlign w:val="center"/>
          </w:tcPr>
          <w:p w14:paraId="79E3C436" w14:textId="77777777" w:rsidR="005119E1" w:rsidRPr="0054775B" w:rsidRDefault="005119E1" w:rsidP="00CD4FE9">
            <w:pPr>
              <w:pStyle w:val="2024TABLETEXT"/>
              <w:framePr w:hSpace="0" w:wrap="auto" w:vAnchor="margin" w:yAlign="inline"/>
              <w:suppressOverlap w:val="0"/>
            </w:pPr>
          </w:p>
        </w:tc>
        <w:tc>
          <w:tcPr>
            <w:tcW w:w="712" w:type="pct"/>
            <w:vMerge/>
            <w:tcBorders>
              <w:left w:val="nil"/>
              <w:right w:val="nil"/>
            </w:tcBorders>
            <w:vAlign w:val="center"/>
          </w:tcPr>
          <w:p w14:paraId="74C18ACF" w14:textId="39D2695C" w:rsidR="005119E1" w:rsidRPr="0054775B" w:rsidRDefault="005119E1" w:rsidP="00CD4FE9">
            <w:pPr>
              <w:pStyle w:val="2024TABLETEXT"/>
              <w:framePr w:hSpace="0" w:wrap="auto" w:vAnchor="margin" w:yAlign="inline"/>
              <w:ind w:left="3" w:hanging="3"/>
              <w:suppressOverlap w:val="0"/>
            </w:pPr>
          </w:p>
        </w:tc>
      </w:tr>
      <w:tr w:rsidR="005119E1" w:rsidRPr="0054775B" w14:paraId="54AF107D" w14:textId="77777777" w:rsidTr="007935D7">
        <w:trPr>
          <w:gridAfter w:val="2"/>
          <w:wAfter w:w="25" w:type="pct"/>
          <w:cantSplit/>
        </w:trPr>
        <w:tc>
          <w:tcPr>
            <w:tcW w:w="287" w:type="pct"/>
            <w:vMerge/>
            <w:tcBorders>
              <w:left w:val="nil"/>
              <w:right w:val="nil"/>
            </w:tcBorders>
            <w:vAlign w:val="center"/>
          </w:tcPr>
          <w:p w14:paraId="3EA8E438" w14:textId="77777777" w:rsidR="005119E1" w:rsidRPr="0054775B" w:rsidRDefault="005119E1" w:rsidP="00CD4FE9">
            <w:pPr>
              <w:pStyle w:val="2024TABLETEXT"/>
              <w:framePr w:hSpace="0" w:wrap="auto" w:vAnchor="margin" w:yAlign="inline"/>
              <w:suppressOverlap w:val="0"/>
            </w:pPr>
          </w:p>
        </w:tc>
        <w:tc>
          <w:tcPr>
            <w:tcW w:w="1095" w:type="pct"/>
            <w:tcBorders>
              <w:top w:val="single" w:sz="6" w:space="0" w:color="000000"/>
              <w:left w:val="nil"/>
              <w:bottom w:val="single" w:sz="6" w:space="0" w:color="000000"/>
              <w:right w:val="nil"/>
            </w:tcBorders>
            <w:vAlign w:val="center"/>
          </w:tcPr>
          <w:p w14:paraId="050C917F" w14:textId="0876EAF6" w:rsidR="005119E1" w:rsidRPr="0054775B" w:rsidRDefault="005119E1" w:rsidP="00CD4FE9">
            <w:pPr>
              <w:pStyle w:val="2024TABLETEXT"/>
              <w:framePr w:hSpace="0" w:wrap="auto" w:vAnchor="margin" w:yAlign="inline"/>
              <w:ind w:left="360"/>
              <w:suppressOverlap w:val="0"/>
              <w:rPr>
                <w:b/>
                <w:bCs/>
              </w:rPr>
            </w:pPr>
            <w:r w:rsidRPr="0054775B">
              <w:rPr>
                <w:b/>
                <w:bCs/>
              </w:rPr>
              <w:t>Erythema (redness)</w:t>
            </w:r>
          </w:p>
          <w:p w14:paraId="70480F68" w14:textId="5D3B819B" w:rsidR="005119E1" w:rsidRPr="0054775B" w:rsidRDefault="005119E1" w:rsidP="00CD4FE9">
            <w:pPr>
              <w:pStyle w:val="2024TABLETEXT"/>
              <w:framePr w:hSpace="0" w:wrap="auto" w:vAnchor="margin" w:yAlign="inline"/>
              <w:ind w:left="644"/>
              <w:suppressOverlap w:val="0"/>
            </w:pPr>
            <w:r w:rsidRPr="0054775B">
              <w:rPr>
                <w:b/>
                <w:bCs/>
              </w:rPr>
              <w:t>Assessed with:</w:t>
            </w:r>
            <w:r w:rsidRPr="0054775B">
              <w:t xml:space="preserve"> </w:t>
            </w:r>
            <w:r>
              <w:t>D</w:t>
            </w:r>
            <w:r w:rsidRPr="0054775B">
              <w:t>egree of erythema on an arbitrary scale from 1 to 5</w:t>
            </w:r>
          </w:p>
        </w:tc>
        <w:tc>
          <w:tcPr>
            <w:tcW w:w="433" w:type="pct"/>
            <w:vMerge w:val="restart"/>
            <w:tcBorders>
              <w:top w:val="single" w:sz="4" w:space="0" w:color="auto"/>
              <w:left w:val="nil"/>
              <w:right w:val="nil"/>
            </w:tcBorders>
            <w:vAlign w:val="center"/>
          </w:tcPr>
          <w:p w14:paraId="17840B89" w14:textId="20EDD567" w:rsidR="005119E1" w:rsidRPr="0054775B" w:rsidRDefault="005119E1" w:rsidP="00CD4FE9">
            <w:pPr>
              <w:pStyle w:val="2024TABLETEXT"/>
              <w:framePr w:hSpace="0" w:wrap="auto" w:vAnchor="margin" w:yAlign="inline"/>
              <w:suppressOverlap w:val="0"/>
            </w:pPr>
            <w:r w:rsidRPr="0054775B">
              <w:t>Bath-Hextall 2012</w:t>
            </w:r>
          </w:p>
        </w:tc>
        <w:tc>
          <w:tcPr>
            <w:tcW w:w="454" w:type="pct"/>
            <w:tcBorders>
              <w:top w:val="single" w:sz="6" w:space="0" w:color="000000"/>
              <w:left w:val="nil"/>
              <w:bottom w:val="single" w:sz="6" w:space="0" w:color="000000"/>
              <w:right w:val="nil"/>
            </w:tcBorders>
          </w:tcPr>
          <w:p w14:paraId="486783AA" w14:textId="387CEADC" w:rsidR="005119E1" w:rsidRPr="0054775B" w:rsidRDefault="005119E1" w:rsidP="00CD4FE9">
            <w:pPr>
              <w:pStyle w:val="2024TABLETEXT"/>
              <w:framePr w:hSpace="0" w:wrap="auto" w:vAnchor="margin" w:yAlign="inline"/>
              <w:suppressOverlap w:val="0"/>
              <w:rPr>
                <w:rFonts w:eastAsia="Calibri"/>
              </w:rPr>
            </w:pPr>
          </w:p>
        </w:tc>
        <w:tc>
          <w:tcPr>
            <w:tcW w:w="545" w:type="pct"/>
            <w:gridSpan w:val="3"/>
            <w:tcBorders>
              <w:top w:val="single" w:sz="6" w:space="0" w:color="000000"/>
              <w:left w:val="nil"/>
              <w:bottom w:val="single" w:sz="6" w:space="0" w:color="000000"/>
              <w:right w:val="nil"/>
            </w:tcBorders>
          </w:tcPr>
          <w:p w14:paraId="2BB3F331" w14:textId="77777777" w:rsidR="005119E1" w:rsidRPr="0054775B" w:rsidRDefault="005119E1" w:rsidP="00CD4FE9">
            <w:pPr>
              <w:pStyle w:val="2024TABLETEXT"/>
              <w:framePr w:hSpace="0" w:wrap="auto" w:vAnchor="margin" w:yAlign="inline"/>
              <w:suppressOverlap w:val="0"/>
              <w:rPr>
                <w:rFonts w:eastAsia="Calibri"/>
              </w:rPr>
            </w:pPr>
          </w:p>
        </w:tc>
        <w:tc>
          <w:tcPr>
            <w:tcW w:w="587" w:type="pct"/>
            <w:gridSpan w:val="2"/>
            <w:tcBorders>
              <w:top w:val="single" w:sz="6" w:space="0" w:color="000000"/>
              <w:left w:val="nil"/>
              <w:bottom w:val="single" w:sz="6" w:space="0" w:color="000000"/>
              <w:right w:val="nil"/>
            </w:tcBorders>
            <w:shd w:val="clear" w:color="auto" w:fill="auto"/>
            <w:vAlign w:val="center"/>
          </w:tcPr>
          <w:p w14:paraId="3FBB38E6" w14:textId="02630498" w:rsidR="005119E1" w:rsidRPr="0054775B" w:rsidRDefault="005119E1" w:rsidP="00CD4FE9">
            <w:pPr>
              <w:pStyle w:val="2024TABLETEXT"/>
              <w:framePr w:hSpace="0" w:wrap="auto" w:vAnchor="margin" w:yAlign="inline"/>
              <w:suppressOverlap w:val="0"/>
              <w:rPr>
                <w:rFonts w:eastAsia="Calibri"/>
              </w:rPr>
            </w:pPr>
          </w:p>
        </w:tc>
        <w:tc>
          <w:tcPr>
            <w:tcW w:w="450" w:type="pct"/>
            <w:gridSpan w:val="3"/>
            <w:tcBorders>
              <w:top w:val="single" w:sz="4" w:space="0" w:color="auto"/>
              <w:left w:val="nil"/>
              <w:bottom w:val="single" w:sz="4" w:space="0" w:color="auto"/>
              <w:right w:val="nil"/>
            </w:tcBorders>
            <w:vAlign w:val="center"/>
          </w:tcPr>
          <w:p w14:paraId="206D2933" w14:textId="77777777" w:rsidR="005119E1" w:rsidRPr="0054775B" w:rsidRDefault="005119E1" w:rsidP="00CD4FE9">
            <w:pPr>
              <w:pStyle w:val="2024TABLETEXT"/>
              <w:framePr w:hSpace="0" w:wrap="auto" w:vAnchor="margin" w:yAlign="inline"/>
              <w:suppressOverlap w:val="0"/>
              <w:jc w:val="center"/>
            </w:pPr>
          </w:p>
        </w:tc>
        <w:tc>
          <w:tcPr>
            <w:tcW w:w="412" w:type="pct"/>
            <w:gridSpan w:val="2"/>
            <w:vMerge w:val="restart"/>
            <w:tcBorders>
              <w:left w:val="nil"/>
              <w:right w:val="nil"/>
            </w:tcBorders>
            <w:vAlign w:val="center"/>
          </w:tcPr>
          <w:p w14:paraId="3DA71C84" w14:textId="77777777" w:rsidR="005119E1" w:rsidRPr="0054775B" w:rsidRDefault="005119E1" w:rsidP="00CD4FE9">
            <w:pPr>
              <w:pStyle w:val="2024TABLETEXT"/>
              <w:framePr w:hSpace="0" w:wrap="auto" w:vAnchor="margin" w:yAlign="inline"/>
              <w:suppressOverlap w:val="0"/>
            </w:pPr>
            <w:r w:rsidRPr="004A5FBB">
              <w:rPr>
                <w:rFonts w:ascii="Cambria Math" w:hAnsi="Cambria Math" w:cs="Cambria Math"/>
                <w:sz w:val="22"/>
                <w:szCs w:val="22"/>
              </w:rPr>
              <w:t>⨁</w:t>
            </w:r>
            <w:r w:rsidRPr="007C03F9">
              <w:rPr>
                <w:rFonts w:ascii="Segoe UI Symbol" w:hAnsi="Segoe UI Symbol" w:cs="Segoe UI Symbol"/>
              </w:rPr>
              <w:t>◯◯◯</w:t>
            </w:r>
            <w:r w:rsidRPr="0054775B">
              <w:br/>
              <w:t>VERY LOW</w:t>
            </w:r>
            <w:r w:rsidRPr="004A5FBB">
              <w:t xml:space="preserve"> a</w:t>
            </w:r>
          </w:p>
          <w:p w14:paraId="16D25668" w14:textId="77777777" w:rsidR="005119E1" w:rsidRPr="0054775B" w:rsidRDefault="005119E1" w:rsidP="00CD4FE9">
            <w:pPr>
              <w:pStyle w:val="2024TABLETEXT"/>
              <w:framePr w:hSpace="0" w:wrap="auto" w:vAnchor="margin" w:yAlign="inline"/>
              <w:suppressOverlap w:val="0"/>
            </w:pPr>
          </w:p>
        </w:tc>
        <w:tc>
          <w:tcPr>
            <w:tcW w:w="712" w:type="pct"/>
            <w:vMerge w:val="restart"/>
            <w:tcBorders>
              <w:left w:val="nil"/>
              <w:right w:val="nil"/>
            </w:tcBorders>
            <w:vAlign w:val="center"/>
          </w:tcPr>
          <w:p w14:paraId="14E5F32F" w14:textId="2EA4F56A" w:rsidR="005119E1" w:rsidRPr="0054775B" w:rsidRDefault="005119E1" w:rsidP="00CD4FE9">
            <w:pPr>
              <w:pStyle w:val="2024TABLETEXT"/>
              <w:framePr w:hSpace="0" w:wrap="auto" w:vAnchor="margin" w:yAlign="inline"/>
              <w:ind w:left="3" w:hanging="3"/>
              <w:suppressOverlap w:val="0"/>
            </w:pPr>
            <w:r w:rsidRPr="0054775B">
              <w:t xml:space="preserve">The evidence is very uncertain about the effect of zinc on </w:t>
            </w:r>
            <w:r>
              <w:t>erythema (redness)</w:t>
            </w:r>
            <w:r w:rsidRPr="0054775B">
              <w:t xml:space="preserve"> for atopic disorders</w:t>
            </w:r>
            <w:r>
              <w:t xml:space="preserve"> (paediatric atopic eczema)</w:t>
            </w:r>
            <w:r w:rsidRPr="0054775B">
              <w:t>.</w:t>
            </w:r>
          </w:p>
        </w:tc>
      </w:tr>
      <w:tr w:rsidR="005119E1" w:rsidRPr="0054775B" w14:paraId="798CC24C" w14:textId="77777777" w:rsidTr="007935D7">
        <w:trPr>
          <w:gridAfter w:val="2"/>
          <w:wAfter w:w="25" w:type="pct"/>
          <w:cantSplit/>
        </w:trPr>
        <w:tc>
          <w:tcPr>
            <w:tcW w:w="287" w:type="pct"/>
            <w:vMerge/>
            <w:tcBorders>
              <w:left w:val="nil"/>
              <w:right w:val="nil"/>
            </w:tcBorders>
            <w:vAlign w:val="center"/>
          </w:tcPr>
          <w:p w14:paraId="3A03376C" w14:textId="77777777" w:rsidR="005119E1" w:rsidRPr="0054775B" w:rsidRDefault="005119E1" w:rsidP="00CD4FE9">
            <w:pPr>
              <w:pStyle w:val="2024TABLETEXT"/>
              <w:framePr w:hSpace="0" w:wrap="auto" w:vAnchor="margin" w:yAlign="inline"/>
              <w:suppressOverlap w:val="0"/>
            </w:pPr>
          </w:p>
        </w:tc>
        <w:tc>
          <w:tcPr>
            <w:tcW w:w="1095" w:type="pct"/>
            <w:tcBorders>
              <w:top w:val="single" w:sz="6" w:space="0" w:color="000000"/>
              <w:left w:val="nil"/>
              <w:bottom w:val="single" w:sz="6" w:space="0" w:color="000000"/>
              <w:right w:val="nil"/>
            </w:tcBorders>
            <w:vAlign w:val="center"/>
          </w:tcPr>
          <w:p w14:paraId="2871F697" w14:textId="185820B6" w:rsidR="005119E1" w:rsidRPr="0054775B" w:rsidRDefault="005119E1" w:rsidP="00CD4FE9">
            <w:pPr>
              <w:pStyle w:val="2024TABLETEXT"/>
              <w:framePr w:hSpace="0" w:wrap="auto" w:vAnchor="margin" w:yAlign="inline"/>
              <w:ind w:left="644"/>
              <w:suppressOverlap w:val="0"/>
            </w:pPr>
            <w:r w:rsidRPr="0054775B">
              <w:rPr>
                <w:b/>
                <w:bCs/>
              </w:rPr>
              <w:t>Follow up:</w:t>
            </w:r>
            <w:r w:rsidRPr="0054775B">
              <w:t xml:space="preserve"> 4 weeks</w:t>
            </w:r>
          </w:p>
        </w:tc>
        <w:tc>
          <w:tcPr>
            <w:tcW w:w="433" w:type="pct"/>
            <w:vMerge/>
            <w:tcBorders>
              <w:left w:val="nil"/>
              <w:right w:val="nil"/>
            </w:tcBorders>
            <w:vAlign w:val="center"/>
          </w:tcPr>
          <w:p w14:paraId="370DB5DB" w14:textId="77528182" w:rsidR="005119E1" w:rsidRPr="0054775B" w:rsidRDefault="005119E1" w:rsidP="00CD4FE9">
            <w:pPr>
              <w:pStyle w:val="2024TABLETEXT"/>
              <w:framePr w:hSpace="0" w:wrap="auto" w:vAnchor="margin" w:yAlign="inline"/>
              <w:suppressOverlap w:val="0"/>
            </w:pPr>
          </w:p>
        </w:tc>
        <w:tc>
          <w:tcPr>
            <w:tcW w:w="454" w:type="pct"/>
            <w:tcBorders>
              <w:top w:val="single" w:sz="6" w:space="0" w:color="000000"/>
              <w:left w:val="nil"/>
              <w:bottom w:val="single" w:sz="6" w:space="0" w:color="000000"/>
              <w:right w:val="nil"/>
            </w:tcBorders>
            <w:vAlign w:val="center"/>
          </w:tcPr>
          <w:p w14:paraId="7BBE9F21" w14:textId="46444DA8" w:rsidR="005119E1" w:rsidRPr="0054775B" w:rsidRDefault="005119E1" w:rsidP="00CD4FE9">
            <w:pPr>
              <w:pStyle w:val="2024TABLETEXT"/>
              <w:framePr w:hSpace="0" w:wrap="auto" w:vAnchor="margin" w:yAlign="inline"/>
              <w:suppressOverlap w:val="0"/>
            </w:pPr>
            <w:r w:rsidRPr="001428E8">
              <w:t xml:space="preserve">2.2 (1) </w:t>
            </w:r>
          </w:p>
        </w:tc>
        <w:tc>
          <w:tcPr>
            <w:tcW w:w="545" w:type="pct"/>
            <w:gridSpan w:val="3"/>
            <w:tcBorders>
              <w:top w:val="single" w:sz="6" w:space="0" w:color="000000"/>
              <w:left w:val="nil"/>
              <w:bottom w:val="single" w:sz="6" w:space="0" w:color="000000"/>
              <w:right w:val="nil"/>
            </w:tcBorders>
            <w:vAlign w:val="center"/>
          </w:tcPr>
          <w:p w14:paraId="5EA74297" w14:textId="680B26AF" w:rsidR="005119E1" w:rsidRPr="0054775B" w:rsidRDefault="005119E1" w:rsidP="00CD4FE9">
            <w:pPr>
              <w:pStyle w:val="2024TABLETEXT"/>
              <w:framePr w:hSpace="0" w:wrap="auto" w:vAnchor="margin" w:yAlign="inline"/>
              <w:suppressOverlap w:val="0"/>
            </w:pPr>
            <w:r w:rsidRPr="001428E8">
              <w:t xml:space="preserve">2.2 (0.7) </w:t>
            </w:r>
          </w:p>
        </w:tc>
        <w:tc>
          <w:tcPr>
            <w:tcW w:w="587" w:type="pct"/>
            <w:gridSpan w:val="2"/>
            <w:tcBorders>
              <w:top w:val="single" w:sz="6" w:space="0" w:color="000000"/>
              <w:left w:val="nil"/>
              <w:bottom w:val="single" w:sz="6" w:space="0" w:color="000000"/>
              <w:right w:val="nil"/>
            </w:tcBorders>
            <w:shd w:val="clear" w:color="auto" w:fill="auto"/>
            <w:vAlign w:val="center"/>
          </w:tcPr>
          <w:p w14:paraId="24065279" w14:textId="40160C79" w:rsidR="005119E1" w:rsidRPr="0054775B" w:rsidRDefault="005119E1" w:rsidP="00CD4FE9">
            <w:pPr>
              <w:pStyle w:val="2024TABLETEXT"/>
              <w:framePr w:hSpace="0" w:wrap="auto" w:vAnchor="margin" w:yAlign="inline"/>
              <w:suppressOverlap w:val="0"/>
            </w:pPr>
            <w:r w:rsidRPr="0054775B">
              <w:t>MD = 0.00 (-0.53</w:t>
            </w:r>
            <w:r w:rsidR="000071E8">
              <w:t xml:space="preserve"> to</w:t>
            </w:r>
            <w:r w:rsidRPr="0054775B">
              <w:t xml:space="preserve"> 0.53)</w:t>
            </w:r>
            <w:r>
              <w:t>^</w:t>
            </w:r>
          </w:p>
        </w:tc>
        <w:tc>
          <w:tcPr>
            <w:tcW w:w="450" w:type="pct"/>
            <w:gridSpan w:val="3"/>
            <w:vMerge w:val="restart"/>
            <w:tcBorders>
              <w:top w:val="single" w:sz="4" w:space="0" w:color="auto"/>
              <w:left w:val="nil"/>
              <w:right w:val="nil"/>
            </w:tcBorders>
            <w:vAlign w:val="center"/>
          </w:tcPr>
          <w:p w14:paraId="22E35CC3" w14:textId="5ECB610B" w:rsidR="005119E1" w:rsidRPr="0054775B" w:rsidRDefault="005119E1" w:rsidP="00CD4FE9">
            <w:pPr>
              <w:pStyle w:val="2024TABLETEXT"/>
              <w:framePr w:hSpace="0" w:wrap="auto" w:vAnchor="margin" w:yAlign="inline"/>
              <w:suppressOverlap w:val="0"/>
              <w:jc w:val="center"/>
            </w:pPr>
            <w:r>
              <w:t>42</w:t>
            </w:r>
            <w:r w:rsidRPr="0054775B">
              <w:t xml:space="preserve"> (1)</w:t>
            </w:r>
          </w:p>
        </w:tc>
        <w:tc>
          <w:tcPr>
            <w:tcW w:w="412" w:type="pct"/>
            <w:gridSpan w:val="2"/>
            <w:vMerge/>
            <w:tcBorders>
              <w:left w:val="nil"/>
              <w:right w:val="nil"/>
            </w:tcBorders>
            <w:vAlign w:val="center"/>
          </w:tcPr>
          <w:p w14:paraId="076A6668" w14:textId="77777777" w:rsidR="005119E1" w:rsidRPr="0054775B" w:rsidRDefault="005119E1" w:rsidP="00CD4FE9">
            <w:pPr>
              <w:pStyle w:val="2024TABLETEXT"/>
              <w:framePr w:hSpace="0" w:wrap="auto" w:vAnchor="margin" w:yAlign="inline"/>
              <w:suppressOverlap w:val="0"/>
            </w:pPr>
          </w:p>
        </w:tc>
        <w:tc>
          <w:tcPr>
            <w:tcW w:w="712" w:type="pct"/>
            <w:vMerge/>
            <w:tcBorders>
              <w:left w:val="nil"/>
              <w:right w:val="nil"/>
            </w:tcBorders>
            <w:vAlign w:val="center"/>
          </w:tcPr>
          <w:p w14:paraId="39EAA370" w14:textId="3C83AF28" w:rsidR="005119E1" w:rsidRPr="0054775B" w:rsidRDefault="005119E1" w:rsidP="00CD4FE9">
            <w:pPr>
              <w:pStyle w:val="2024TABLETEXT"/>
              <w:framePr w:hSpace="0" w:wrap="auto" w:vAnchor="margin" w:yAlign="inline"/>
              <w:suppressOverlap w:val="0"/>
            </w:pPr>
          </w:p>
        </w:tc>
      </w:tr>
      <w:tr w:rsidR="005119E1" w:rsidRPr="0054775B" w14:paraId="6BF111D5" w14:textId="77777777" w:rsidTr="007935D7">
        <w:trPr>
          <w:gridAfter w:val="2"/>
          <w:wAfter w:w="25" w:type="pct"/>
          <w:cantSplit/>
        </w:trPr>
        <w:tc>
          <w:tcPr>
            <w:tcW w:w="287" w:type="pct"/>
            <w:vMerge/>
            <w:tcBorders>
              <w:left w:val="nil"/>
              <w:right w:val="nil"/>
            </w:tcBorders>
            <w:vAlign w:val="center"/>
          </w:tcPr>
          <w:p w14:paraId="2F9A3500" w14:textId="77777777" w:rsidR="005119E1" w:rsidRPr="0054775B" w:rsidRDefault="005119E1" w:rsidP="00CD4FE9">
            <w:pPr>
              <w:pStyle w:val="2024TABLETEXT"/>
              <w:framePr w:hSpace="0" w:wrap="auto" w:vAnchor="margin" w:yAlign="inline"/>
              <w:suppressOverlap w:val="0"/>
            </w:pPr>
          </w:p>
        </w:tc>
        <w:tc>
          <w:tcPr>
            <w:tcW w:w="1095" w:type="pct"/>
            <w:tcBorders>
              <w:top w:val="single" w:sz="6" w:space="0" w:color="000000"/>
              <w:left w:val="nil"/>
              <w:bottom w:val="single" w:sz="6" w:space="0" w:color="000000"/>
              <w:right w:val="nil"/>
            </w:tcBorders>
            <w:vAlign w:val="center"/>
          </w:tcPr>
          <w:p w14:paraId="49F01837" w14:textId="745EEEAA" w:rsidR="005119E1" w:rsidRPr="0054775B" w:rsidRDefault="005119E1" w:rsidP="00CD4FE9">
            <w:pPr>
              <w:pStyle w:val="2024TABLETEXT"/>
              <w:framePr w:hSpace="0" w:wrap="auto" w:vAnchor="margin" w:yAlign="inline"/>
              <w:ind w:left="644"/>
              <w:suppressOverlap w:val="0"/>
            </w:pPr>
            <w:r w:rsidRPr="0054775B">
              <w:rPr>
                <w:b/>
                <w:bCs/>
              </w:rPr>
              <w:t>Follow up:</w:t>
            </w:r>
            <w:r w:rsidRPr="0054775B">
              <w:t xml:space="preserve"> 8 weeks</w:t>
            </w:r>
          </w:p>
        </w:tc>
        <w:tc>
          <w:tcPr>
            <w:tcW w:w="433" w:type="pct"/>
            <w:vMerge/>
            <w:tcBorders>
              <w:left w:val="nil"/>
              <w:bottom w:val="single" w:sz="4" w:space="0" w:color="auto"/>
              <w:right w:val="nil"/>
            </w:tcBorders>
            <w:vAlign w:val="center"/>
          </w:tcPr>
          <w:p w14:paraId="1ADDE04E" w14:textId="0C54AA11" w:rsidR="005119E1" w:rsidRPr="0054775B" w:rsidRDefault="005119E1" w:rsidP="00CD4FE9">
            <w:pPr>
              <w:pStyle w:val="2024TABLETEXT"/>
              <w:framePr w:hSpace="0" w:wrap="auto" w:vAnchor="margin" w:yAlign="inline"/>
              <w:suppressOverlap w:val="0"/>
            </w:pPr>
          </w:p>
        </w:tc>
        <w:tc>
          <w:tcPr>
            <w:tcW w:w="454" w:type="pct"/>
            <w:tcBorders>
              <w:top w:val="single" w:sz="6" w:space="0" w:color="000000"/>
              <w:left w:val="nil"/>
              <w:bottom w:val="single" w:sz="6" w:space="0" w:color="000000"/>
              <w:right w:val="nil"/>
            </w:tcBorders>
            <w:vAlign w:val="center"/>
          </w:tcPr>
          <w:p w14:paraId="710E115D" w14:textId="180554D6" w:rsidR="005119E1" w:rsidRPr="0054775B" w:rsidRDefault="005119E1" w:rsidP="00CD4FE9">
            <w:pPr>
              <w:pStyle w:val="2024TABLETEXT"/>
              <w:framePr w:hSpace="0" w:wrap="auto" w:vAnchor="margin" w:yAlign="inline"/>
              <w:suppressOverlap w:val="0"/>
            </w:pPr>
            <w:r w:rsidRPr="001428E8">
              <w:t xml:space="preserve">1.9 (0.9) </w:t>
            </w:r>
          </w:p>
        </w:tc>
        <w:tc>
          <w:tcPr>
            <w:tcW w:w="545" w:type="pct"/>
            <w:gridSpan w:val="3"/>
            <w:tcBorders>
              <w:top w:val="single" w:sz="6" w:space="0" w:color="000000"/>
              <w:left w:val="nil"/>
              <w:bottom w:val="single" w:sz="6" w:space="0" w:color="000000"/>
              <w:right w:val="nil"/>
            </w:tcBorders>
            <w:vAlign w:val="center"/>
          </w:tcPr>
          <w:p w14:paraId="15245DA9" w14:textId="0ED7F74C" w:rsidR="005119E1" w:rsidRPr="0054775B" w:rsidRDefault="005119E1" w:rsidP="00CD4FE9">
            <w:pPr>
              <w:pStyle w:val="2024TABLETEXT"/>
              <w:framePr w:hSpace="0" w:wrap="auto" w:vAnchor="margin" w:yAlign="inline"/>
              <w:suppressOverlap w:val="0"/>
            </w:pPr>
            <w:r w:rsidRPr="001428E8">
              <w:t xml:space="preserve">2.4 (0.9) </w:t>
            </w:r>
          </w:p>
        </w:tc>
        <w:tc>
          <w:tcPr>
            <w:tcW w:w="587" w:type="pct"/>
            <w:gridSpan w:val="2"/>
            <w:tcBorders>
              <w:top w:val="single" w:sz="6" w:space="0" w:color="000000"/>
              <w:left w:val="nil"/>
              <w:bottom w:val="single" w:sz="6" w:space="0" w:color="000000"/>
              <w:right w:val="nil"/>
            </w:tcBorders>
            <w:shd w:val="clear" w:color="auto" w:fill="auto"/>
            <w:vAlign w:val="center"/>
          </w:tcPr>
          <w:p w14:paraId="4CF2E082" w14:textId="02B6DE92" w:rsidR="005119E1" w:rsidRPr="0054775B" w:rsidRDefault="005119E1" w:rsidP="00CD4FE9">
            <w:pPr>
              <w:pStyle w:val="2024TABLETEXT"/>
              <w:framePr w:hSpace="0" w:wrap="auto" w:vAnchor="margin" w:yAlign="inline"/>
              <w:suppressOverlap w:val="0"/>
            </w:pPr>
            <w:r w:rsidRPr="0054775B">
              <w:t>MD = 0.50 (-0.04</w:t>
            </w:r>
            <w:r w:rsidR="000071E8">
              <w:t xml:space="preserve"> to</w:t>
            </w:r>
            <w:r w:rsidRPr="0054775B">
              <w:t xml:space="preserve"> 1.04)</w:t>
            </w:r>
            <w:r>
              <w:t>^</w:t>
            </w:r>
          </w:p>
        </w:tc>
        <w:tc>
          <w:tcPr>
            <w:tcW w:w="450" w:type="pct"/>
            <w:gridSpan w:val="3"/>
            <w:vMerge/>
            <w:tcBorders>
              <w:left w:val="nil"/>
              <w:bottom w:val="single" w:sz="4" w:space="0" w:color="auto"/>
              <w:right w:val="nil"/>
            </w:tcBorders>
            <w:vAlign w:val="center"/>
          </w:tcPr>
          <w:p w14:paraId="3E0249ED" w14:textId="77777777" w:rsidR="005119E1" w:rsidRPr="0054775B" w:rsidRDefault="005119E1" w:rsidP="00CD4FE9">
            <w:pPr>
              <w:pStyle w:val="2024TABLETEXT"/>
              <w:framePr w:hSpace="0" w:wrap="auto" w:vAnchor="margin" w:yAlign="inline"/>
              <w:suppressOverlap w:val="0"/>
            </w:pPr>
          </w:p>
        </w:tc>
        <w:tc>
          <w:tcPr>
            <w:tcW w:w="412" w:type="pct"/>
            <w:gridSpan w:val="2"/>
            <w:vMerge/>
            <w:tcBorders>
              <w:left w:val="nil"/>
              <w:bottom w:val="single" w:sz="6" w:space="0" w:color="000000"/>
              <w:right w:val="nil"/>
            </w:tcBorders>
            <w:vAlign w:val="center"/>
          </w:tcPr>
          <w:p w14:paraId="78DACD0E" w14:textId="77777777" w:rsidR="005119E1" w:rsidRPr="0054775B" w:rsidRDefault="005119E1" w:rsidP="00CD4FE9">
            <w:pPr>
              <w:pStyle w:val="2024TABLETEXT"/>
              <w:framePr w:hSpace="0" w:wrap="auto" w:vAnchor="margin" w:yAlign="inline"/>
              <w:suppressOverlap w:val="0"/>
            </w:pPr>
          </w:p>
        </w:tc>
        <w:tc>
          <w:tcPr>
            <w:tcW w:w="712" w:type="pct"/>
            <w:vMerge/>
            <w:tcBorders>
              <w:left w:val="nil"/>
              <w:bottom w:val="single" w:sz="6" w:space="0" w:color="000000"/>
              <w:right w:val="nil"/>
            </w:tcBorders>
            <w:vAlign w:val="center"/>
          </w:tcPr>
          <w:p w14:paraId="13818C53" w14:textId="59020839" w:rsidR="005119E1" w:rsidRPr="0054775B" w:rsidRDefault="005119E1" w:rsidP="00CD4FE9">
            <w:pPr>
              <w:pStyle w:val="2024TABLETEXT"/>
              <w:framePr w:hSpace="0" w:wrap="auto" w:vAnchor="margin" w:yAlign="inline"/>
              <w:suppressOverlap w:val="0"/>
            </w:pPr>
          </w:p>
        </w:tc>
      </w:tr>
      <w:tr w:rsidR="005119E1" w:rsidRPr="0054775B" w14:paraId="68744FC2" w14:textId="77777777" w:rsidTr="007935D7">
        <w:trPr>
          <w:gridAfter w:val="2"/>
          <w:wAfter w:w="25" w:type="pct"/>
          <w:cantSplit/>
        </w:trPr>
        <w:tc>
          <w:tcPr>
            <w:tcW w:w="287" w:type="pct"/>
            <w:tcBorders>
              <w:top w:val="single" w:sz="6" w:space="0" w:color="000000"/>
              <w:left w:val="nil"/>
              <w:bottom w:val="single" w:sz="6" w:space="0" w:color="000000"/>
              <w:right w:val="nil"/>
            </w:tcBorders>
            <w:vAlign w:val="center"/>
          </w:tcPr>
          <w:p w14:paraId="3FEAA718" w14:textId="7B974235" w:rsidR="005119E1" w:rsidRPr="0054775B" w:rsidRDefault="005119E1" w:rsidP="00CD4FE9">
            <w:pPr>
              <w:pStyle w:val="2024TABLETEXT"/>
              <w:framePr w:hSpace="0" w:wrap="auto" w:vAnchor="margin" w:yAlign="inline"/>
              <w:suppressOverlap w:val="0"/>
            </w:pPr>
            <w:r w:rsidRPr="0054775B">
              <w:t>6</w:t>
            </w:r>
          </w:p>
        </w:tc>
        <w:tc>
          <w:tcPr>
            <w:tcW w:w="1095" w:type="pct"/>
            <w:tcBorders>
              <w:top w:val="single" w:sz="6" w:space="0" w:color="000000"/>
              <w:left w:val="nil"/>
              <w:bottom w:val="single" w:sz="6" w:space="0" w:color="000000"/>
              <w:right w:val="nil"/>
            </w:tcBorders>
            <w:vAlign w:val="center"/>
          </w:tcPr>
          <w:p w14:paraId="281922BB" w14:textId="18FD234D" w:rsidR="005119E1" w:rsidRPr="001428E8" w:rsidRDefault="005119E1" w:rsidP="00CD4FE9">
            <w:pPr>
              <w:pStyle w:val="2024TABLETEXT"/>
              <w:framePr w:hSpace="0" w:wrap="auto" w:vAnchor="margin" w:yAlign="inline"/>
              <w:suppressOverlap w:val="0"/>
              <w:rPr>
                <w:b/>
              </w:rPr>
            </w:pPr>
            <w:r w:rsidRPr="001428E8">
              <w:rPr>
                <w:b/>
              </w:rPr>
              <w:t>Physical function/ disability (return to work/school)</w:t>
            </w:r>
          </w:p>
        </w:tc>
        <w:tc>
          <w:tcPr>
            <w:tcW w:w="433" w:type="pct"/>
            <w:tcBorders>
              <w:top w:val="single" w:sz="4" w:space="0" w:color="auto"/>
              <w:left w:val="nil"/>
              <w:bottom w:val="single" w:sz="6" w:space="0" w:color="000000"/>
              <w:right w:val="nil"/>
            </w:tcBorders>
            <w:vAlign w:val="center"/>
          </w:tcPr>
          <w:p w14:paraId="67561FB2" w14:textId="2B130BA2" w:rsidR="005119E1" w:rsidRPr="0054775B" w:rsidRDefault="005119E1" w:rsidP="00CD4FE9">
            <w:pPr>
              <w:pStyle w:val="2024TABLETEXT"/>
              <w:framePr w:hSpace="0" w:wrap="auto" w:vAnchor="margin" w:yAlign="inline"/>
              <w:suppressOverlap w:val="0"/>
            </w:pPr>
            <w:r w:rsidRPr="0054775B">
              <w:t>-</w:t>
            </w:r>
          </w:p>
        </w:tc>
        <w:tc>
          <w:tcPr>
            <w:tcW w:w="454" w:type="pct"/>
            <w:tcBorders>
              <w:top w:val="single" w:sz="6" w:space="0" w:color="000000"/>
              <w:left w:val="nil"/>
              <w:bottom w:val="single" w:sz="6" w:space="0" w:color="000000"/>
              <w:right w:val="nil"/>
            </w:tcBorders>
            <w:vAlign w:val="center"/>
          </w:tcPr>
          <w:p w14:paraId="1E815FFC" w14:textId="73C980DD" w:rsidR="005119E1" w:rsidRPr="0054775B" w:rsidRDefault="005119E1" w:rsidP="00CD4FE9">
            <w:pPr>
              <w:pStyle w:val="2024TABLETEXT"/>
              <w:framePr w:hSpace="0" w:wrap="auto" w:vAnchor="margin" w:yAlign="inline"/>
              <w:suppressOverlap w:val="0"/>
            </w:pPr>
            <w:r w:rsidRPr="0054775B">
              <w:t>-</w:t>
            </w:r>
          </w:p>
        </w:tc>
        <w:tc>
          <w:tcPr>
            <w:tcW w:w="545" w:type="pct"/>
            <w:gridSpan w:val="3"/>
            <w:tcBorders>
              <w:top w:val="single" w:sz="6" w:space="0" w:color="000000"/>
              <w:left w:val="nil"/>
              <w:bottom w:val="single" w:sz="6" w:space="0" w:color="000000"/>
              <w:right w:val="nil"/>
            </w:tcBorders>
            <w:vAlign w:val="center"/>
          </w:tcPr>
          <w:p w14:paraId="0D7287F0" w14:textId="0E36CB6B" w:rsidR="005119E1" w:rsidRPr="0054775B" w:rsidRDefault="005119E1" w:rsidP="00CD4FE9">
            <w:pPr>
              <w:pStyle w:val="2024TABLETEXT"/>
              <w:framePr w:hSpace="0" w:wrap="auto" w:vAnchor="margin" w:yAlign="inline"/>
              <w:suppressOverlap w:val="0"/>
            </w:pPr>
            <w:r w:rsidRPr="0054775B">
              <w:t>-</w:t>
            </w:r>
          </w:p>
        </w:tc>
        <w:tc>
          <w:tcPr>
            <w:tcW w:w="587" w:type="pct"/>
            <w:gridSpan w:val="2"/>
            <w:tcBorders>
              <w:top w:val="single" w:sz="6" w:space="0" w:color="000000"/>
              <w:left w:val="nil"/>
              <w:bottom w:val="single" w:sz="6" w:space="0" w:color="000000"/>
              <w:right w:val="nil"/>
            </w:tcBorders>
            <w:shd w:val="clear" w:color="auto" w:fill="auto"/>
            <w:vAlign w:val="center"/>
          </w:tcPr>
          <w:p w14:paraId="6E0ADF9B" w14:textId="1490AE11" w:rsidR="005119E1" w:rsidRPr="0054775B" w:rsidRDefault="005119E1" w:rsidP="00CD4FE9">
            <w:pPr>
              <w:pStyle w:val="2024TABLETEXT"/>
              <w:framePr w:hSpace="0" w:wrap="auto" w:vAnchor="margin" w:yAlign="inline"/>
              <w:suppressOverlap w:val="0"/>
            </w:pPr>
            <w:r w:rsidRPr="0054775B">
              <w:t>-</w:t>
            </w:r>
          </w:p>
        </w:tc>
        <w:tc>
          <w:tcPr>
            <w:tcW w:w="421" w:type="pct"/>
            <w:gridSpan w:val="2"/>
            <w:tcBorders>
              <w:top w:val="single" w:sz="6" w:space="0" w:color="000000"/>
              <w:left w:val="nil"/>
              <w:bottom w:val="single" w:sz="6" w:space="0" w:color="000000"/>
              <w:right w:val="nil"/>
            </w:tcBorders>
            <w:vAlign w:val="center"/>
          </w:tcPr>
          <w:p w14:paraId="32312563" w14:textId="3D397A43" w:rsidR="005119E1" w:rsidRPr="0054775B" w:rsidRDefault="005119E1" w:rsidP="00CD4FE9">
            <w:pPr>
              <w:pStyle w:val="2024TABLETEXT"/>
              <w:framePr w:hSpace="0" w:wrap="auto" w:vAnchor="margin" w:yAlign="inline"/>
              <w:suppressOverlap w:val="0"/>
            </w:pPr>
            <w:r w:rsidRPr="0054775B">
              <w:t>-</w:t>
            </w:r>
          </w:p>
        </w:tc>
        <w:tc>
          <w:tcPr>
            <w:tcW w:w="412" w:type="pct"/>
            <w:gridSpan w:val="2"/>
            <w:tcBorders>
              <w:top w:val="single" w:sz="6" w:space="0" w:color="000000"/>
              <w:left w:val="nil"/>
              <w:bottom w:val="single" w:sz="6" w:space="0" w:color="000000"/>
              <w:right w:val="nil"/>
            </w:tcBorders>
            <w:vAlign w:val="center"/>
          </w:tcPr>
          <w:p w14:paraId="227405FB" w14:textId="5BE01D61" w:rsidR="005119E1" w:rsidRPr="0054775B" w:rsidRDefault="005119E1" w:rsidP="00CD4FE9">
            <w:pPr>
              <w:pStyle w:val="2024TABLETEXT"/>
              <w:framePr w:hSpace="0" w:wrap="auto" w:vAnchor="margin" w:yAlign="inline"/>
              <w:suppressOverlap w:val="0"/>
            </w:pPr>
            <w:r w:rsidRPr="0054775B">
              <w:t>-</w:t>
            </w:r>
          </w:p>
        </w:tc>
        <w:tc>
          <w:tcPr>
            <w:tcW w:w="741" w:type="pct"/>
            <w:gridSpan w:val="2"/>
            <w:tcBorders>
              <w:top w:val="single" w:sz="6" w:space="0" w:color="000000"/>
              <w:left w:val="nil"/>
              <w:bottom w:val="single" w:sz="6" w:space="0" w:color="000000"/>
              <w:right w:val="nil"/>
            </w:tcBorders>
            <w:vAlign w:val="center"/>
          </w:tcPr>
          <w:p w14:paraId="58163ECE" w14:textId="04376EAA" w:rsidR="005119E1" w:rsidRPr="0054775B" w:rsidRDefault="005119E1" w:rsidP="00CD4FE9">
            <w:pPr>
              <w:pStyle w:val="2024TABLETEXT"/>
              <w:framePr w:hSpace="0" w:wrap="auto" w:vAnchor="margin" w:yAlign="inline"/>
              <w:suppressOverlap w:val="0"/>
            </w:pPr>
            <w:r w:rsidRPr="0054775B">
              <w:t xml:space="preserve">No </w:t>
            </w:r>
            <w:r>
              <w:t>reviews</w:t>
            </w:r>
            <w:r w:rsidRPr="0054775B">
              <w:t xml:space="preserve"> found. The effect of zinc on physical function/</w:t>
            </w:r>
            <w:r>
              <w:t xml:space="preserve"> </w:t>
            </w:r>
            <w:r w:rsidRPr="0054775B">
              <w:t>disability (return to work/</w:t>
            </w:r>
            <w:r>
              <w:t xml:space="preserve"> </w:t>
            </w:r>
            <w:r w:rsidRPr="0054775B">
              <w:t>school) for atopic disorders is unknown.</w:t>
            </w:r>
          </w:p>
        </w:tc>
      </w:tr>
      <w:tr w:rsidR="003441CE" w:rsidRPr="0054775B" w14:paraId="3346E690" w14:textId="77777777" w:rsidTr="004F6C89">
        <w:trPr>
          <w:gridAfter w:val="1"/>
          <w:wAfter w:w="11" w:type="pct"/>
          <w:cantSplit/>
          <w:trHeight w:val="50"/>
        </w:trPr>
        <w:tc>
          <w:tcPr>
            <w:tcW w:w="4989" w:type="pct"/>
            <w:gridSpan w:val="16"/>
            <w:tcBorders>
              <w:top w:val="single" w:sz="6" w:space="0" w:color="000000"/>
              <w:left w:val="nil"/>
              <w:bottom w:val="single" w:sz="6" w:space="0" w:color="000000"/>
              <w:right w:val="nil"/>
            </w:tcBorders>
          </w:tcPr>
          <w:p w14:paraId="2A5C7EB5" w14:textId="77777777" w:rsidR="00704844" w:rsidRPr="0054775B" w:rsidRDefault="00704844" w:rsidP="00704844">
            <w:pPr>
              <w:pStyle w:val="2024TABLEFOOTER"/>
            </w:pPr>
            <w:r w:rsidRPr="0054775B">
              <w:t>*Ratings 1-3 = of limited importance to decision making; 4-6 = important, but not critical, to decision making; 7-9 = critical for decision-making</w:t>
            </w:r>
          </w:p>
          <w:p w14:paraId="11D12D62" w14:textId="4EDACA3F" w:rsidR="003441CE" w:rsidRDefault="003441CE" w:rsidP="00CD4FE9">
            <w:pPr>
              <w:pStyle w:val="2024TABLEFOOTER"/>
            </w:pPr>
            <w:r w:rsidRPr="0054775B">
              <w:t>^</w:t>
            </w:r>
            <w:r>
              <w:t xml:space="preserve">There are no published MCID estimates for outcome measures used in this study. </w:t>
            </w:r>
          </w:p>
          <w:p w14:paraId="20C6CBF7" w14:textId="77777777" w:rsidR="003441CE" w:rsidRDefault="003441CE" w:rsidP="00CD4FE9">
            <w:pPr>
              <w:pStyle w:val="2024TABLEFOOTER"/>
            </w:pPr>
          </w:p>
          <w:p w14:paraId="29CCB2F2" w14:textId="53F4AD66" w:rsidR="003441CE" w:rsidRPr="0054775B" w:rsidRDefault="003441CE" w:rsidP="00CD4FE9">
            <w:pPr>
              <w:pStyle w:val="2024TABLEFOOTER"/>
            </w:pPr>
            <w:r w:rsidRPr="0054775B">
              <w:t>Abbreviations:  CI=Confidence interval, MD=Mean difference, NR=Not reported</w:t>
            </w:r>
          </w:p>
        </w:tc>
      </w:tr>
      <w:tr w:rsidR="003441CE" w:rsidRPr="0054775B" w14:paraId="4492962C" w14:textId="77777777" w:rsidTr="004F6C89">
        <w:trPr>
          <w:gridAfter w:val="1"/>
          <w:wAfter w:w="11" w:type="pct"/>
          <w:cantSplit/>
          <w:trHeight w:val="236"/>
        </w:trPr>
        <w:tc>
          <w:tcPr>
            <w:tcW w:w="4989" w:type="pct"/>
            <w:gridSpan w:val="16"/>
            <w:tcBorders>
              <w:top w:val="single" w:sz="6" w:space="0" w:color="000000"/>
              <w:left w:val="nil"/>
              <w:bottom w:val="single" w:sz="6" w:space="0" w:color="000000"/>
              <w:right w:val="nil"/>
            </w:tcBorders>
          </w:tcPr>
          <w:p w14:paraId="174BF409" w14:textId="41F24141" w:rsidR="003441CE" w:rsidRPr="0054775B" w:rsidRDefault="003441CE" w:rsidP="00CD4FE9">
            <w:pPr>
              <w:pStyle w:val="2024TABLEFOOTER"/>
            </w:pPr>
            <w:r w:rsidRPr="0054775B">
              <w:t>GRADE Working Group grades of evidence</w:t>
            </w:r>
            <w:r w:rsidRPr="0054775B">
              <w:br/>
            </w:r>
            <w:r w:rsidRPr="0054775B">
              <w:rPr>
                <w:b/>
                <w:bCs/>
              </w:rPr>
              <w:t>High certainty:</w:t>
            </w:r>
            <w:r w:rsidRPr="0054775B">
              <w:t xml:space="preserve"> we are very confident that the true effect lies close to that of the estimate of the effect.</w:t>
            </w:r>
            <w:r w:rsidRPr="0054775B">
              <w:br/>
            </w:r>
            <w:r w:rsidRPr="0054775B">
              <w:rPr>
                <w:b/>
                <w:bCs/>
              </w:rPr>
              <w:t>Moderate certainty:</w:t>
            </w:r>
            <w:r w:rsidRPr="0054775B">
              <w:t xml:space="preserve"> we are moderately confident in the effect estimate: the true effect is likely to be close to the estimate of the effect, but there is a possibility that it is substantially different.</w:t>
            </w:r>
            <w:r w:rsidRPr="0054775B">
              <w:br/>
            </w:r>
            <w:r w:rsidRPr="0054775B">
              <w:rPr>
                <w:b/>
                <w:bCs/>
              </w:rPr>
              <w:t>Low certainty:</w:t>
            </w:r>
            <w:r w:rsidRPr="0054775B">
              <w:t xml:space="preserve"> our confidence in the effect estimate is limited: the true effect may be substantially different from the estimate of the effect.</w:t>
            </w:r>
            <w:r w:rsidRPr="0054775B">
              <w:br/>
            </w:r>
            <w:r w:rsidRPr="0054775B">
              <w:rPr>
                <w:b/>
                <w:bCs/>
              </w:rPr>
              <w:t>Very low certainty:</w:t>
            </w:r>
            <w:r w:rsidRPr="0054775B">
              <w:t xml:space="preserve"> we have very little confidence in the effect estimate: the true effect is likely to be substantially different from the estimate of effect.</w:t>
            </w:r>
          </w:p>
        </w:tc>
      </w:tr>
      <w:tr w:rsidR="003441CE" w:rsidRPr="0054775B" w14:paraId="49AAB771" w14:textId="77777777" w:rsidTr="004F6C89">
        <w:trPr>
          <w:gridAfter w:val="1"/>
          <w:wAfter w:w="11" w:type="pct"/>
          <w:cantSplit/>
          <w:trHeight w:val="236"/>
        </w:trPr>
        <w:tc>
          <w:tcPr>
            <w:tcW w:w="4989" w:type="pct"/>
            <w:gridSpan w:val="16"/>
            <w:tcBorders>
              <w:top w:val="single" w:sz="6" w:space="0" w:color="000000"/>
              <w:left w:val="nil"/>
              <w:bottom w:val="single" w:sz="6" w:space="0" w:color="000000"/>
              <w:right w:val="nil"/>
            </w:tcBorders>
          </w:tcPr>
          <w:p w14:paraId="05BE2BC4" w14:textId="77777777" w:rsidR="003441CE" w:rsidRPr="0054775B" w:rsidRDefault="003441CE" w:rsidP="00CD4FE9">
            <w:pPr>
              <w:pStyle w:val="2024TABLEFOOTER"/>
            </w:pPr>
            <w:r w:rsidRPr="0054775B">
              <w:t>Explanations</w:t>
            </w:r>
          </w:p>
          <w:p w14:paraId="48AD4618" w14:textId="4FAB441A" w:rsidR="003441CE" w:rsidRPr="0054775B" w:rsidRDefault="003441CE" w:rsidP="00CD4FE9">
            <w:pPr>
              <w:pStyle w:val="2024TABLEFOOTER"/>
            </w:pPr>
            <w:r w:rsidRPr="0054775B">
              <w:lastRenderedPageBreak/>
              <w:t xml:space="preserve">a. Primary study assessed as </w:t>
            </w:r>
            <w:r>
              <w:t xml:space="preserve">having </w:t>
            </w:r>
            <w:r w:rsidR="008528C2">
              <w:t>unclear</w:t>
            </w:r>
            <w:r w:rsidR="008528C2" w:rsidRPr="0054775B">
              <w:t xml:space="preserve"> </w:t>
            </w:r>
            <w:r w:rsidR="008528C2">
              <w:t>risk of bias across most judgement documents</w:t>
            </w:r>
            <w:r w:rsidRPr="0054775B">
              <w:t xml:space="preserve"> (</w:t>
            </w:r>
            <w:r w:rsidR="00325E30">
              <w:t>no change</w:t>
            </w:r>
            <w:r w:rsidRPr="0054775B">
              <w:t xml:space="preserve"> for risk of bias). Paediatric population only; atopic dermatitis only (no other atopic disorders) (downgrade one for indirectness). </w:t>
            </w:r>
            <w:r w:rsidR="002F646D">
              <w:t>T</w:t>
            </w:r>
            <w:r>
              <w:t>here are no published MCID estimations to assess precision</w:t>
            </w:r>
            <w:r w:rsidR="002F646D">
              <w:t>, though the only included primary study had a very small sample size raising concerns about optimal information size</w:t>
            </w:r>
            <w:r w:rsidRPr="0054775B">
              <w:t xml:space="preserve"> (downgraded </w:t>
            </w:r>
            <w:r w:rsidR="001F29C8">
              <w:t>2</w:t>
            </w:r>
            <w:r w:rsidR="00D074D1" w:rsidRPr="0054775B">
              <w:t xml:space="preserve"> </w:t>
            </w:r>
            <w:r w:rsidRPr="0054775B">
              <w:t xml:space="preserve">for </w:t>
            </w:r>
            <w:r w:rsidR="00ED528F">
              <w:t xml:space="preserve">serious </w:t>
            </w:r>
            <w:r w:rsidRPr="0054775B">
              <w:t>imprecision).</w:t>
            </w:r>
            <w:r>
              <w:t xml:space="preserve"> </w:t>
            </w:r>
            <w:r w:rsidRPr="002B023E">
              <w:t>No inconsistency due to singular study (no change for inconsistency).</w:t>
            </w:r>
            <w:r w:rsidR="00304D68">
              <w:t xml:space="preserve"> No evidence of publication bias</w:t>
            </w:r>
            <w:r w:rsidR="00127EEE">
              <w:t xml:space="preserve">, though noting that </w:t>
            </w:r>
            <w:r w:rsidR="00127EEE" w:rsidRPr="00127EEE">
              <w:t>Smith, Kline, &amp; French Laboratories supplied active and placebo capsules. The lead author was</w:t>
            </w:r>
            <w:r w:rsidR="00127EEE">
              <w:t xml:space="preserve"> also</w:t>
            </w:r>
            <w:r w:rsidR="00127EEE" w:rsidRPr="00127EEE">
              <w:t xml:space="preserve"> supported by grants from Glaxo Group Research and Glaxo Laboratories</w:t>
            </w:r>
            <w:r w:rsidR="00304D68">
              <w:t xml:space="preserve"> (no change for publication bias).</w:t>
            </w:r>
          </w:p>
        </w:tc>
      </w:tr>
    </w:tbl>
    <w:p w14:paraId="10F50F9B" w14:textId="354C36A1" w:rsidR="00EA20A2" w:rsidRPr="0054775B" w:rsidRDefault="00EA20A2" w:rsidP="009E6F7F">
      <w:pPr>
        <w:sectPr w:rsidR="00EA20A2" w:rsidRPr="0054775B" w:rsidSect="006A72DC">
          <w:pgSz w:w="16840" w:h="11910" w:orient="landscape"/>
          <w:pgMar w:top="1340" w:right="280" w:bottom="1340" w:left="1356" w:header="720" w:footer="720" w:gutter="0"/>
          <w:cols w:space="720"/>
          <w:docGrid w:linePitch="299"/>
        </w:sectPr>
      </w:pPr>
    </w:p>
    <w:p w14:paraId="30919F50" w14:textId="138BFA44" w:rsidR="00764746" w:rsidRPr="0054775B" w:rsidRDefault="00980972" w:rsidP="00F9201F">
      <w:pPr>
        <w:pStyle w:val="2024HEADER2"/>
      </w:pPr>
      <w:bookmarkStart w:id="101" w:name="_Toc179379624"/>
      <w:r w:rsidRPr="0054775B">
        <w:lastRenderedPageBreak/>
        <w:t xml:space="preserve">Fatigue (general) (including </w:t>
      </w:r>
      <w:r w:rsidR="00C54390" w:rsidRPr="0054775B">
        <w:t>CFS and ME</w:t>
      </w:r>
      <w:r w:rsidRPr="0054775B">
        <w:t xml:space="preserve">), </w:t>
      </w:r>
      <w:r w:rsidR="00BA2EC3" w:rsidRPr="0054775B">
        <w:t>a</w:t>
      </w:r>
      <w:r w:rsidRPr="0054775B">
        <w:t>ntioxidants (specifically CoQ10 and alpha-lipoic acid)</w:t>
      </w:r>
      <w:bookmarkEnd w:id="101"/>
    </w:p>
    <w:p w14:paraId="12C9C2DE" w14:textId="77777777" w:rsidR="008308E9" w:rsidRPr="0054775B" w:rsidRDefault="008308E9" w:rsidP="009E6F7F">
      <w:pPr>
        <w:pStyle w:val="2024HEADER3"/>
        <w:rPr>
          <w:rFonts w:ascii="Aptos" w:hAnsi="Aptos"/>
        </w:rPr>
      </w:pPr>
      <w:r w:rsidRPr="0054775B">
        <w:rPr>
          <w:rFonts w:ascii="Aptos" w:hAnsi="Aptos"/>
        </w:rPr>
        <w:t>Description of condition</w:t>
      </w:r>
    </w:p>
    <w:p w14:paraId="417F8E94" w14:textId="1590758B" w:rsidR="005A45AE" w:rsidRPr="0054775B" w:rsidRDefault="001C083D" w:rsidP="009E6F7F">
      <w:r w:rsidRPr="0054775B">
        <w:t>Fatigue is a complex and often debilitating condition characteri</w:t>
      </w:r>
      <w:r w:rsidR="00BA2EC3" w:rsidRPr="0054775B">
        <w:t>s</w:t>
      </w:r>
      <w:r w:rsidRPr="0054775B">
        <w:t>ed by persistent and extreme tiredness that is not alleviated by rest or sleep. It extends beyond normal feelings of tiredness and can significantly impact physical and mental functioning. Fatigue is a common</w:t>
      </w:r>
      <w:r w:rsidR="001B6906" w:rsidRPr="0054775B">
        <w:t xml:space="preserve"> outcome or</w:t>
      </w:r>
      <w:r w:rsidRPr="0054775B">
        <w:t xml:space="preserve"> symptom of </w:t>
      </w:r>
      <w:r w:rsidR="001B6906" w:rsidRPr="0054775B">
        <w:t>many</w:t>
      </w:r>
      <w:r w:rsidRPr="0054775B">
        <w:t xml:space="preserve"> medical conditions </w:t>
      </w:r>
      <w:r w:rsidR="001B6906" w:rsidRPr="0054775B">
        <w:t xml:space="preserve">(such as </w:t>
      </w:r>
      <w:r w:rsidR="004A6F46" w:rsidRPr="0054775B">
        <w:t>autoimmune disorders, cancer, and heart disease</w:t>
      </w:r>
      <w:r w:rsidR="00383FFC" w:rsidRPr="0054775B">
        <w:t>) but is also</w:t>
      </w:r>
      <w:r w:rsidRPr="0054775B">
        <w:t xml:space="preserve"> a primary </w:t>
      </w:r>
      <w:r w:rsidR="0021152D" w:rsidRPr="0054775B">
        <w:t>condition</w:t>
      </w:r>
      <w:r w:rsidR="00176502" w:rsidRPr="0054775B">
        <w:t>.</w:t>
      </w:r>
      <w:r w:rsidR="00E144EE" w:rsidRPr="0054775B">
        <w:t xml:space="preserve"> </w:t>
      </w:r>
      <w:r w:rsidR="00490245" w:rsidRPr="0054775B">
        <w:t>Chronic Fatigue Syndrome (CFS)</w:t>
      </w:r>
      <w:r w:rsidR="00955A68" w:rsidRPr="0054775B">
        <w:t xml:space="preserve"> </w:t>
      </w:r>
      <w:r w:rsidR="00FD21A4" w:rsidRPr="0054775B">
        <w:t>and</w:t>
      </w:r>
      <w:r w:rsidR="00490245" w:rsidRPr="0054775B">
        <w:t xml:space="preserve"> </w:t>
      </w:r>
      <w:r w:rsidRPr="0054775B">
        <w:t>Myalgic Encephalomyelitis</w:t>
      </w:r>
      <w:r w:rsidR="00490245" w:rsidRPr="0054775B">
        <w:t xml:space="preserve"> (ME)</w:t>
      </w:r>
      <w:r w:rsidR="00FD21A4" w:rsidRPr="0054775B">
        <w:t xml:space="preserve"> are fatigue-related conditions with a wide range of symptoms and clinical presentations. </w:t>
      </w:r>
      <w:r w:rsidR="005A45AE" w:rsidRPr="0054775B">
        <w:t xml:space="preserve">While the </w:t>
      </w:r>
      <w:r w:rsidR="00C85AE5" w:rsidRPr="0054775B">
        <w:t>CFS and ME</w:t>
      </w:r>
      <w:r w:rsidR="005A45AE" w:rsidRPr="0054775B">
        <w:t xml:space="preserve"> terms are often used interchangeably, </w:t>
      </w:r>
      <w:r w:rsidR="001A4B50" w:rsidRPr="0054775B">
        <w:t xml:space="preserve">there are </w:t>
      </w:r>
      <w:r w:rsidR="005A45AE" w:rsidRPr="0054775B">
        <w:t>key differences</w:t>
      </w:r>
      <w:r w:rsidR="001A4B50" w:rsidRPr="0054775B">
        <w:t xml:space="preserve"> between the conditions (e.g. </w:t>
      </w:r>
      <w:r w:rsidR="00EA7E56" w:rsidRPr="0054775B">
        <w:t>ME is a neuro-immune illness,</w:t>
      </w:r>
      <w:r w:rsidR="00FD21A4" w:rsidRPr="0054775B">
        <w:t xml:space="preserve"> and</w:t>
      </w:r>
      <w:r w:rsidR="00EA7E56" w:rsidRPr="0054775B">
        <w:t xml:space="preserve"> requires an infective agent as part of diagnostic criteria, where CFS does not</w:t>
      </w:r>
      <w:r w:rsidR="001A4B50" w:rsidRPr="0054775B">
        <w:t>)</w:t>
      </w:r>
      <w:r w:rsidR="00EA7E56" w:rsidRPr="0054775B">
        <w:t xml:space="preserve"> </w:t>
      </w:r>
      <w:r w:rsidR="00F54937">
        <w:rPr>
          <w:noProof/>
        </w:rPr>
        <w:t>(138, 139)</w:t>
      </w:r>
      <w:r w:rsidR="00EA7E56" w:rsidRPr="0054775B">
        <w:t>.</w:t>
      </w:r>
    </w:p>
    <w:p w14:paraId="232DFAEE" w14:textId="6C337D92" w:rsidR="001C083D" w:rsidRPr="0054775B" w:rsidRDefault="001C083D" w:rsidP="009E6F7F">
      <w:r w:rsidRPr="0054775B">
        <w:t xml:space="preserve">Diagnosing fatigue often involves a multifaceted approach to identify potential underlying causes or primary fatigue-related conditions. </w:t>
      </w:r>
      <w:r w:rsidR="00494D3A" w:rsidRPr="0054775B">
        <w:t xml:space="preserve">There is no singular test for fatigue or to </w:t>
      </w:r>
      <w:r w:rsidR="00507FA1" w:rsidRPr="0054775B">
        <w:t xml:space="preserve">make a diagnosis of CFS or ME. Generally, fatigue is </w:t>
      </w:r>
      <w:r w:rsidR="007700E3" w:rsidRPr="0054775B">
        <w:t>diagnosed</w:t>
      </w:r>
      <w:r w:rsidRPr="0054775B">
        <w:t xml:space="preserve"> thorough medical history, physical examination, and potentially laboratory tests or sleep studies</w:t>
      </w:r>
      <w:r w:rsidR="00494D3A" w:rsidRPr="0054775B">
        <w:t xml:space="preserve">. </w:t>
      </w:r>
      <w:r w:rsidRPr="0054775B">
        <w:t xml:space="preserve">The primary symptom is overwhelming exhaustion, but may also include muscle weakness, cognitive difficulties, unrefreshing sleep, </w:t>
      </w:r>
      <w:r w:rsidR="00E144EE" w:rsidRPr="0054775B">
        <w:t xml:space="preserve">and </w:t>
      </w:r>
      <w:r w:rsidRPr="0054775B">
        <w:t>post-exertional malaise</w:t>
      </w:r>
      <w:r w:rsidR="00E144EE" w:rsidRPr="0054775B">
        <w:t xml:space="preserve"> (aggravation of symptoms after physical, mental or emotional effort)</w:t>
      </w:r>
      <w:r w:rsidR="00446897" w:rsidRPr="0054775B">
        <w:t>.</w:t>
      </w:r>
    </w:p>
    <w:p w14:paraId="6FC8CF7F" w14:textId="7BFC125F" w:rsidR="00446897" w:rsidRPr="0054775B" w:rsidRDefault="00446897" w:rsidP="009E6F7F">
      <w:r w:rsidRPr="0054775B">
        <w:t xml:space="preserve">Fatigue can profoundly disrupt daily functioning, occupational performance and overall quality of life. As there is no cure for CFS or ME, treatment is directed at symptom relief. For those experiencing fatigue as an adverse outcome resultant from other conditions, treating the primary condition may help in reducing fatigue and associated symptoms. </w:t>
      </w:r>
    </w:p>
    <w:p w14:paraId="239444CE" w14:textId="15888E5A" w:rsidR="00AF2F11" w:rsidRPr="0054775B" w:rsidRDefault="008308E9" w:rsidP="009E6F7F">
      <w:pPr>
        <w:pStyle w:val="2024HEADER3"/>
        <w:rPr>
          <w:rFonts w:ascii="Aptos" w:hAnsi="Aptos"/>
        </w:rPr>
      </w:pPr>
      <w:r w:rsidRPr="0054775B">
        <w:rPr>
          <w:rFonts w:ascii="Aptos" w:hAnsi="Aptos"/>
        </w:rPr>
        <w:t>Description of the intervention</w:t>
      </w:r>
    </w:p>
    <w:p w14:paraId="04471F54" w14:textId="027C4FA7" w:rsidR="00AF2F11" w:rsidRPr="0054775B" w:rsidRDefault="006144B5" w:rsidP="001712D7">
      <w:r w:rsidRPr="0054775B">
        <w:t>Oxidative stress</w:t>
      </w:r>
      <w:r w:rsidR="008F7D7F" w:rsidRPr="0054775B">
        <w:t xml:space="preserve"> </w:t>
      </w:r>
      <w:r w:rsidRPr="0054775B">
        <w:t xml:space="preserve">is associated with cellular damage and an increased risk of chronic diseases like cardiovascular disease, cancer, and neurodegenerative disorders. </w:t>
      </w:r>
      <w:r w:rsidR="00C721BE" w:rsidRPr="0054775B">
        <w:t>A</w:t>
      </w:r>
      <w:r w:rsidR="00B62DC3" w:rsidRPr="0054775B">
        <w:t>ntioxidant</w:t>
      </w:r>
      <w:r w:rsidR="00C721BE" w:rsidRPr="0054775B">
        <w:t xml:space="preserve">s are substances </w:t>
      </w:r>
      <w:r w:rsidR="008F7D7F" w:rsidRPr="0054775B">
        <w:t xml:space="preserve">which can </w:t>
      </w:r>
      <w:r w:rsidR="00C721BE" w:rsidRPr="0054775B">
        <w:t>prevent or delay</w:t>
      </w:r>
      <w:r w:rsidR="00B62DC3" w:rsidRPr="0054775B">
        <w:t xml:space="preserve"> oxidations of cell components</w:t>
      </w:r>
      <w:r w:rsidR="008F7D7F" w:rsidRPr="0054775B">
        <w:t xml:space="preserve">, thereby reducing oxidative stress </w:t>
      </w:r>
      <w:r w:rsidR="00F54937">
        <w:rPr>
          <w:noProof/>
        </w:rPr>
        <w:t>(140)</w:t>
      </w:r>
      <w:r w:rsidR="00A2328E" w:rsidRPr="0054775B">
        <w:t xml:space="preserve">. </w:t>
      </w:r>
      <w:r w:rsidR="001712D7" w:rsidRPr="0054775B">
        <w:t>Antioxidants help reduce inflammation by modulating cytokines and other immune responses</w:t>
      </w:r>
      <w:r w:rsidR="000071E8">
        <w:t xml:space="preserve">. By </w:t>
      </w:r>
      <w:r w:rsidR="001712D7" w:rsidRPr="0054775B">
        <w:t xml:space="preserve">maintaining cellular health, antioxidants </w:t>
      </w:r>
      <w:r w:rsidR="00741D72" w:rsidRPr="0054775B">
        <w:t xml:space="preserve">may </w:t>
      </w:r>
      <w:r w:rsidR="001712D7" w:rsidRPr="0054775B">
        <w:t>indirectly alleviate fatigue and enhance overall well-being</w:t>
      </w:r>
      <w:r w:rsidR="00363A12" w:rsidRPr="0054775B">
        <w:t xml:space="preserve"> </w:t>
      </w:r>
      <w:r w:rsidR="00F54937">
        <w:rPr>
          <w:noProof/>
        </w:rPr>
        <w:t>(141)</w:t>
      </w:r>
      <w:r w:rsidR="001712D7" w:rsidRPr="0054775B">
        <w:t xml:space="preserve">. </w:t>
      </w:r>
      <w:r w:rsidR="00D05D61" w:rsidRPr="0054775B">
        <w:t>C</w:t>
      </w:r>
      <w:r w:rsidR="00981A83" w:rsidRPr="0054775B">
        <w:t xml:space="preserve">oenzyme Q10 (CoQ10) and alpha-lipoic acid </w:t>
      </w:r>
      <w:r w:rsidR="00EA5CAA" w:rsidRPr="0054775B">
        <w:t>(ALA)</w:t>
      </w:r>
      <w:r w:rsidR="00D05D61" w:rsidRPr="0054775B">
        <w:t xml:space="preserve"> are two </w:t>
      </w:r>
      <w:r w:rsidR="001D6B08" w:rsidRPr="0054775B">
        <w:t>antioxidant molecules which are commonly taken to increase and support antioxidant levels</w:t>
      </w:r>
      <w:r w:rsidR="00E615B1" w:rsidRPr="0054775B">
        <w:t xml:space="preserve"> in the body</w:t>
      </w:r>
      <w:r w:rsidR="00694FA0" w:rsidRPr="0054775B">
        <w:t xml:space="preserve"> </w:t>
      </w:r>
      <w:r w:rsidR="00F54937">
        <w:rPr>
          <w:noProof/>
        </w:rPr>
        <w:t>(140)</w:t>
      </w:r>
      <w:r w:rsidR="00981A83" w:rsidRPr="0054775B">
        <w:t>.</w:t>
      </w:r>
      <w:r w:rsidR="00925F41" w:rsidRPr="0054775B">
        <w:t xml:space="preserve"> </w:t>
      </w:r>
      <w:r w:rsidR="00AF2F11" w:rsidRPr="0054775B">
        <w:t xml:space="preserve">CoQ10, also </w:t>
      </w:r>
      <w:r w:rsidR="00B947EE" w:rsidRPr="0054775B">
        <w:t>called</w:t>
      </w:r>
      <w:r w:rsidR="00AF2F11" w:rsidRPr="0054775B">
        <w:t xml:space="preserve"> ubiquinone, is present in all human cells</w:t>
      </w:r>
      <w:r w:rsidR="00790853" w:rsidRPr="0054775B">
        <w:t xml:space="preserve"> and is</w:t>
      </w:r>
      <w:r w:rsidR="00AF2F11" w:rsidRPr="0054775B">
        <w:t xml:space="preserve"> found in various foods like organ meats, oily fish, and </w:t>
      </w:r>
      <w:r w:rsidR="00790853" w:rsidRPr="0054775B">
        <w:t>whole</w:t>
      </w:r>
      <w:r w:rsidR="00425AB5" w:rsidRPr="0054775B">
        <w:t xml:space="preserve"> grains</w:t>
      </w:r>
      <w:r w:rsidR="00D04750" w:rsidRPr="0054775B">
        <w:t xml:space="preserve"> </w:t>
      </w:r>
      <w:r w:rsidR="00F54937">
        <w:rPr>
          <w:noProof/>
        </w:rPr>
        <w:t>(142)</w:t>
      </w:r>
      <w:r w:rsidR="00AF2F11" w:rsidRPr="0054775B">
        <w:t xml:space="preserve">. </w:t>
      </w:r>
      <w:r w:rsidR="007B2E1F" w:rsidRPr="0054775B">
        <w:t>ALA</w:t>
      </w:r>
      <w:r w:rsidR="00AF2F11" w:rsidRPr="0054775B">
        <w:t xml:space="preserve"> is an antioxidant </w:t>
      </w:r>
      <w:r w:rsidR="008F7ECC" w:rsidRPr="0054775B">
        <w:t>made</w:t>
      </w:r>
      <w:r w:rsidR="00AF2F11" w:rsidRPr="0054775B">
        <w:t xml:space="preserve"> in </w:t>
      </w:r>
      <w:r w:rsidR="008F7ECC" w:rsidRPr="0054775B">
        <w:t>small amounts by the human</w:t>
      </w:r>
      <w:r w:rsidR="00AF2F11" w:rsidRPr="0054775B">
        <w:t xml:space="preserve"> </w:t>
      </w:r>
      <w:r w:rsidR="00925F41" w:rsidRPr="0054775B">
        <w:t>body and</w:t>
      </w:r>
      <w:r w:rsidR="008F7ECC" w:rsidRPr="0054775B">
        <w:t xml:space="preserve"> found</w:t>
      </w:r>
      <w:r w:rsidR="00AF2F11" w:rsidRPr="0054775B">
        <w:t xml:space="preserve"> </w:t>
      </w:r>
      <w:r w:rsidR="007B2E1F" w:rsidRPr="0054775B">
        <w:t xml:space="preserve">in </w:t>
      </w:r>
      <w:r w:rsidR="00AF2F11" w:rsidRPr="0054775B">
        <w:t>foods like red meat</w:t>
      </w:r>
      <w:r w:rsidR="007B2E1F" w:rsidRPr="0054775B">
        <w:t xml:space="preserve"> </w:t>
      </w:r>
      <w:r w:rsidR="00AF2F11" w:rsidRPr="0054775B">
        <w:t xml:space="preserve">and </w:t>
      </w:r>
      <w:r w:rsidR="002A548A" w:rsidRPr="0054775B">
        <w:t xml:space="preserve">certain vegetables (e.g. </w:t>
      </w:r>
      <w:r w:rsidR="00925F41" w:rsidRPr="0054775B">
        <w:t>potatoes</w:t>
      </w:r>
      <w:r w:rsidR="002A548A" w:rsidRPr="0054775B">
        <w:t>, beets, spinach and broccoli)</w:t>
      </w:r>
      <w:r w:rsidR="0004004B" w:rsidRPr="0054775B">
        <w:t xml:space="preserve"> </w:t>
      </w:r>
      <w:r w:rsidR="00F54937">
        <w:rPr>
          <w:noProof/>
        </w:rPr>
        <w:t>(143)</w:t>
      </w:r>
      <w:r w:rsidR="00AF2F11" w:rsidRPr="0054775B">
        <w:t xml:space="preserve">. </w:t>
      </w:r>
      <w:r w:rsidR="002A548A" w:rsidRPr="0054775B">
        <w:t>Both CoQ10 and ALA are</w:t>
      </w:r>
      <w:r w:rsidR="00AF2F11" w:rsidRPr="0054775B">
        <w:t xml:space="preserve"> available as dietary supplement in capsules, tablets, and liquid forms</w:t>
      </w:r>
      <w:r w:rsidR="00925F41" w:rsidRPr="0054775B">
        <w:t>.</w:t>
      </w:r>
    </w:p>
    <w:p w14:paraId="4399405F" w14:textId="77777777" w:rsidR="008308E9" w:rsidRPr="0054775B" w:rsidRDefault="008308E9" w:rsidP="009E6F7F">
      <w:pPr>
        <w:pStyle w:val="2024HEADER3"/>
        <w:rPr>
          <w:rFonts w:ascii="Aptos" w:hAnsi="Aptos"/>
        </w:rPr>
      </w:pPr>
      <w:r w:rsidRPr="0054775B">
        <w:rPr>
          <w:rFonts w:ascii="Aptos" w:hAnsi="Aptos"/>
        </w:rPr>
        <w:t>Prioritised outcomes</w:t>
      </w:r>
    </w:p>
    <w:p w14:paraId="1C3F5C4F" w14:textId="09235EAA" w:rsidR="00512BBE" w:rsidRPr="0054775B" w:rsidRDefault="00512BBE" w:rsidP="009E6F7F">
      <w:r w:rsidRPr="0054775B">
        <w:t xml:space="preserve">Five </w:t>
      </w:r>
      <w:r w:rsidR="00B947EE" w:rsidRPr="0054775B">
        <w:t xml:space="preserve">priority outcomes were </w:t>
      </w:r>
      <w:r w:rsidR="007F404D" w:rsidRPr="0054775B">
        <w:t xml:space="preserve">identified by NTWC as part of the Outcome Prioritisation Exercise. These are listed below by order of priority. </w:t>
      </w:r>
      <w:r w:rsidR="00B947EE" w:rsidRPr="0054775B">
        <w:t>Outcomes were rated by their importance to decision-making, with those rated 7-9 being critical for decision-making.</w:t>
      </w:r>
    </w:p>
    <w:p w14:paraId="2309B1DF" w14:textId="7F64EC29" w:rsidR="00764746" w:rsidRPr="0054775B" w:rsidRDefault="00B947EE" w:rsidP="00515FE7">
      <w:pPr>
        <w:pStyle w:val="2024TABLECAPTION"/>
        <w:rPr>
          <w:rFonts w:ascii="Aptos" w:hAnsi="Aptos"/>
        </w:rPr>
      </w:pPr>
      <w:bookmarkStart w:id="102" w:name="_Toc185261607"/>
      <w:r w:rsidRPr="0054775B">
        <w:rPr>
          <w:rFonts w:ascii="Aptos" w:hAnsi="Aptos"/>
        </w:rPr>
        <w:lastRenderedPageBreak/>
        <w:t xml:space="preserve">Table </w:t>
      </w:r>
      <w:r w:rsidR="002F1F6C" w:rsidRPr="0054775B">
        <w:rPr>
          <w:rFonts w:ascii="Aptos" w:hAnsi="Aptos"/>
        </w:rPr>
        <w:fldChar w:fldCharType="begin"/>
      </w:r>
      <w:r w:rsidR="002F1F6C" w:rsidRPr="0054775B">
        <w:rPr>
          <w:rFonts w:ascii="Aptos" w:hAnsi="Aptos"/>
        </w:rPr>
        <w:instrText xml:space="preserve"> SEQ Table \* ARABIC </w:instrText>
      </w:r>
      <w:r w:rsidR="002F1F6C" w:rsidRPr="0054775B">
        <w:rPr>
          <w:rFonts w:ascii="Aptos" w:hAnsi="Aptos"/>
        </w:rPr>
        <w:fldChar w:fldCharType="separate"/>
      </w:r>
      <w:r w:rsidR="00CB3AAD" w:rsidRPr="0054775B" w:rsidDel="004E7C54">
        <w:rPr>
          <w:rFonts w:ascii="Aptos" w:hAnsi="Aptos"/>
          <w:noProof/>
        </w:rPr>
        <w:t>29</w:t>
      </w:r>
      <w:r w:rsidR="002F1F6C" w:rsidRPr="0054775B">
        <w:rPr>
          <w:rFonts w:ascii="Aptos" w:hAnsi="Aptos"/>
          <w:noProof/>
        </w:rPr>
        <w:fldChar w:fldCharType="end"/>
      </w:r>
      <w:r w:rsidRPr="0054775B">
        <w:rPr>
          <w:rFonts w:ascii="Aptos" w:hAnsi="Aptos"/>
        </w:rPr>
        <w:t xml:space="preserve">. </w:t>
      </w:r>
      <w:r w:rsidR="00764746" w:rsidRPr="0054775B">
        <w:rPr>
          <w:rFonts w:ascii="Aptos" w:hAnsi="Aptos"/>
        </w:rPr>
        <w:t xml:space="preserve">List of prioritised outcomes – </w:t>
      </w:r>
      <w:r w:rsidR="00165FEC" w:rsidRPr="0054775B">
        <w:rPr>
          <w:rFonts w:ascii="Aptos" w:hAnsi="Aptos"/>
        </w:rPr>
        <w:t>f</w:t>
      </w:r>
      <w:r w:rsidR="0012437F" w:rsidRPr="0054775B">
        <w:rPr>
          <w:rFonts w:ascii="Aptos" w:hAnsi="Aptos"/>
        </w:rPr>
        <w:t xml:space="preserve">atigue (general) (including </w:t>
      </w:r>
      <w:r w:rsidR="002749E7" w:rsidRPr="0054775B">
        <w:rPr>
          <w:rFonts w:ascii="Aptos" w:hAnsi="Aptos"/>
        </w:rPr>
        <w:t>CFS and ME</w:t>
      </w:r>
      <w:r w:rsidR="0012437F" w:rsidRPr="0054775B">
        <w:rPr>
          <w:rFonts w:ascii="Aptos" w:hAnsi="Aptos"/>
        </w:rPr>
        <w:t xml:space="preserve">), </w:t>
      </w:r>
      <w:r w:rsidR="00165FEC" w:rsidRPr="0054775B">
        <w:rPr>
          <w:rFonts w:ascii="Aptos" w:hAnsi="Aptos"/>
        </w:rPr>
        <w:t>a</w:t>
      </w:r>
      <w:r w:rsidR="0012437F" w:rsidRPr="0054775B">
        <w:rPr>
          <w:rFonts w:ascii="Aptos" w:hAnsi="Aptos"/>
        </w:rPr>
        <w:t xml:space="preserve">ntioxidants (specifically CoQ10 and </w:t>
      </w:r>
      <w:r w:rsidR="00165FEC" w:rsidRPr="0054775B">
        <w:rPr>
          <w:rFonts w:ascii="Aptos" w:hAnsi="Aptos"/>
        </w:rPr>
        <w:t>ALA</w:t>
      </w:r>
      <w:r w:rsidR="0012437F" w:rsidRPr="0054775B">
        <w:rPr>
          <w:rFonts w:ascii="Aptos" w:hAnsi="Aptos"/>
        </w:rPr>
        <w:t xml:space="preserve">) </w:t>
      </w:r>
      <w:r w:rsidR="00764746" w:rsidRPr="0054775B">
        <w:rPr>
          <w:rFonts w:ascii="Aptos" w:hAnsi="Aptos"/>
        </w:rPr>
        <w:t>(as assessed as part of the Outcome Prioritisation Exercise by NTWC).</w:t>
      </w:r>
      <w:bookmarkEnd w:id="102"/>
      <w:r w:rsidR="00764746" w:rsidRPr="0054775B">
        <w:rPr>
          <w:rFonts w:ascii="Aptos" w:hAnsi="Aptos"/>
        </w:rPr>
        <w:t> </w:t>
      </w:r>
    </w:p>
    <w:tbl>
      <w:tblPr>
        <w:tblW w:w="9067" w:type="dxa"/>
        <w:tblCellMar>
          <w:top w:w="28" w:type="dxa"/>
          <w:left w:w="57" w:type="dxa"/>
          <w:bottom w:w="28" w:type="dxa"/>
          <w:right w:w="28" w:type="dxa"/>
        </w:tblCellMar>
        <w:tblLook w:val="04A0" w:firstRow="1" w:lastRow="0" w:firstColumn="1" w:lastColumn="0" w:noHBand="0" w:noVBand="1"/>
      </w:tblPr>
      <w:tblGrid>
        <w:gridCol w:w="346"/>
        <w:gridCol w:w="1632"/>
        <w:gridCol w:w="1229"/>
        <w:gridCol w:w="758"/>
        <w:gridCol w:w="5102"/>
      </w:tblGrid>
      <w:tr w:rsidR="00A70B1C" w:rsidRPr="0054775B" w14:paraId="5A0019EF" w14:textId="77777777" w:rsidTr="00816677">
        <w:trPr>
          <w:trHeight w:val="95"/>
        </w:trPr>
        <w:tc>
          <w:tcPr>
            <w:tcW w:w="0" w:type="auto"/>
            <w:vMerge w:val="restart"/>
            <w:tcBorders>
              <w:top w:val="single" w:sz="4" w:space="0" w:color="auto"/>
              <w:left w:val="single" w:sz="4" w:space="0" w:color="auto"/>
              <w:right w:val="single" w:sz="4" w:space="0" w:color="auto"/>
            </w:tcBorders>
            <w:shd w:val="clear" w:color="auto" w:fill="D9D9D9" w:themeFill="background1" w:themeFillShade="D9"/>
            <w:vAlign w:val="center"/>
            <w:hideMark/>
          </w:tcPr>
          <w:p w14:paraId="45F96F62" w14:textId="77777777" w:rsidR="00816677" w:rsidRPr="0054775B" w:rsidRDefault="00816677" w:rsidP="00515FE7">
            <w:pPr>
              <w:pStyle w:val="2024TABLEHEADER"/>
            </w:pPr>
            <w:r w:rsidRPr="0054775B">
              <w:t> #</w:t>
            </w:r>
          </w:p>
        </w:tc>
        <w:tc>
          <w:tcPr>
            <w:tcW w:w="1632" w:type="dxa"/>
            <w:vMerge w:val="restart"/>
            <w:tcBorders>
              <w:top w:val="single" w:sz="4" w:space="0" w:color="auto"/>
              <w:left w:val="nil"/>
              <w:right w:val="single" w:sz="4" w:space="0" w:color="auto"/>
            </w:tcBorders>
            <w:shd w:val="clear" w:color="auto" w:fill="D9D9D9" w:themeFill="background1" w:themeFillShade="D9"/>
            <w:vAlign w:val="center"/>
            <w:hideMark/>
          </w:tcPr>
          <w:p w14:paraId="0D32E55C" w14:textId="77777777" w:rsidR="00816677" w:rsidRPr="0054775B" w:rsidRDefault="00816677" w:rsidP="00515FE7">
            <w:pPr>
              <w:pStyle w:val="2024TABLEHEADER"/>
              <w:rPr>
                <w:color w:val="000000"/>
              </w:rPr>
            </w:pPr>
            <w:r w:rsidRPr="0054775B">
              <w:t>Priority population</w:t>
            </w:r>
          </w:p>
        </w:tc>
        <w:tc>
          <w:tcPr>
            <w:tcW w:w="1229" w:type="dxa"/>
            <w:vMerge w:val="restart"/>
            <w:tcBorders>
              <w:top w:val="single" w:sz="4" w:space="0" w:color="auto"/>
              <w:left w:val="nil"/>
              <w:right w:val="single" w:sz="4" w:space="0" w:color="auto"/>
            </w:tcBorders>
            <w:shd w:val="clear" w:color="auto" w:fill="D9D9D9" w:themeFill="background1" w:themeFillShade="D9"/>
            <w:vAlign w:val="center"/>
            <w:hideMark/>
          </w:tcPr>
          <w:p w14:paraId="7495BD54" w14:textId="77777777" w:rsidR="00816677" w:rsidRPr="0054775B" w:rsidRDefault="00816677" w:rsidP="00515FE7">
            <w:pPr>
              <w:pStyle w:val="2024TABLEHEADER"/>
              <w:rPr>
                <w:color w:val="000000"/>
              </w:rPr>
            </w:pPr>
            <w:r w:rsidRPr="0054775B">
              <w:t xml:space="preserve">Priority intervention </w:t>
            </w:r>
          </w:p>
        </w:tc>
        <w:tc>
          <w:tcPr>
            <w:tcW w:w="5860" w:type="dxa"/>
            <w:gridSpan w:val="2"/>
            <w:tcBorders>
              <w:top w:val="single" w:sz="4" w:space="0" w:color="auto"/>
              <w:left w:val="nil"/>
              <w:bottom w:val="single" w:sz="4" w:space="0" w:color="auto"/>
              <w:right w:val="single" w:sz="4" w:space="0" w:color="auto"/>
            </w:tcBorders>
            <w:shd w:val="clear" w:color="auto" w:fill="D9D9D9" w:themeFill="background1" w:themeFillShade="D9"/>
            <w:vAlign w:val="center"/>
          </w:tcPr>
          <w:p w14:paraId="6B823D69" w14:textId="77777777" w:rsidR="00816677" w:rsidRPr="0054775B" w:rsidRDefault="00816677" w:rsidP="00515FE7">
            <w:pPr>
              <w:pStyle w:val="2024TABLEHEADER"/>
            </w:pPr>
            <w:r w:rsidRPr="0054775B">
              <w:t>Priority outcomes</w:t>
            </w:r>
          </w:p>
        </w:tc>
      </w:tr>
      <w:tr w:rsidR="00A70B1C" w:rsidRPr="0054775B" w14:paraId="70B557EA" w14:textId="77777777" w:rsidTr="00816677">
        <w:trPr>
          <w:trHeight w:val="95"/>
        </w:trPr>
        <w:tc>
          <w:tcPr>
            <w:tcW w:w="0" w:type="auto"/>
            <w:vMerge/>
            <w:tcBorders>
              <w:left w:val="single" w:sz="4" w:space="0" w:color="auto"/>
              <w:bottom w:val="single" w:sz="4" w:space="0" w:color="auto"/>
              <w:right w:val="single" w:sz="4" w:space="0" w:color="auto"/>
            </w:tcBorders>
            <w:shd w:val="clear" w:color="auto" w:fill="D9D9D9" w:themeFill="background1" w:themeFillShade="D9"/>
            <w:vAlign w:val="center"/>
          </w:tcPr>
          <w:p w14:paraId="50EFDADD" w14:textId="77777777" w:rsidR="00816677" w:rsidRPr="0054775B" w:rsidRDefault="00816677" w:rsidP="00816677">
            <w:pPr>
              <w:pStyle w:val="2024TABLEHEADER"/>
            </w:pPr>
          </w:p>
        </w:tc>
        <w:tc>
          <w:tcPr>
            <w:tcW w:w="1632" w:type="dxa"/>
            <w:vMerge/>
            <w:tcBorders>
              <w:left w:val="nil"/>
              <w:bottom w:val="single" w:sz="4" w:space="0" w:color="auto"/>
              <w:right w:val="single" w:sz="4" w:space="0" w:color="auto"/>
            </w:tcBorders>
            <w:shd w:val="clear" w:color="auto" w:fill="D9D9D9" w:themeFill="background1" w:themeFillShade="D9"/>
            <w:vAlign w:val="center"/>
          </w:tcPr>
          <w:p w14:paraId="1CAC1F7D" w14:textId="77777777" w:rsidR="00816677" w:rsidRPr="0054775B" w:rsidRDefault="00816677" w:rsidP="00816677">
            <w:pPr>
              <w:pStyle w:val="2024TABLEHEADER"/>
            </w:pPr>
          </w:p>
        </w:tc>
        <w:tc>
          <w:tcPr>
            <w:tcW w:w="1229" w:type="dxa"/>
            <w:vMerge/>
            <w:tcBorders>
              <w:left w:val="nil"/>
              <w:bottom w:val="single" w:sz="4" w:space="0" w:color="auto"/>
              <w:right w:val="single" w:sz="4" w:space="0" w:color="auto"/>
            </w:tcBorders>
            <w:shd w:val="clear" w:color="auto" w:fill="D9D9D9" w:themeFill="background1" w:themeFillShade="D9"/>
            <w:vAlign w:val="center"/>
          </w:tcPr>
          <w:p w14:paraId="1240B1AA" w14:textId="77777777" w:rsidR="00816677" w:rsidRPr="0054775B" w:rsidRDefault="00816677" w:rsidP="00816677">
            <w:pPr>
              <w:pStyle w:val="2024TABLEHEADER"/>
            </w:pPr>
          </w:p>
        </w:tc>
        <w:tc>
          <w:tcPr>
            <w:tcW w:w="758" w:type="dxa"/>
            <w:tcBorders>
              <w:top w:val="nil"/>
              <w:left w:val="nil"/>
              <w:bottom w:val="single" w:sz="4" w:space="0" w:color="auto"/>
              <w:right w:val="single" w:sz="4" w:space="0" w:color="auto"/>
            </w:tcBorders>
            <w:shd w:val="clear" w:color="auto" w:fill="D9D9D9" w:themeFill="background1" w:themeFillShade="D9"/>
            <w:vAlign w:val="center"/>
          </w:tcPr>
          <w:p w14:paraId="56EC8386" w14:textId="77777777" w:rsidR="00816677" w:rsidRPr="0054775B" w:rsidRDefault="00816677" w:rsidP="00816677">
            <w:pPr>
              <w:pStyle w:val="2024TABLEHEADER"/>
            </w:pPr>
            <w:r w:rsidRPr="0054775B">
              <w:t>NTWC Rating</w:t>
            </w:r>
          </w:p>
        </w:tc>
        <w:tc>
          <w:tcPr>
            <w:tcW w:w="5102" w:type="dxa"/>
            <w:tcBorders>
              <w:top w:val="nil"/>
              <w:left w:val="nil"/>
              <w:bottom w:val="single" w:sz="4" w:space="0" w:color="auto"/>
              <w:right w:val="single" w:sz="4" w:space="0" w:color="auto"/>
            </w:tcBorders>
            <w:shd w:val="clear" w:color="auto" w:fill="D9D9D9" w:themeFill="background1" w:themeFillShade="D9"/>
            <w:vAlign w:val="center"/>
          </w:tcPr>
          <w:p w14:paraId="4A7E916F" w14:textId="7AACF419" w:rsidR="00816677" w:rsidRPr="0054775B" w:rsidRDefault="00816677" w:rsidP="00816677">
            <w:pPr>
              <w:pStyle w:val="2024TABLEHEADER"/>
            </w:pPr>
            <w:r w:rsidRPr="0054775B">
              <w:t xml:space="preserve">Outcome </w:t>
            </w:r>
            <w:r w:rsidR="00A8448B">
              <w:t>d</w:t>
            </w:r>
            <w:r w:rsidRPr="0054775B">
              <w:t>omain</w:t>
            </w:r>
          </w:p>
        </w:tc>
      </w:tr>
      <w:tr w:rsidR="002B69D4" w:rsidRPr="0054775B" w14:paraId="3F31785B" w14:textId="77777777" w:rsidTr="001428E8">
        <w:trPr>
          <w:trHeight w:val="95"/>
        </w:trPr>
        <w:tc>
          <w:tcPr>
            <w:tcW w:w="0" w:type="auto"/>
            <w:vMerge w:val="restart"/>
            <w:tcBorders>
              <w:top w:val="nil"/>
              <w:left w:val="single" w:sz="4" w:space="0" w:color="auto"/>
              <w:right w:val="single" w:sz="4" w:space="0" w:color="auto"/>
            </w:tcBorders>
            <w:shd w:val="clear" w:color="auto" w:fill="auto"/>
            <w:vAlign w:val="center"/>
          </w:tcPr>
          <w:p w14:paraId="77FA8F6F" w14:textId="7A89A6A8" w:rsidR="00816677" w:rsidRPr="0054775B" w:rsidRDefault="00816677" w:rsidP="00C54390">
            <w:pPr>
              <w:pStyle w:val="2024TABLETEXT"/>
              <w:framePr w:hSpace="0" w:wrap="auto" w:vAnchor="margin" w:yAlign="inline"/>
              <w:suppressOverlap w:val="0"/>
            </w:pPr>
            <w:r w:rsidRPr="0054775B">
              <w:t>9</w:t>
            </w:r>
          </w:p>
        </w:tc>
        <w:tc>
          <w:tcPr>
            <w:tcW w:w="1632" w:type="dxa"/>
            <w:vMerge w:val="restart"/>
            <w:tcBorders>
              <w:top w:val="nil"/>
              <w:left w:val="nil"/>
              <w:right w:val="single" w:sz="4" w:space="0" w:color="auto"/>
            </w:tcBorders>
            <w:shd w:val="clear" w:color="auto" w:fill="auto"/>
            <w:vAlign w:val="center"/>
          </w:tcPr>
          <w:p w14:paraId="625D9706" w14:textId="0DCB66DB" w:rsidR="00816677" w:rsidRPr="0054775B" w:rsidRDefault="00816677" w:rsidP="00C54390">
            <w:pPr>
              <w:pStyle w:val="2024TABLETEXT"/>
              <w:framePr w:hSpace="0" w:wrap="auto" w:vAnchor="margin" w:yAlign="inline"/>
              <w:suppressOverlap w:val="0"/>
            </w:pPr>
            <w:r w:rsidRPr="0054775B">
              <w:t>Fatigue (general) (including myalgic encephalomyelitis (ME) and Chronic Fatigue Syndrome (CFS))</w:t>
            </w:r>
          </w:p>
        </w:tc>
        <w:tc>
          <w:tcPr>
            <w:tcW w:w="1229" w:type="dxa"/>
            <w:vMerge w:val="restart"/>
            <w:tcBorders>
              <w:top w:val="nil"/>
              <w:left w:val="nil"/>
              <w:right w:val="single" w:sz="4" w:space="0" w:color="auto"/>
            </w:tcBorders>
            <w:shd w:val="clear" w:color="auto" w:fill="auto"/>
            <w:vAlign w:val="center"/>
          </w:tcPr>
          <w:p w14:paraId="3B77AB34" w14:textId="4F35A1B8" w:rsidR="00816677" w:rsidRPr="0054775B" w:rsidRDefault="00816677" w:rsidP="00C54390">
            <w:pPr>
              <w:pStyle w:val="2024TABLETEXT"/>
              <w:framePr w:hSpace="0" w:wrap="auto" w:vAnchor="margin" w:yAlign="inline"/>
              <w:suppressOverlap w:val="0"/>
            </w:pPr>
            <w:r w:rsidRPr="0054775B">
              <w:t>Antioxidants (specifically: CoQ10 and alpha-lipoic acid)</w:t>
            </w:r>
          </w:p>
        </w:tc>
        <w:tc>
          <w:tcPr>
            <w:tcW w:w="758" w:type="dxa"/>
            <w:tcBorders>
              <w:top w:val="nil"/>
              <w:left w:val="nil"/>
              <w:bottom w:val="single" w:sz="4" w:space="0" w:color="auto"/>
              <w:right w:val="single" w:sz="4" w:space="0" w:color="auto"/>
            </w:tcBorders>
            <w:shd w:val="clear" w:color="auto" w:fill="auto"/>
            <w:vAlign w:val="center"/>
          </w:tcPr>
          <w:p w14:paraId="78EFC48D" w14:textId="5789F898" w:rsidR="00816677" w:rsidRPr="0054775B" w:rsidRDefault="00816677" w:rsidP="00C54390">
            <w:pPr>
              <w:pStyle w:val="2024TABLETEXT"/>
              <w:framePr w:hSpace="0" w:wrap="auto" w:vAnchor="margin" w:yAlign="inline"/>
              <w:suppressOverlap w:val="0"/>
            </w:pPr>
            <w:r w:rsidRPr="0054775B">
              <w:t>9</w:t>
            </w:r>
          </w:p>
        </w:tc>
        <w:tc>
          <w:tcPr>
            <w:tcW w:w="5102" w:type="dxa"/>
            <w:tcBorders>
              <w:top w:val="nil"/>
              <w:left w:val="nil"/>
              <w:bottom w:val="single" w:sz="4" w:space="0" w:color="auto"/>
              <w:right w:val="single" w:sz="4" w:space="0" w:color="auto"/>
            </w:tcBorders>
            <w:shd w:val="clear" w:color="auto" w:fill="auto"/>
          </w:tcPr>
          <w:p w14:paraId="21544D2F" w14:textId="6312B682" w:rsidR="00816677" w:rsidRPr="0054775B" w:rsidRDefault="00816677" w:rsidP="00C54390">
            <w:pPr>
              <w:pStyle w:val="2024TABLETEXT"/>
              <w:framePr w:hSpace="0" w:wrap="auto" w:vAnchor="margin" w:yAlign="inline"/>
              <w:suppressOverlap w:val="0"/>
            </w:pPr>
            <w:r w:rsidRPr="0054775B">
              <w:t>Global improvement in fatigue severity/burden</w:t>
            </w:r>
          </w:p>
        </w:tc>
      </w:tr>
      <w:tr w:rsidR="002B69D4" w:rsidRPr="0054775B" w14:paraId="395ECC67" w14:textId="77777777" w:rsidTr="001428E8">
        <w:trPr>
          <w:trHeight w:val="95"/>
        </w:trPr>
        <w:tc>
          <w:tcPr>
            <w:tcW w:w="0" w:type="auto"/>
            <w:vMerge/>
            <w:tcBorders>
              <w:left w:val="single" w:sz="4" w:space="0" w:color="auto"/>
              <w:right w:val="single" w:sz="4" w:space="0" w:color="auto"/>
            </w:tcBorders>
            <w:shd w:val="clear" w:color="auto" w:fill="auto"/>
            <w:vAlign w:val="center"/>
          </w:tcPr>
          <w:p w14:paraId="67E30250" w14:textId="77777777" w:rsidR="00816677" w:rsidRPr="0054775B" w:rsidRDefault="00816677" w:rsidP="00C54390">
            <w:pPr>
              <w:pStyle w:val="2024TABLETEXT"/>
              <w:framePr w:hSpace="0" w:wrap="auto" w:vAnchor="margin" w:yAlign="inline"/>
              <w:suppressOverlap w:val="0"/>
            </w:pPr>
          </w:p>
        </w:tc>
        <w:tc>
          <w:tcPr>
            <w:tcW w:w="1632" w:type="dxa"/>
            <w:vMerge/>
            <w:tcBorders>
              <w:left w:val="nil"/>
              <w:right w:val="single" w:sz="4" w:space="0" w:color="auto"/>
            </w:tcBorders>
            <w:shd w:val="clear" w:color="auto" w:fill="auto"/>
            <w:vAlign w:val="center"/>
          </w:tcPr>
          <w:p w14:paraId="0ADCAD4E" w14:textId="77777777" w:rsidR="00816677" w:rsidRPr="0054775B" w:rsidRDefault="00816677" w:rsidP="00C54390">
            <w:pPr>
              <w:pStyle w:val="2024TABLETEXT"/>
              <w:framePr w:hSpace="0" w:wrap="auto" w:vAnchor="margin" w:yAlign="inline"/>
              <w:suppressOverlap w:val="0"/>
            </w:pPr>
          </w:p>
        </w:tc>
        <w:tc>
          <w:tcPr>
            <w:tcW w:w="1229" w:type="dxa"/>
            <w:vMerge/>
            <w:tcBorders>
              <w:left w:val="nil"/>
              <w:right w:val="single" w:sz="4" w:space="0" w:color="auto"/>
            </w:tcBorders>
            <w:shd w:val="clear" w:color="auto" w:fill="auto"/>
            <w:vAlign w:val="center"/>
          </w:tcPr>
          <w:p w14:paraId="4EF12E93" w14:textId="77777777" w:rsidR="00816677" w:rsidRPr="0054775B" w:rsidRDefault="00816677" w:rsidP="00C54390">
            <w:pPr>
              <w:pStyle w:val="2024TABLETEXT"/>
              <w:framePr w:hSpace="0" w:wrap="auto" w:vAnchor="margin" w:yAlign="inline"/>
              <w:suppressOverlap w:val="0"/>
            </w:pPr>
          </w:p>
        </w:tc>
        <w:tc>
          <w:tcPr>
            <w:tcW w:w="758" w:type="dxa"/>
            <w:tcBorders>
              <w:top w:val="nil"/>
              <w:left w:val="nil"/>
              <w:bottom w:val="single" w:sz="4" w:space="0" w:color="auto"/>
              <w:right w:val="single" w:sz="4" w:space="0" w:color="auto"/>
            </w:tcBorders>
            <w:shd w:val="clear" w:color="auto" w:fill="auto"/>
            <w:vAlign w:val="center"/>
          </w:tcPr>
          <w:p w14:paraId="1594A1CF" w14:textId="5FF08A84" w:rsidR="00816677" w:rsidRPr="0054775B" w:rsidRDefault="00816677" w:rsidP="00C54390">
            <w:pPr>
              <w:pStyle w:val="2024TABLETEXT"/>
              <w:framePr w:hSpace="0" w:wrap="auto" w:vAnchor="margin" w:yAlign="inline"/>
              <w:suppressOverlap w:val="0"/>
            </w:pPr>
            <w:r w:rsidRPr="0054775B">
              <w:t>8</w:t>
            </w:r>
          </w:p>
        </w:tc>
        <w:tc>
          <w:tcPr>
            <w:tcW w:w="5102" w:type="dxa"/>
            <w:tcBorders>
              <w:top w:val="nil"/>
              <w:left w:val="nil"/>
              <w:bottom w:val="single" w:sz="4" w:space="0" w:color="auto"/>
              <w:right w:val="single" w:sz="4" w:space="0" w:color="auto"/>
            </w:tcBorders>
            <w:shd w:val="clear" w:color="auto" w:fill="auto"/>
            <w:vAlign w:val="center"/>
          </w:tcPr>
          <w:p w14:paraId="021044F7" w14:textId="29FEDC5F" w:rsidR="00816677" w:rsidRPr="0054775B" w:rsidRDefault="00816677" w:rsidP="00C54390">
            <w:pPr>
              <w:pStyle w:val="2024TABLETEXT"/>
              <w:framePr w:hSpace="0" w:wrap="auto" w:vAnchor="margin" w:yAlign="inline"/>
              <w:suppressOverlap w:val="0"/>
            </w:pPr>
            <w:r w:rsidRPr="0054775B">
              <w:t>Clinical recovery or improvement (dichotomous)</w:t>
            </w:r>
          </w:p>
        </w:tc>
      </w:tr>
      <w:tr w:rsidR="002B69D4" w:rsidRPr="0054775B" w14:paraId="121FA28E" w14:textId="77777777" w:rsidTr="001428E8">
        <w:trPr>
          <w:trHeight w:val="95"/>
        </w:trPr>
        <w:tc>
          <w:tcPr>
            <w:tcW w:w="0" w:type="auto"/>
            <w:vMerge/>
            <w:tcBorders>
              <w:left w:val="single" w:sz="4" w:space="0" w:color="auto"/>
              <w:right w:val="single" w:sz="4" w:space="0" w:color="auto"/>
            </w:tcBorders>
            <w:shd w:val="clear" w:color="auto" w:fill="auto"/>
            <w:vAlign w:val="center"/>
          </w:tcPr>
          <w:p w14:paraId="04D4705A" w14:textId="77777777" w:rsidR="00816677" w:rsidRPr="0054775B" w:rsidRDefault="00816677" w:rsidP="00C54390">
            <w:pPr>
              <w:pStyle w:val="2024TABLETEXT"/>
              <w:framePr w:hSpace="0" w:wrap="auto" w:vAnchor="margin" w:yAlign="inline"/>
              <w:suppressOverlap w:val="0"/>
            </w:pPr>
          </w:p>
        </w:tc>
        <w:tc>
          <w:tcPr>
            <w:tcW w:w="1632" w:type="dxa"/>
            <w:vMerge/>
            <w:tcBorders>
              <w:left w:val="nil"/>
              <w:right w:val="single" w:sz="4" w:space="0" w:color="auto"/>
            </w:tcBorders>
            <w:shd w:val="clear" w:color="auto" w:fill="auto"/>
            <w:vAlign w:val="center"/>
          </w:tcPr>
          <w:p w14:paraId="64E6D382" w14:textId="77777777" w:rsidR="00816677" w:rsidRPr="0054775B" w:rsidRDefault="00816677" w:rsidP="00C54390">
            <w:pPr>
              <w:pStyle w:val="2024TABLETEXT"/>
              <w:framePr w:hSpace="0" w:wrap="auto" w:vAnchor="margin" w:yAlign="inline"/>
              <w:suppressOverlap w:val="0"/>
            </w:pPr>
          </w:p>
        </w:tc>
        <w:tc>
          <w:tcPr>
            <w:tcW w:w="1229" w:type="dxa"/>
            <w:vMerge/>
            <w:tcBorders>
              <w:left w:val="nil"/>
              <w:right w:val="single" w:sz="4" w:space="0" w:color="auto"/>
            </w:tcBorders>
            <w:shd w:val="clear" w:color="auto" w:fill="auto"/>
            <w:vAlign w:val="center"/>
          </w:tcPr>
          <w:p w14:paraId="064CFF84" w14:textId="77777777" w:rsidR="00816677" w:rsidRPr="0054775B" w:rsidRDefault="00816677" w:rsidP="00C54390">
            <w:pPr>
              <w:pStyle w:val="2024TABLETEXT"/>
              <w:framePr w:hSpace="0" w:wrap="auto" w:vAnchor="margin" w:yAlign="inline"/>
              <w:suppressOverlap w:val="0"/>
            </w:pPr>
          </w:p>
        </w:tc>
        <w:tc>
          <w:tcPr>
            <w:tcW w:w="758" w:type="dxa"/>
            <w:tcBorders>
              <w:top w:val="nil"/>
              <w:left w:val="nil"/>
              <w:bottom w:val="single" w:sz="4" w:space="0" w:color="auto"/>
              <w:right w:val="single" w:sz="4" w:space="0" w:color="auto"/>
            </w:tcBorders>
            <w:shd w:val="clear" w:color="auto" w:fill="auto"/>
            <w:vAlign w:val="center"/>
          </w:tcPr>
          <w:p w14:paraId="52F323E6" w14:textId="3158EA00" w:rsidR="00816677" w:rsidRPr="0054775B" w:rsidRDefault="00816677" w:rsidP="00C54390">
            <w:pPr>
              <w:pStyle w:val="2024TABLETEXT"/>
              <w:framePr w:hSpace="0" w:wrap="auto" w:vAnchor="margin" w:yAlign="inline"/>
              <w:suppressOverlap w:val="0"/>
            </w:pPr>
            <w:r w:rsidRPr="0054775B">
              <w:t>8</w:t>
            </w:r>
          </w:p>
        </w:tc>
        <w:tc>
          <w:tcPr>
            <w:tcW w:w="5102" w:type="dxa"/>
            <w:tcBorders>
              <w:top w:val="nil"/>
              <w:left w:val="nil"/>
              <w:bottom w:val="single" w:sz="4" w:space="0" w:color="auto"/>
              <w:right w:val="single" w:sz="4" w:space="0" w:color="auto"/>
            </w:tcBorders>
            <w:shd w:val="clear" w:color="auto" w:fill="auto"/>
            <w:vAlign w:val="center"/>
          </w:tcPr>
          <w:p w14:paraId="54B50A31" w14:textId="3B15D266" w:rsidR="00816677" w:rsidRPr="0054775B" w:rsidRDefault="00816677" w:rsidP="00C54390">
            <w:pPr>
              <w:pStyle w:val="2024TABLETEXT"/>
              <w:framePr w:hSpace="0" w:wrap="auto" w:vAnchor="margin" w:yAlign="inline"/>
              <w:suppressOverlap w:val="0"/>
            </w:pPr>
            <w:r w:rsidRPr="0054775B">
              <w:t>Self-perceived change in overall health</w:t>
            </w:r>
          </w:p>
        </w:tc>
      </w:tr>
      <w:tr w:rsidR="002B69D4" w:rsidRPr="0054775B" w14:paraId="09319168" w14:textId="77777777" w:rsidTr="001428E8">
        <w:trPr>
          <w:trHeight w:val="95"/>
        </w:trPr>
        <w:tc>
          <w:tcPr>
            <w:tcW w:w="0" w:type="auto"/>
            <w:vMerge/>
            <w:tcBorders>
              <w:left w:val="single" w:sz="4" w:space="0" w:color="auto"/>
              <w:right w:val="single" w:sz="4" w:space="0" w:color="auto"/>
            </w:tcBorders>
            <w:shd w:val="clear" w:color="auto" w:fill="auto"/>
            <w:vAlign w:val="center"/>
          </w:tcPr>
          <w:p w14:paraId="62ABD270" w14:textId="77777777" w:rsidR="00816677" w:rsidRPr="0054775B" w:rsidRDefault="00816677" w:rsidP="00C54390">
            <w:pPr>
              <w:pStyle w:val="2024TABLETEXT"/>
              <w:framePr w:hSpace="0" w:wrap="auto" w:vAnchor="margin" w:yAlign="inline"/>
              <w:suppressOverlap w:val="0"/>
            </w:pPr>
          </w:p>
        </w:tc>
        <w:tc>
          <w:tcPr>
            <w:tcW w:w="1632" w:type="dxa"/>
            <w:vMerge/>
            <w:tcBorders>
              <w:left w:val="nil"/>
              <w:right w:val="single" w:sz="4" w:space="0" w:color="auto"/>
            </w:tcBorders>
            <w:shd w:val="clear" w:color="auto" w:fill="auto"/>
            <w:vAlign w:val="center"/>
          </w:tcPr>
          <w:p w14:paraId="74B4FD02" w14:textId="77777777" w:rsidR="00816677" w:rsidRPr="0054775B" w:rsidRDefault="00816677" w:rsidP="00C54390">
            <w:pPr>
              <w:pStyle w:val="2024TABLETEXT"/>
              <w:framePr w:hSpace="0" w:wrap="auto" w:vAnchor="margin" w:yAlign="inline"/>
              <w:suppressOverlap w:val="0"/>
            </w:pPr>
          </w:p>
        </w:tc>
        <w:tc>
          <w:tcPr>
            <w:tcW w:w="1229" w:type="dxa"/>
            <w:vMerge/>
            <w:tcBorders>
              <w:left w:val="nil"/>
              <w:right w:val="single" w:sz="4" w:space="0" w:color="auto"/>
            </w:tcBorders>
            <w:shd w:val="clear" w:color="auto" w:fill="auto"/>
            <w:vAlign w:val="center"/>
          </w:tcPr>
          <w:p w14:paraId="5E5B2C43" w14:textId="77777777" w:rsidR="00816677" w:rsidRPr="0054775B" w:rsidRDefault="00816677" w:rsidP="00C54390">
            <w:pPr>
              <w:pStyle w:val="2024TABLETEXT"/>
              <w:framePr w:hSpace="0" w:wrap="auto" w:vAnchor="margin" w:yAlign="inline"/>
              <w:suppressOverlap w:val="0"/>
            </w:pPr>
          </w:p>
        </w:tc>
        <w:tc>
          <w:tcPr>
            <w:tcW w:w="758" w:type="dxa"/>
            <w:tcBorders>
              <w:top w:val="nil"/>
              <w:left w:val="nil"/>
              <w:bottom w:val="single" w:sz="4" w:space="0" w:color="auto"/>
              <w:right w:val="single" w:sz="4" w:space="0" w:color="auto"/>
            </w:tcBorders>
            <w:shd w:val="clear" w:color="auto" w:fill="auto"/>
            <w:vAlign w:val="center"/>
          </w:tcPr>
          <w:p w14:paraId="6ABDEDD0" w14:textId="4F356912" w:rsidR="00816677" w:rsidRPr="0054775B" w:rsidRDefault="00816677" w:rsidP="00C54390">
            <w:pPr>
              <w:pStyle w:val="2024TABLETEXT"/>
              <w:framePr w:hSpace="0" w:wrap="auto" w:vAnchor="margin" w:yAlign="inline"/>
              <w:suppressOverlap w:val="0"/>
            </w:pPr>
            <w:r w:rsidRPr="0054775B">
              <w:t>8</w:t>
            </w:r>
          </w:p>
        </w:tc>
        <w:tc>
          <w:tcPr>
            <w:tcW w:w="5102" w:type="dxa"/>
            <w:tcBorders>
              <w:top w:val="nil"/>
              <w:left w:val="nil"/>
              <w:bottom w:val="single" w:sz="4" w:space="0" w:color="auto"/>
              <w:right w:val="single" w:sz="4" w:space="0" w:color="auto"/>
            </w:tcBorders>
            <w:shd w:val="clear" w:color="auto" w:fill="auto"/>
          </w:tcPr>
          <w:p w14:paraId="13593ED9" w14:textId="4F0CC575" w:rsidR="00816677" w:rsidRPr="0054775B" w:rsidRDefault="00816677" w:rsidP="00C54390">
            <w:pPr>
              <w:pStyle w:val="2024TABLETEXT"/>
              <w:framePr w:hSpace="0" w:wrap="auto" w:vAnchor="margin" w:yAlign="inline"/>
              <w:suppressOverlap w:val="0"/>
            </w:pPr>
            <w:r w:rsidRPr="0054775B">
              <w:t>Physical function burden from fatigue</w:t>
            </w:r>
          </w:p>
        </w:tc>
      </w:tr>
      <w:tr w:rsidR="002B69D4" w:rsidRPr="0054775B" w14:paraId="3C212ED2" w14:textId="77777777" w:rsidTr="001428E8">
        <w:trPr>
          <w:trHeight w:val="95"/>
        </w:trPr>
        <w:tc>
          <w:tcPr>
            <w:tcW w:w="0" w:type="auto"/>
            <w:vMerge/>
            <w:tcBorders>
              <w:left w:val="single" w:sz="4" w:space="0" w:color="auto"/>
              <w:right w:val="single" w:sz="4" w:space="0" w:color="auto"/>
            </w:tcBorders>
            <w:shd w:val="clear" w:color="auto" w:fill="auto"/>
            <w:vAlign w:val="center"/>
          </w:tcPr>
          <w:p w14:paraId="4DA3F369" w14:textId="77777777" w:rsidR="00816677" w:rsidRPr="0054775B" w:rsidRDefault="00816677" w:rsidP="00C54390">
            <w:pPr>
              <w:pStyle w:val="2024TABLETEXT"/>
              <w:framePr w:hSpace="0" w:wrap="auto" w:vAnchor="margin" w:yAlign="inline"/>
              <w:suppressOverlap w:val="0"/>
            </w:pPr>
          </w:p>
        </w:tc>
        <w:tc>
          <w:tcPr>
            <w:tcW w:w="1632" w:type="dxa"/>
            <w:vMerge/>
            <w:tcBorders>
              <w:left w:val="nil"/>
              <w:right w:val="single" w:sz="4" w:space="0" w:color="auto"/>
            </w:tcBorders>
            <w:shd w:val="clear" w:color="auto" w:fill="auto"/>
            <w:vAlign w:val="center"/>
          </w:tcPr>
          <w:p w14:paraId="25BDD891" w14:textId="77777777" w:rsidR="00816677" w:rsidRPr="0054775B" w:rsidRDefault="00816677" w:rsidP="00C54390">
            <w:pPr>
              <w:pStyle w:val="2024TABLETEXT"/>
              <w:framePr w:hSpace="0" w:wrap="auto" w:vAnchor="margin" w:yAlign="inline"/>
              <w:suppressOverlap w:val="0"/>
            </w:pPr>
          </w:p>
        </w:tc>
        <w:tc>
          <w:tcPr>
            <w:tcW w:w="1229" w:type="dxa"/>
            <w:vMerge/>
            <w:tcBorders>
              <w:left w:val="nil"/>
              <w:right w:val="single" w:sz="4" w:space="0" w:color="auto"/>
            </w:tcBorders>
            <w:shd w:val="clear" w:color="auto" w:fill="auto"/>
            <w:vAlign w:val="center"/>
          </w:tcPr>
          <w:p w14:paraId="7F29E8D8" w14:textId="77777777" w:rsidR="00816677" w:rsidRPr="0054775B" w:rsidRDefault="00816677" w:rsidP="00C54390">
            <w:pPr>
              <w:pStyle w:val="2024TABLETEXT"/>
              <w:framePr w:hSpace="0" w:wrap="auto" w:vAnchor="margin" w:yAlign="inline"/>
              <w:suppressOverlap w:val="0"/>
            </w:pPr>
          </w:p>
        </w:tc>
        <w:tc>
          <w:tcPr>
            <w:tcW w:w="758" w:type="dxa"/>
            <w:tcBorders>
              <w:top w:val="nil"/>
              <w:left w:val="nil"/>
              <w:bottom w:val="single" w:sz="4" w:space="0" w:color="auto"/>
              <w:right w:val="single" w:sz="4" w:space="0" w:color="auto"/>
            </w:tcBorders>
            <w:shd w:val="clear" w:color="auto" w:fill="auto"/>
            <w:vAlign w:val="center"/>
          </w:tcPr>
          <w:p w14:paraId="05D6B330" w14:textId="38000540" w:rsidR="00816677" w:rsidRPr="0054775B" w:rsidRDefault="00816677" w:rsidP="00C54390">
            <w:pPr>
              <w:pStyle w:val="2024TABLETEXT"/>
              <w:framePr w:hSpace="0" w:wrap="auto" w:vAnchor="margin" w:yAlign="inline"/>
              <w:suppressOverlap w:val="0"/>
            </w:pPr>
            <w:r w:rsidRPr="0054775B">
              <w:t>8</w:t>
            </w:r>
          </w:p>
        </w:tc>
        <w:tc>
          <w:tcPr>
            <w:tcW w:w="5102" w:type="dxa"/>
            <w:tcBorders>
              <w:top w:val="nil"/>
              <w:left w:val="nil"/>
              <w:bottom w:val="single" w:sz="4" w:space="0" w:color="auto"/>
              <w:right w:val="single" w:sz="4" w:space="0" w:color="auto"/>
            </w:tcBorders>
            <w:shd w:val="clear" w:color="auto" w:fill="auto"/>
          </w:tcPr>
          <w:p w14:paraId="18A4F090" w14:textId="73D649BB" w:rsidR="00816677" w:rsidRPr="0054775B" w:rsidRDefault="00816677" w:rsidP="00C54390">
            <w:pPr>
              <w:pStyle w:val="2024TABLETEXT"/>
              <w:framePr w:hSpace="0" w:wrap="auto" w:vAnchor="margin" w:yAlign="inline"/>
              <w:suppressOverlap w:val="0"/>
            </w:pPr>
            <w:r w:rsidRPr="0054775B">
              <w:t>HRQoL</w:t>
            </w:r>
          </w:p>
        </w:tc>
      </w:tr>
      <w:tr w:rsidR="002B69D4" w:rsidRPr="0054775B" w14:paraId="7E81FB68" w14:textId="77777777" w:rsidTr="001428E8">
        <w:trPr>
          <w:trHeight w:val="95"/>
        </w:trPr>
        <w:tc>
          <w:tcPr>
            <w:tcW w:w="0" w:type="auto"/>
            <w:vMerge/>
            <w:tcBorders>
              <w:left w:val="single" w:sz="4" w:space="0" w:color="auto"/>
              <w:right w:val="single" w:sz="4" w:space="0" w:color="auto"/>
            </w:tcBorders>
            <w:shd w:val="clear" w:color="auto" w:fill="auto"/>
            <w:vAlign w:val="center"/>
          </w:tcPr>
          <w:p w14:paraId="600E13BE" w14:textId="77777777" w:rsidR="00816677" w:rsidRPr="0054775B" w:rsidRDefault="00816677" w:rsidP="00C54390">
            <w:pPr>
              <w:pStyle w:val="2024TABLETEXT"/>
              <w:framePr w:hSpace="0" w:wrap="auto" w:vAnchor="margin" w:yAlign="inline"/>
              <w:suppressOverlap w:val="0"/>
            </w:pPr>
          </w:p>
        </w:tc>
        <w:tc>
          <w:tcPr>
            <w:tcW w:w="1632" w:type="dxa"/>
            <w:vMerge/>
            <w:tcBorders>
              <w:left w:val="nil"/>
              <w:right w:val="single" w:sz="4" w:space="0" w:color="auto"/>
            </w:tcBorders>
            <w:shd w:val="clear" w:color="auto" w:fill="auto"/>
            <w:vAlign w:val="center"/>
          </w:tcPr>
          <w:p w14:paraId="1718379E" w14:textId="77777777" w:rsidR="00816677" w:rsidRPr="0054775B" w:rsidRDefault="00816677" w:rsidP="00C54390">
            <w:pPr>
              <w:pStyle w:val="2024TABLETEXT"/>
              <w:framePr w:hSpace="0" w:wrap="auto" w:vAnchor="margin" w:yAlign="inline"/>
              <w:suppressOverlap w:val="0"/>
            </w:pPr>
          </w:p>
        </w:tc>
        <w:tc>
          <w:tcPr>
            <w:tcW w:w="1229" w:type="dxa"/>
            <w:vMerge/>
            <w:tcBorders>
              <w:left w:val="nil"/>
              <w:right w:val="single" w:sz="4" w:space="0" w:color="auto"/>
            </w:tcBorders>
            <w:shd w:val="clear" w:color="auto" w:fill="auto"/>
            <w:vAlign w:val="center"/>
          </w:tcPr>
          <w:p w14:paraId="171A68D7" w14:textId="77777777" w:rsidR="00816677" w:rsidRPr="0054775B" w:rsidRDefault="00816677" w:rsidP="00C54390">
            <w:pPr>
              <w:pStyle w:val="2024TABLETEXT"/>
              <w:framePr w:hSpace="0" w:wrap="auto" w:vAnchor="margin" w:yAlign="inline"/>
              <w:suppressOverlap w:val="0"/>
            </w:pPr>
          </w:p>
        </w:tc>
        <w:tc>
          <w:tcPr>
            <w:tcW w:w="758" w:type="dxa"/>
            <w:tcBorders>
              <w:top w:val="nil"/>
              <w:left w:val="nil"/>
              <w:bottom w:val="single" w:sz="4" w:space="0" w:color="auto"/>
              <w:right w:val="single" w:sz="4" w:space="0" w:color="auto"/>
            </w:tcBorders>
            <w:shd w:val="clear" w:color="auto" w:fill="auto"/>
            <w:vAlign w:val="center"/>
          </w:tcPr>
          <w:p w14:paraId="6B34BBAC" w14:textId="7ED770D5" w:rsidR="00816677" w:rsidRPr="0054775B" w:rsidRDefault="00816677" w:rsidP="00C54390">
            <w:pPr>
              <w:pStyle w:val="2024TABLETEXT"/>
              <w:framePr w:hSpace="0" w:wrap="auto" w:vAnchor="margin" w:yAlign="inline"/>
              <w:suppressOverlap w:val="0"/>
            </w:pPr>
            <w:r w:rsidRPr="0054775B">
              <w:t>7</w:t>
            </w:r>
          </w:p>
        </w:tc>
        <w:tc>
          <w:tcPr>
            <w:tcW w:w="5102" w:type="dxa"/>
            <w:tcBorders>
              <w:top w:val="nil"/>
              <w:left w:val="nil"/>
              <w:bottom w:val="single" w:sz="4" w:space="0" w:color="auto"/>
              <w:right w:val="single" w:sz="4" w:space="0" w:color="auto"/>
            </w:tcBorders>
            <w:shd w:val="clear" w:color="auto" w:fill="auto"/>
          </w:tcPr>
          <w:p w14:paraId="61109ED5" w14:textId="2A109CC8" w:rsidR="00816677" w:rsidRPr="0054775B" w:rsidRDefault="00816677" w:rsidP="00C54390">
            <w:pPr>
              <w:pStyle w:val="2024TABLETEXT"/>
              <w:framePr w:hSpace="0" w:wrap="auto" w:vAnchor="margin" w:yAlign="inline"/>
              <w:suppressOverlap w:val="0"/>
            </w:pPr>
            <w:r w:rsidRPr="0054775B">
              <w:t>Cognitive function burden from fatigue</w:t>
            </w:r>
          </w:p>
        </w:tc>
      </w:tr>
      <w:tr w:rsidR="00CA696B" w:rsidRPr="0054775B" w14:paraId="3F859B69" w14:textId="77777777" w:rsidTr="001428E8">
        <w:trPr>
          <w:trHeight w:val="95"/>
        </w:trPr>
        <w:tc>
          <w:tcPr>
            <w:tcW w:w="0" w:type="auto"/>
            <w:vMerge/>
            <w:tcBorders>
              <w:left w:val="single" w:sz="4" w:space="0" w:color="auto"/>
              <w:bottom w:val="single" w:sz="4" w:space="0" w:color="auto"/>
              <w:right w:val="single" w:sz="4" w:space="0" w:color="auto"/>
            </w:tcBorders>
            <w:shd w:val="clear" w:color="auto" w:fill="auto"/>
            <w:vAlign w:val="center"/>
          </w:tcPr>
          <w:p w14:paraId="5B96BA31" w14:textId="77777777" w:rsidR="00816677" w:rsidRPr="0054775B" w:rsidRDefault="00816677" w:rsidP="00C54390">
            <w:pPr>
              <w:pStyle w:val="2024TABLETEXT"/>
              <w:framePr w:hSpace="0" w:wrap="auto" w:vAnchor="margin" w:yAlign="inline"/>
              <w:suppressOverlap w:val="0"/>
            </w:pPr>
          </w:p>
        </w:tc>
        <w:tc>
          <w:tcPr>
            <w:tcW w:w="1632" w:type="dxa"/>
            <w:vMerge/>
            <w:tcBorders>
              <w:left w:val="nil"/>
              <w:bottom w:val="single" w:sz="4" w:space="0" w:color="auto"/>
              <w:right w:val="single" w:sz="4" w:space="0" w:color="auto"/>
            </w:tcBorders>
            <w:shd w:val="clear" w:color="auto" w:fill="auto"/>
            <w:vAlign w:val="center"/>
          </w:tcPr>
          <w:p w14:paraId="4071DBEB" w14:textId="77777777" w:rsidR="00816677" w:rsidRPr="0054775B" w:rsidRDefault="00816677" w:rsidP="00C54390">
            <w:pPr>
              <w:pStyle w:val="2024TABLETEXT"/>
              <w:framePr w:hSpace="0" w:wrap="auto" w:vAnchor="margin" w:yAlign="inline"/>
              <w:suppressOverlap w:val="0"/>
            </w:pPr>
          </w:p>
        </w:tc>
        <w:tc>
          <w:tcPr>
            <w:tcW w:w="1229" w:type="dxa"/>
            <w:vMerge/>
            <w:tcBorders>
              <w:left w:val="nil"/>
              <w:bottom w:val="single" w:sz="4" w:space="0" w:color="auto"/>
              <w:right w:val="single" w:sz="4" w:space="0" w:color="auto"/>
            </w:tcBorders>
            <w:shd w:val="clear" w:color="auto" w:fill="auto"/>
            <w:vAlign w:val="center"/>
          </w:tcPr>
          <w:p w14:paraId="6B0E9259" w14:textId="77777777" w:rsidR="00816677" w:rsidRPr="0054775B" w:rsidRDefault="00816677" w:rsidP="00C54390">
            <w:pPr>
              <w:pStyle w:val="2024TABLETEXT"/>
              <w:framePr w:hSpace="0" w:wrap="auto" w:vAnchor="margin" w:yAlign="inline"/>
              <w:suppressOverlap w:val="0"/>
            </w:pPr>
          </w:p>
        </w:tc>
        <w:tc>
          <w:tcPr>
            <w:tcW w:w="758" w:type="dxa"/>
            <w:tcBorders>
              <w:top w:val="nil"/>
              <w:left w:val="nil"/>
              <w:bottom w:val="single" w:sz="4" w:space="0" w:color="auto"/>
              <w:right w:val="single" w:sz="4" w:space="0" w:color="auto"/>
            </w:tcBorders>
            <w:shd w:val="clear" w:color="auto" w:fill="auto"/>
            <w:vAlign w:val="center"/>
          </w:tcPr>
          <w:p w14:paraId="29114137" w14:textId="5A5B72CE" w:rsidR="00816677" w:rsidRPr="0054775B" w:rsidRDefault="00816677" w:rsidP="00C54390">
            <w:pPr>
              <w:pStyle w:val="2024TABLETEXT"/>
              <w:framePr w:hSpace="0" w:wrap="auto" w:vAnchor="margin" w:yAlign="inline"/>
              <w:suppressOverlap w:val="0"/>
            </w:pPr>
            <w:r w:rsidRPr="0054775B">
              <w:t>7</w:t>
            </w:r>
          </w:p>
        </w:tc>
        <w:tc>
          <w:tcPr>
            <w:tcW w:w="5102" w:type="dxa"/>
            <w:tcBorders>
              <w:top w:val="nil"/>
              <w:left w:val="nil"/>
              <w:bottom w:val="single" w:sz="4" w:space="0" w:color="auto"/>
              <w:right w:val="single" w:sz="4" w:space="0" w:color="auto"/>
            </w:tcBorders>
            <w:shd w:val="clear" w:color="auto" w:fill="auto"/>
          </w:tcPr>
          <w:p w14:paraId="15FFAF94" w14:textId="015033FD" w:rsidR="00816677" w:rsidRPr="0054775B" w:rsidRDefault="00816677" w:rsidP="00C54390">
            <w:pPr>
              <w:pStyle w:val="2024TABLETEXT"/>
              <w:framePr w:hSpace="0" w:wrap="auto" w:vAnchor="margin" w:yAlign="inline"/>
              <w:suppressOverlap w:val="0"/>
            </w:pPr>
            <w:r w:rsidRPr="0054775B">
              <w:t>Sleep quality/quantity</w:t>
            </w:r>
          </w:p>
        </w:tc>
      </w:tr>
    </w:tbl>
    <w:p w14:paraId="4113F4EF" w14:textId="77777777" w:rsidR="00165FEC" w:rsidRPr="0054775B" w:rsidRDefault="00165FEC" w:rsidP="00515FE7">
      <w:pPr>
        <w:pStyle w:val="2024TABLEFOOTER"/>
      </w:pPr>
      <w:r w:rsidRPr="0054775B">
        <w:t>Abbreviations: BP=blood pressure; HRQoL=health-related quality of life; NTWC=Natural Therapies Working Group</w:t>
      </w:r>
    </w:p>
    <w:p w14:paraId="35A83ABC" w14:textId="77777777" w:rsidR="00165FEC" w:rsidRPr="0054775B" w:rsidRDefault="00165FEC" w:rsidP="00515FE7">
      <w:pPr>
        <w:pStyle w:val="2024TABLEFOOTER"/>
      </w:pPr>
      <w:r w:rsidRPr="0054775B">
        <w:tab/>
        <w:t>*1-3 = of limited importance to decision making; 4-6 = important, but not critical, to decision making; 7-9 = critical for decision-making</w:t>
      </w:r>
    </w:p>
    <w:p w14:paraId="71718F7B" w14:textId="77777777" w:rsidR="00512BBE" w:rsidRPr="0054775B" w:rsidRDefault="00512BBE" w:rsidP="009E6F7F">
      <w:pPr>
        <w:pStyle w:val="2024HEADER3"/>
        <w:rPr>
          <w:rFonts w:ascii="Aptos" w:hAnsi="Aptos"/>
        </w:rPr>
      </w:pPr>
      <w:r w:rsidRPr="0054775B">
        <w:rPr>
          <w:rFonts w:ascii="Aptos" w:hAnsi="Aptos"/>
        </w:rPr>
        <w:t>Search findings</w:t>
      </w:r>
    </w:p>
    <w:p w14:paraId="2C9A4ABC" w14:textId="7E2F3DC7" w:rsidR="00512BBE" w:rsidRPr="0054775B" w:rsidRDefault="00512BBE" w:rsidP="009E6F7F">
      <w:r w:rsidRPr="0054775B">
        <w:t xml:space="preserve">In total, </w:t>
      </w:r>
      <w:r w:rsidR="002F7EA3" w:rsidRPr="0054775B">
        <w:t>1</w:t>
      </w:r>
      <w:r w:rsidR="00741D72" w:rsidRPr="0054775B">
        <w:t>,</w:t>
      </w:r>
      <w:r w:rsidR="002F7EA3" w:rsidRPr="0054775B">
        <w:t>006</w:t>
      </w:r>
      <w:r w:rsidRPr="0054775B">
        <w:t xml:space="preserve"> </w:t>
      </w:r>
      <w:r w:rsidR="003C2AC9">
        <w:t>reviews</w:t>
      </w:r>
      <w:r w:rsidR="003C2AC9" w:rsidRPr="0054775B">
        <w:t xml:space="preserve"> </w:t>
      </w:r>
      <w:r w:rsidRPr="0054775B">
        <w:t>were identified in the searches</w:t>
      </w:r>
      <w:r w:rsidR="00E54485" w:rsidRPr="0054775B">
        <w:t xml:space="preserve"> after de-duplication</w:t>
      </w:r>
      <w:r w:rsidR="00AF632E" w:rsidRPr="0054775B">
        <w:t xml:space="preserve"> and underwent screening</w:t>
      </w:r>
      <w:r w:rsidRPr="0054775B">
        <w:t>. No</w:t>
      </w:r>
      <w:r w:rsidR="001D5676" w:rsidRPr="0054775B">
        <w:t>ne of the</w:t>
      </w:r>
      <w:r w:rsidRPr="0054775B">
        <w:t xml:space="preserve"> </w:t>
      </w:r>
      <w:r w:rsidR="003C2AC9">
        <w:t>reviews</w:t>
      </w:r>
      <w:r w:rsidR="003C2AC9" w:rsidRPr="0054775B">
        <w:t xml:space="preserve"> </w:t>
      </w:r>
      <w:r w:rsidRPr="0054775B">
        <w:t>provided by the Department’s call for evidence</w:t>
      </w:r>
      <w:r w:rsidR="001D5676" w:rsidRPr="0054775B">
        <w:t xml:space="preserve"> </w:t>
      </w:r>
      <w:r w:rsidR="00AF632E" w:rsidRPr="0054775B">
        <w:t xml:space="preserve">were relevant to </w:t>
      </w:r>
      <w:r w:rsidR="001D5676" w:rsidRPr="0054775B">
        <w:t>this population-</w:t>
      </w:r>
      <w:r w:rsidR="0032560B">
        <w:t>supplement pair</w:t>
      </w:r>
      <w:r w:rsidRPr="0054775B">
        <w:t xml:space="preserve">. After title and abstract screening, </w:t>
      </w:r>
      <w:r w:rsidR="00C43DEB" w:rsidRPr="0054775B">
        <w:t>27</w:t>
      </w:r>
      <w:r w:rsidRPr="0054775B">
        <w:t xml:space="preserve"> </w:t>
      </w:r>
      <w:r w:rsidR="003C2AC9">
        <w:t>reviews</w:t>
      </w:r>
      <w:r w:rsidR="003C2AC9" w:rsidRPr="0054775B">
        <w:t xml:space="preserve"> </w:t>
      </w:r>
      <w:r w:rsidRPr="0054775B">
        <w:t xml:space="preserve">were </w:t>
      </w:r>
      <w:r w:rsidR="00E54485" w:rsidRPr="0054775B">
        <w:t>sought for retrieval for</w:t>
      </w:r>
      <w:r w:rsidRPr="0054775B">
        <w:t xml:space="preserve"> full-text screening: </w:t>
      </w:r>
    </w:p>
    <w:p w14:paraId="2FB84D55" w14:textId="550757F5" w:rsidR="00C64E12" w:rsidRPr="0054775B" w:rsidRDefault="00C64E12" w:rsidP="00107BEE">
      <w:pPr>
        <w:pStyle w:val="ListParagraph"/>
        <w:numPr>
          <w:ilvl w:val="0"/>
          <w:numId w:val="6"/>
        </w:numPr>
      </w:pPr>
      <w:r w:rsidRPr="0054775B">
        <w:t xml:space="preserve">6 </w:t>
      </w:r>
      <w:r w:rsidR="003C2AC9">
        <w:t>reviews</w:t>
      </w:r>
      <w:r w:rsidR="003C2AC9" w:rsidRPr="0054775B">
        <w:t xml:space="preserve"> </w:t>
      </w:r>
      <w:r w:rsidRPr="0054775B">
        <w:t>were ongoing (</w:t>
      </w:r>
      <w:r w:rsidR="007D2E60" w:rsidRPr="0054775B">
        <w:t xml:space="preserve">citation details recorded in Appendix </w:t>
      </w:r>
      <w:r w:rsidR="00836CC7">
        <w:t>C4</w:t>
      </w:r>
      <w:r w:rsidRPr="0054775B">
        <w:t>)</w:t>
      </w:r>
    </w:p>
    <w:p w14:paraId="4F551449" w14:textId="25DC7D8F" w:rsidR="002C5E05" w:rsidRPr="0054775B" w:rsidRDefault="002C5E05" w:rsidP="00107BEE">
      <w:pPr>
        <w:pStyle w:val="ListParagraph"/>
        <w:numPr>
          <w:ilvl w:val="0"/>
          <w:numId w:val="6"/>
        </w:numPr>
      </w:pPr>
      <w:r w:rsidRPr="0054775B">
        <w:t>1</w:t>
      </w:r>
      <w:r w:rsidRPr="0054775B" w:rsidDel="003C2AC9">
        <w:t xml:space="preserve"> </w:t>
      </w:r>
      <w:r w:rsidR="003C2AC9">
        <w:t>review</w:t>
      </w:r>
      <w:r w:rsidR="003C2AC9" w:rsidRPr="0054775B">
        <w:t xml:space="preserve"> </w:t>
      </w:r>
      <w:r w:rsidRPr="0054775B">
        <w:t>was discontinued</w:t>
      </w:r>
    </w:p>
    <w:p w14:paraId="3631DB19" w14:textId="35980C2B" w:rsidR="00512BBE" w:rsidRPr="0054775B" w:rsidRDefault="00C43DEB" w:rsidP="00107BEE">
      <w:pPr>
        <w:pStyle w:val="ListParagraph"/>
        <w:numPr>
          <w:ilvl w:val="0"/>
          <w:numId w:val="6"/>
        </w:numPr>
      </w:pPr>
      <w:r w:rsidRPr="0054775B">
        <w:t>1</w:t>
      </w:r>
      <w:r w:rsidR="00D278E7" w:rsidRPr="0054775B">
        <w:t>4</w:t>
      </w:r>
      <w:r w:rsidR="00512BBE" w:rsidRPr="0054775B" w:rsidDel="003C2AC9">
        <w:t xml:space="preserve"> </w:t>
      </w:r>
      <w:r w:rsidR="003C2AC9">
        <w:t>reviews</w:t>
      </w:r>
      <w:r w:rsidR="003C2AC9" w:rsidRPr="0054775B">
        <w:t xml:space="preserve"> </w:t>
      </w:r>
      <w:r w:rsidR="00512BBE" w:rsidRPr="0054775B">
        <w:t xml:space="preserve">did not meet inclusion criteria (citation details and </w:t>
      </w:r>
      <w:r w:rsidR="001332AF" w:rsidRPr="0054775B">
        <w:t xml:space="preserve">reasons for exclusion recorded in Appendix </w:t>
      </w:r>
      <w:r w:rsidR="006736A9">
        <w:t>C1</w:t>
      </w:r>
      <w:r w:rsidR="00512BBE" w:rsidRPr="0054775B">
        <w:t xml:space="preserve">) </w:t>
      </w:r>
    </w:p>
    <w:p w14:paraId="28A6AE61" w14:textId="696F6830" w:rsidR="00512BBE" w:rsidRPr="0054775B" w:rsidRDefault="00512BBE" w:rsidP="009E6F7F">
      <w:r w:rsidRPr="0054775B">
        <w:t xml:space="preserve">A final </w:t>
      </w:r>
      <w:r w:rsidR="003E6FA4" w:rsidRPr="0054775B">
        <w:t>6</w:t>
      </w:r>
      <w:r w:rsidRPr="0054775B">
        <w:t xml:space="preserve"> </w:t>
      </w:r>
      <w:r w:rsidR="00104480" w:rsidRPr="0054775B">
        <w:t xml:space="preserve">reviews </w:t>
      </w:r>
      <w:r w:rsidRPr="0054775B">
        <w:t xml:space="preserve">met the inclusion criteria. Characteristics of included reviews are presented in Appendix </w:t>
      </w:r>
      <w:r w:rsidR="006736A9">
        <w:t>D</w:t>
      </w:r>
      <w:r w:rsidRPr="0054775B">
        <w:t>. A full PRISMA flowchart is presented below.</w:t>
      </w:r>
      <w:r w:rsidRPr="0054775B">
        <w:rPr>
          <w:highlight w:val="yellow"/>
        </w:rPr>
        <w:t xml:space="preserve"> </w:t>
      </w:r>
    </w:p>
    <w:p w14:paraId="0CD88503" w14:textId="17F65E5C" w:rsidR="00512BBE" w:rsidRPr="0054775B" w:rsidRDefault="00512BBE" w:rsidP="00515FE7">
      <w:pPr>
        <w:pStyle w:val="2024TABLECAPTION"/>
        <w:rPr>
          <w:rFonts w:ascii="Aptos" w:hAnsi="Aptos"/>
        </w:rPr>
      </w:pPr>
      <w:bookmarkStart w:id="103" w:name="_Toc178348012"/>
      <w:r w:rsidRPr="0054775B">
        <w:rPr>
          <w:rFonts w:ascii="Aptos" w:hAnsi="Aptos"/>
        </w:rPr>
        <w:lastRenderedPageBreak/>
        <w:t xml:space="preserve">Figure </w:t>
      </w:r>
      <w:r w:rsidR="002F1F6C" w:rsidRPr="0054775B">
        <w:rPr>
          <w:rFonts w:ascii="Aptos" w:hAnsi="Aptos"/>
        </w:rPr>
        <w:fldChar w:fldCharType="begin"/>
      </w:r>
      <w:r w:rsidR="002F1F6C" w:rsidRPr="0054775B">
        <w:rPr>
          <w:rFonts w:ascii="Aptos" w:hAnsi="Aptos"/>
        </w:rPr>
        <w:instrText xml:space="preserve"> SEQ Figure \* ARABIC </w:instrText>
      </w:r>
      <w:r w:rsidR="002F1F6C" w:rsidRPr="0054775B">
        <w:rPr>
          <w:rFonts w:ascii="Aptos" w:hAnsi="Aptos"/>
        </w:rPr>
        <w:fldChar w:fldCharType="separate"/>
      </w:r>
      <w:r w:rsidR="002C256B">
        <w:rPr>
          <w:rFonts w:ascii="Aptos" w:hAnsi="Aptos"/>
          <w:noProof/>
        </w:rPr>
        <w:t>9</w:t>
      </w:r>
      <w:r w:rsidR="002F1F6C" w:rsidRPr="0054775B">
        <w:rPr>
          <w:rFonts w:ascii="Aptos" w:hAnsi="Aptos"/>
        </w:rPr>
        <w:fldChar w:fldCharType="end"/>
      </w:r>
      <w:r w:rsidRPr="0054775B">
        <w:rPr>
          <w:rFonts w:ascii="Aptos" w:hAnsi="Aptos"/>
        </w:rPr>
        <w:t xml:space="preserve">. PRISMA flowchart – </w:t>
      </w:r>
      <w:r w:rsidR="002749E7" w:rsidRPr="0054775B">
        <w:rPr>
          <w:rFonts w:ascii="Aptos" w:hAnsi="Aptos"/>
        </w:rPr>
        <w:t>f</w:t>
      </w:r>
      <w:r w:rsidR="00ED579C" w:rsidRPr="0054775B">
        <w:rPr>
          <w:rFonts w:ascii="Aptos" w:hAnsi="Aptos"/>
        </w:rPr>
        <w:t xml:space="preserve">atigue (general) (including </w:t>
      </w:r>
      <w:r w:rsidR="002749E7" w:rsidRPr="0054775B">
        <w:rPr>
          <w:rFonts w:ascii="Aptos" w:hAnsi="Aptos"/>
        </w:rPr>
        <w:t>CFS and ME</w:t>
      </w:r>
      <w:r w:rsidR="00ED579C" w:rsidRPr="0054775B">
        <w:rPr>
          <w:rFonts w:ascii="Aptos" w:hAnsi="Aptos"/>
        </w:rPr>
        <w:t xml:space="preserve">), </w:t>
      </w:r>
      <w:r w:rsidR="002749E7" w:rsidRPr="0054775B">
        <w:rPr>
          <w:rFonts w:ascii="Aptos" w:hAnsi="Aptos"/>
        </w:rPr>
        <w:t>a</w:t>
      </w:r>
      <w:r w:rsidR="00ED579C" w:rsidRPr="0054775B">
        <w:rPr>
          <w:rFonts w:ascii="Aptos" w:hAnsi="Aptos"/>
        </w:rPr>
        <w:t>ntioxidants (specifically CoQ10 and alpha-lipoic acid)</w:t>
      </w:r>
      <w:r w:rsidRPr="0054775B">
        <w:rPr>
          <w:rFonts w:ascii="Aptos" w:hAnsi="Aptos"/>
        </w:rPr>
        <w:t>.</w:t>
      </w:r>
      <w:bookmarkEnd w:id="103"/>
    </w:p>
    <w:p w14:paraId="6973838D" w14:textId="77777777" w:rsidR="00512BBE" w:rsidRPr="0054775B" w:rsidRDefault="00512BBE" w:rsidP="009E6F7F">
      <w:r w:rsidRPr="0054775B">
        <w:rPr>
          <w:noProof/>
          <w:highlight w:val="yellow"/>
        </w:rPr>
        <mc:AlternateContent>
          <mc:Choice Requires="wpg">
            <w:drawing>
              <wp:anchor distT="0" distB="0" distL="114300" distR="114300" simplePos="0" relativeHeight="251658246" behindDoc="0" locked="0" layoutInCell="1" allowOverlap="1" wp14:anchorId="4F8FDF93" wp14:editId="38EACE33">
                <wp:simplePos x="0" y="0"/>
                <wp:positionH relativeFrom="column">
                  <wp:posOffset>8890</wp:posOffset>
                </wp:positionH>
                <wp:positionV relativeFrom="paragraph">
                  <wp:posOffset>144780</wp:posOffset>
                </wp:positionV>
                <wp:extent cx="5339080" cy="4646295"/>
                <wp:effectExtent l="0" t="0" r="7620" b="14605"/>
                <wp:wrapSquare wrapText="bothSides"/>
                <wp:docPr id="398987311" name="Group 398987311"/>
                <wp:cNvGraphicFramePr/>
                <a:graphic xmlns:a="http://schemas.openxmlformats.org/drawingml/2006/main">
                  <a:graphicData uri="http://schemas.microsoft.com/office/word/2010/wordprocessingGroup">
                    <wpg:wgp>
                      <wpg:cNvGrpSpPr/>
                      <wpg:grpSpPr>
                        <a:xfrm>
                          <a:off x="0" y="0"/>
                          <a:ext cx="5339080" cy="4646295"/>
                          <a:chOff x="0" y="0"/>
                          <a:chExt cx="5536496" cy="4725668"/>
                        </a:xfrm>
                      </wpg:grpSpPr>
                      <wps:wsp>
                        <wps:cNvPr id="2065959732" name="Rectangle 2065959732"/>
                        <wps:cNvSpPr/>
                        <wps:spPr>
                          <a:xfrm>
                            <a:off x="3180705" y="425302"/>
                            <a:ext cx="2355790" cy="83947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A1DFAF6" w14:textId="77777777" w:rsidR="00512BBE" w:rsidRPr="000A34EA" w:rsidRDefault="00512BBE" w:rsidP="00515FE7">
                              <w:pPr>
                                <w:pStyle w:val="2024-PRISMA"/>
                              </w:pPr>
                              <w:r w:rsidRPr="000A34EA">
                                <w:t>Records removed before screening:</w:t>
                              </w:r>
                            </w:p>
                            <w:p w14:paraId="6B31B0B1" w14:textId="2FAE85F3" w:rsidR="00512BBE" w:rsidRPr="000A34EA" w:rsidRDefault="00512BBE" w:rsidP="00515FE7">
                              <w:pPr>
                                <w:pStyle w:val="2024-PRISMA"/>
                              </w:pPr>
                              <w:r w:rsidRPr="000A34EA">
                                <w:t xml:space="preserve">Duplicate records removed (n = </w:t>
                              </w:r>
                              <w:r w:rsidR="009078F8">
                                <w:t>19</w:t>
                              </w:r>
                              <w:r w:rsidRPr="000A34EA">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92140715" name="Rectangle 492140715"/>
                        <wps:cNvSpPr/>
                        <wps:spPr>
                          <a:xfrm>
                            <a:off x="2987749" y="1509823"/>
                            <a:ext cx="1887220" cy="52641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C8464F0" w14:textId="77777777" w:rsidR="00512BBE" w:rsidRPr="000A34EA" w:rsidRDefault="00512BBE" w:rsidP="00515FE7">
                              <w:pPr>
                                <w:pStyle w:val="2024-PRISMA"/>
                              </w:pPr>
                              <w:r w:rsidRPr="000A34EA">
                                <w:t>Records excluded</w:t>
                              </w:r>
                            </w:p>
                            <w:p w14:paraId="7E214C6F" w14:textId="213C1119" w:rsidR="00512BBE" w:rsidRPr="000A34EA" w:rsidRDefault="00512BBE" w:rsidP="00515FE7">
                              <w:pPr>
                                <w:pStyle w:val="2024-PRISMA"/>
                              </w:pPr>
                              <w:r w:rsidRPr="000A34EA">
                                <w:t xml:space="preserve">(n = </w:t>
                              </w:r>
                              <w:r w:rsidR="009078F8">
                                <w:t>9</w:t>
                              </w:r>
                              <w:r w:rsidR="009465F7">
                                <w:t>8</w:t>
                              </w:r>
                              <w:r w:rsidR="00895F76">
                                <w:t>0</w:t>
                              </w:r>
                              <w:r w:rsidRPr="000A34EA">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39386520" name="Rectangle 1739386520"/>
                        <wps:cNvSpPr/>
                        <wps:spPr>
                          <a:xfrm>
                            <a:off x="2987749" y="2136285"/>
                            <a:ext cx="2351878" cy="736183"/>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E1A3CCE" w14:textId="7ACF8299" w:rsidR="00512BBE" w:rsidRDefault="003E4E12" w:rsidP="00515FE7">
                              <w:pPr>
                                <w:pStyle w:val="2024-PRISMA"/>
                              </w:pPr>
                              <w:r>
                                <w:t>Discontinued study</w:t>
                              </w:r>
                              <w:r w:rsidR="00512BBE" w:rsidRPr="000A34EA">
                                <w:t xml:space="preserve"> (n</w:t>
                              </w:r>
                              <w:r w:rsidR="00512BBE">
                                <w:t xml:space="preserve"> = </w:t>
                              </w:r>
                              <w:r w:rsidR="00CE1DBF">
                                <w:t>1</w:t>
                              </w:r>
                              <w:r w:rsidR="00512BBE" w:rsidRPr="000A34EA">
                                <w:t>)</w:t>
                              </w:r>
                            </w:p>
                            <w:p w14:paraId="3F9B8127" w14:textId="7602BA5B" w:rsidR="00512BBE" w:rsidRPr="000A34EA" w:rsidRDefault="00512BBE" w:rsidP="00515FE7">
                              <w:pPr>
                                <w:pStyle w:val="2024-PRISMA"/>
                              </w:pPr>
                              <w:r>
                                <w:t>Ongoing study</w:t>
                              </w:r>
                              <w:r w:rsidRPr="000A34EA">
                                <w:t xml:space="preserve"> (n</w:t>
                              </w:r>
                              <w:r>
                                <w:t xml:space="preserve"> = </w:t>
                              </w:r>
                              <w:r w:rsidR="003E4E12">
                                <w:t>6</w:t>
                              </w:r>
                              <w:r w:rsidRPr="000A34EA">
                                <w:t>)</w:t>
                              </w:r>
                            </w:p>
                            <w:p w14:paraId="3CC7866F" w14:textId="77777777" w:rsidR="001D2614" w:rsidRDefault="001D2614" w:rsidP="001D2614">
                              <w:pPr>
                                <w:pStyle w:val="2024-PRISMA"/>
                              </w:pPr>
                              <w:r>
                                <w:t>Conference abstracts (n = 0)</w:t>
                              </w:r>
                            </w:p>
                            <w:p w14:paraId="4BB69899" w14:textId="63FA43E1" w:rsidR="00512BBE" w:rsidRPr="000A34EA" w:rsidRDefault="0097733F" w:rsidP="00515FE7">
                              <w:pPr>
                                <w:pStyle w:val="2024-PRISMA"/>
                              </w:pPr>
                              <w:r>
                                <w:t>Reviews</w:t>
                              </w:r>
                              <w:r w:rsidRPr="008C6127">
                                <w:t xml:space="preserve"> </w:t>
                              </w:r>
                              <w:r w:rsidR="00512BBE" w:rsidRPr="000A34EA">
                                <w:t xml:space="preserve">Awaiting Classification (n = </w:t>
                              </w:r>
                              <w:r w:rsidR="00512BBE">
                                <w:t>0</w:t>
                              </w:r>
                              <w:r w:rsidR="00512BBE" w:rsidRPr="000A34EA">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00779476" name="Rectangle 2100779476"/>
                        <wps:cNvSpPr/>
                        <wps:spPr>
                          <a:xfrm>
                            <a:off x="2987749" y="2955851"/>
                            <a:ext cx="2179320" cy="1411714"/>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F724172" w14:textId="01C14237" w:rsidR="00512BBE" w:rsidRPr="000A34EA" w:rsidRDefault="00512BBE" w:rsidP="00515FE7">
                              <w:pPr>
                                <w:pStyle w:val="2024-PRISMA"/>
                              </w:pPr>
                              <w:r w:rsidRPr="000A34EA">
                                <w:t xml:space="preserve">Reports excluded (n = </w:t>
                              </w:r>
                              <w:r w:rsidR="00320AA2">
                                <w:t>1</w:t>
                              </w:r>
                              <w:r w:rsidR="00E74801">
                                <w:t>4</w:t>
                              </w:r>
                              <w:r w:rsidRPr="000A34EA">
                                <w:t>):</w:t>
                              </w:r>
                            </w:p>
                            <w:p w14:paraId="0D45B099" w14:textId="77777777" w:rsidR="00512BBE" w:rsidRPr="000A34EA" w:rsidRDefault="00512BBE" w:rsidP="00515FE7">
                              <w:pPr>
                                <w:pStyle w:val="2024-PRISMA"/>
                              </w:pPr>
                              <w:r w:rsidRPr="000A34EA">
                                <w:t xml:space="preserve">Wrong study type (n = </w:t>
                              </w:r>
                              <w:r>
                                <w:t>1</w:t>
                              </w:r>
                              <w:r w:rsidRPr="000A34EA">
                                <w:t>)</w:t>
                              </w:r>
                            </w:p>
                            <w:p w14:paraId="45948C90" w14:textId="007A0D55" w:rsidR="00512BBE" w:rsidRDefault="00512BBE" w:rsidP="00515FE7">
                              <w:pPr>
                                <w:pStyle w:val="2024-PRISMA"/>
                              </w:pPr>
                              <w:r>
                                <w:t xml:space="preserve">Wrong population (n = </w:t>
                              </w:r>
                              <w:r w:rsidR="00F80238">
                                <w:t>3</w:t>
                              </w:r>
                              <w:r>
                                <w:t>)</w:t>
                              </w:r>
                            </w:p>
                            <w:p w14:paraId="6EE145E1" w14:textId="2CE48D7D" w:rsidR="00512BBE" w:rsidRPr="000A34EA" w:rsidRDefault="00512BBE" w:rsidP="00515FE7">
                              <w:pPr>
                                <w:pStyle w:val="2024-PRISMA"/>
                              </w:pPr>
                              <w:r w:rsidRPr="000A34EA">
                                <w:t xml:space="preserve">Wrong intervention (n = </w:t>
                              </w:r>
                              <w:r w:rsidR="00F17C90">
                                <w:t>2</w:t>
                              </w:r>
                              <w:r w:rsidRPr="000A34EA">
                                <w:t>)</w:t>
                              </w:r>
                            </w:p>
                            <w:p w14:paraId="5342B336" w14:textId="5714C050" w:rsidR="00512BBE" w:rsidRPr="000A34EA" w:rsidRDefault="00512BBE" w:rsidP="00515FE7">
                              <w:pPr>
                                <w:pStyle w:val="2024-PRISMA"/>
                              </w:pPr>
                              <w:r w:rsidRPr="000A34EA">
                                <w:t xml:space="preserve">Wrong outcomes (n = </w:t>
                              </w:r>
                              <w:r w:rsidR="00F6518A">
                                <w:t>5</w:t>
                              </w:r>
                              <w:r w:rsidRPr="000A34EA">
                                <w:t>)</w:t>
                              </w:r>
                            </w:p>
                            <w:p w14:paraId="40E1FCCD" w14:textId="4F7C5C39" w:rsidR="00512BBE" w:rsidRPr="000A34EA" w:rsidRDefault="00512BBE" w:rsidP="00515FE7">
                              <w:pPr>
                                <w:pStyle w:val="2024-PRISMA"/>
                              </w:pPr>
                              <w:r>
                                <w:t xml:space="preserve">Does not meet minimum criteria for systematic review (n = </w:t>
                              </w:r>
                              <w:r w:rsidR="007F78E6">
                                <w:t>3</w:t>
                              </w:r>
                              <w: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52662754" name="Straight Arrow Connector 1252662754"/>
                        <wps:cNvCnPr/>
                        <wps:spPr>
                          <a:xfrm>
                            <a:off x="2424224" y="975833"/>
                            <a:ext cx="756482"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969780622" name="Straight Arrow Connector 969780622"/>
                        <wps:cNvCnPr/>
                        <wps:spPr>
                          <a:xfrm>
                            <a:off x="2392326" y="1720112"/>
                            <a:ext cx="563245"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613376500" name="Straight Arrow Connector 613376500"/>
                        <wps:cNvCnPr/>
                        <wps:spPr>
                          <a:xfrm>
                            <a:off x="2402958" y="2421861"/>
                            <a:ext cx="563245"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920447290" name="Straight Arrow Connector 920447290"/>
                        <wps:cNvCnPr/>
                        <wps:spPr>
                          <a:xfrm>
                            <a:off x="2413591" y="3155507"/>
                            <a:ext cx="563245"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896868597" name="Flowchart: Alternate Process 31"/>
                        <wps:cNvSpPr/>
                        <wps:spPr>
                          <a:xfrm rot="16200000">
                            <a:off x="-309016" y="716863"/>
                            <a:ext cx="1009400" cy="325307"/>
                          </a:xfrm>
                          <a:prstGeom prst="flowChartAlternateProcess">
                            <a:avLst/>
                          </a:prstGeom>
                          <a:solidFill>
                            <a:schemeClr val="accent5">
                              <a:lumMod val="60000"/>
                              <a:lumOff val="40000"/>
                            </a:schemeClr>
                          </a:solidFill>
                          <a:ln>
                            <a:solidFill>
                              <a:schemeClr val="tx1"/>
                            </a:solidFill>
                          </a:ln>
                        </wps:spPr>
                        <wps:style>
                          <a:lnRef idx="2">
                            <a:schemeClr val="accent4">
                              <a:shade val="50000"/>
                            </a:schemeClr>
                          </a:lnRef>
                          <a:fillRef idx="1">
                            <a:schemeClr val="accent4"/>
                          </a:fillRef>
                          <a:effectRef idx="0">
                            <a:schemeClr val="accent4"/>
                          </a:effectRef>
                          <a:fontRef idx="minor">
                            <a:schemeClr val="lt1"/>
                          </a:fontRef>
                        </wps:style>
                        <wps:txbx>
                          <w:txbxContent>
                            <w:p w14:paraId="3FEDFF65" w14:textId="77777777" w:rsidR="00512BBE" w:rsidRPr="00E729F7" w:rsidRDefault="00512BBE" w:rsidP="00515FE7">
                              <w:pPr>
                                <w:pStyle w:val="2024-PRISMA"/>
                                <w:rPr>
                                  <w:b/>
                                </w:rPr>
                              </w:pPr>
                              <w:r w:rsidRPr="00E729F7">
                                <w:rPr>
                                  <w:b/>
                                </w:rPr>
                                <w:t>Identification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09095952" name="Flowchart: Alternate Process 32"/>
                        <wps:cNvSpPr/>
                        <wps:spPr>
                          <a:xfrm rot="16200000">
                            <a:off x="-1026610" y="2521241"/>
                            <a:ext cx="2444743" cy="325305"/>
                          </a:xfrm>
                          <a:prstGeom prst="flowChartAlternateProcess">
                            <a:avLst/>
                          </a:prstGeom>
                          <a:solidFill>
                            <a:schemeClr val="accent5">
                              <a:lumMod val="60000"/>
                              <a:lumOff val="40000"/>
                            </a:schemeClr>
                          </a:solidFill>
                          <a:ln>
                            <a:solidFill>
                              <a:schemeClr val="tx1"/>
                            </a:solidFill>
                          </a:ln>
                        </wps:spPr>
                        <wps:style>
                          <a:lnRef idx="2">
                            <a:schemeClr val="accent4">
                              <a:shade val="50000"/>
                            </a:schemeClr>
                          </a:lnRef>
                          <a:fillRef idx="1">
                            <a:schemeClr val="accent4"/>
                          </a:fillRef>
                          <a:effectRef idx="0">
                            <a:schemeClr val="accent4"/>
                          </a:effectRef>
                          <a:fontRef idx="minor">
                            <a:schemeClr val="lt1"/>
                          </a:fontRef>
                        </wps:style>
                        <wps:txbx>
                          <w:txbxContent>
                            <w:p w14:paraId="4558049E" w14:textId="77777777" w:rsidR="00512BBE" w:rsidRPr="00E729F7" w:rsidRDefault="00512BBE" w:rsidP="00E729F7">
                              <w:pPr>
                                <w:pStyle w:val="2024-PRISMA"/>
                                <w:jc w:val="center"/>
                                <w:rPr>
                                  <w:b/>
                                </w:rPr>
                              </w:pPr>
                              <w:r w:rsidRPr="00E729F7">
                                <w:rPr>
                                  <w:b/>
                                </w:rPr>
                                <w:t>Screening</w:t>
                              </w:r>
                            </w:p>
                            <w:p w14:paraId="5CB60DE5" w14:textId="77777777" w:rsidR="00512BBE" w:rsidRPr="00E729F7" w:rsidRDefault="00512BBE" w:rsidP="00E729F7">
                              <w:pPr>
                                <w:pStyle w:val="2024-PRISMA"/>
                                <w:jc w:val="center"/>
                                <w:rPr>
                                  <w: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005290" name="Flowchart: Alternate Process 33"/>
                        <wps:cNvSpPr/>
                        <wps:spPr>
                          <a:xfrm rot="16200000">
                            <a:off x="-163940" y="4211537"/>
                            <a:ext cx="711091" cy="317171"/>
                          </a:xfrm>
                          <a:prstGeom prst="flowChartAlternateProcess">
                            <a:avLst/>
                          </a:prstGeom>
                          <a:solidFill>
                            <a:schemeClr val="accent5">
                              <a:lumMod val="60000"/>
                              <a:lumOff val="40000"/>
                            </a:schemeClr>
                          </a:solidFill>
                          <a:ln>
                            <a:solidFill>
                              <a:schemeClr val="tx1"/>
                            </a:solidFill>
                          </a:ln>
                        </wps:spPr>
                        <wps:style>
                          <a:lnRef idx="2">
                            <a:schemeClr val="accent4">
                              <a:shade val="50000"/>
                            </a:schemeClr>
                          </a:lnRef>
                          <a:fillRef idx="1">
                            <a:schemeClr val="accent4"/>
                          </a:fillRef>
                          <a:effectRef idx="0">
                            <a:schemeClr val="accent4"/>
                          </a:effectRef>
                          <a:fontRef idx="minor">
                            <a:schemeClr val="lt1"/>
                          </a:fontRef>
                        </wps:style>
                        <wps:txbx>
                          <w:txbxContent>
                            <w:p w14:paraId="6132D78B" w14:textId="77777777" w:rsidR="00512BBE" w:rsidRPr="00E729F7" w:rsidRDefault="00512BBE" w:rsidP="00515FE7">
                              <w:pPr>
                                <w:pStyle w:val="2024-PRISMA"/>
                                <w:rPr>
                                  <w:b/>
                                </w:rPr>
                              </w:pPr>
                              <w:r w:rsidRPr="00E729F7">
                                <w:rPr>
                                  <w:b/>
                                </w:rPr>
                                <w:t>Included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32783942" name="Straight Arrow Connector 1932783942"/>
                        <wps:cNvCnPr/>
                        <wps:spPr>
                          <a:xfrm>
                            <a:off x="1339407" y="1233377"/>
                            <a:ext cx="0" cy="28130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459294275" name="Straight Arrow Connector 1459294275"/>
                        <wps:cNvCnPr/>
                        <wps:spPr>
                          <a:xfrm>
                            <a:off x="1339407" y="1967023"/>
                            <a:ext cx="0" cy="28130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971735899" name="Straight Arrow Connector 1971735899"/>
                        <wps:cNvCnPr/>
                        <wps:spPr>
                          <a:xfrm>
                            <a:off x="1350040" y="2690037"/>
                            <a:ext cx="0" cy="28130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735178356" name="Straight Arrow Connector 1735178356"/>
                        <wps:cNvCnPr/>
                        <wps:spPr>
                          <a:xfrm>
                            <a:off x="1339407" y="3296093"/>
                            <a:ext cx="0" cy="74612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65029987" name="Flowchart: Alternate Process 29"/>
                        <wps:cNvSpPr/>
                        <wps:spPr>
                          <a:xfrm>
                            <a:off x="0" y="0"/>
                            <a:ext cx="5536496" cy="291848"/>
                          </a:xfrm>
                          <a:prstGeom prst="flowChartAlternateProcess">
                            <a:avLst/>
                          </a:prstGeom>
                        </wps:spPr>
                        <wps:style>
                          <a:lnRef idx="2">
                            <a:schemeClr val="accent4">
                              <a:shade val="50000"/>
                            </a:schemeClr>
                          </a:lnRef>
                          <a:fillRef idx="1">
                            <a:schemeClr val="accent4"/>
                          </a:fillRef>
                          <a:effectRef idx="0">
                            <a:schemeClr val="accent4"/>
                          </a:effectRef>
                          <a:fontRef idx="minor">
                            <a:schemeClr val="lt1"/>
                          </a:fontRef>
                        </wps:style>
                        <wps:txbx>
                          <w:txbxContent>
                            <w:p w14:paraId="398D7161" w14:textId="34D34251" w:rsidR="00512BBE" w:rsidRPr="00E729F7" w:rsidRDefault="00512BBE" w:rsidP="00E729F7">
                              <w:pPr>
                                <w:pStyle w:val="2024-PRISMA"/>
                                <w:jc w:val="center"/>
                                <w:rPr>
                                  <w:b/>
                                </w:rPr>
                              </w:pPr>
                              <w:r w:rsidRPr="00E729F7">
                                <w:rPr>
                                  <w:b/>
                                </w:rPr>
                                <w:t xml:space="preserve">Identification of </w:t>
                              </w:r>
                              <w:r w:rsidR="00D90DD5">
                                <w:rPr>
                                  <w:b/>
                                </w:rPr>
                                <w:t>reviews</w:t>
                              </w:r>
                              <w:r w:rsidR="00D90DD5" w:rsidRPr="00E729F7">
                                <w:rPr>
                                  <w:b/>
                                </w:rPr>
                                <w:t xml:space="preserve"> </w:t>
                              </w:r>
                              <w:r w:rsidRPr="00E729F7">
                                <w:rPr>
                                  <w:b/>
                                </w:rPr>
                                <w:t>via databases and registers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34702399" name="Rectangle 1734702399"/>
                        <wps:cNvSpPr/>
                        <wps:spPr>
                          <a:xfrm>
                            <a:off x="499730" y="425302"/>
                            <a:ext cx="2455839" cy="839972"/>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F9A07A9" w14:textId="573321C3" w:rsidR="00512BBE" w:rsidRPr="000A34EA" w:rsidRDefault="00512BBE" w:rsidP="00515FE7">
                              <w:pPr>
                                <w:pStyle w:val="2024-PRISMA"/>
                              </w:pPr>
                              <w:r w:rsidRPr="000A34EA">
                                <w:t>Records identified from:</w:t>
                              </w:r>
                            </w:p>
                            <w:p w14:paraId="0324CE45" w14:textId="2B25CFA5" w:rsidR="00512BBE" w:rsidRPr="000A34EA" w:rsidRDefault="00512BBE" w:rsidP="00515FE7">
                              <w:pPr>
                                <w:pStyle w:val="2024-PRISMA"/>
                              </w:pPr>
                              <w:r w:rsidRPr="000A34EA">
                                <w:t xml:space="preserve">Databases and registers (n = </w:t>
                              </w:r>
                              <w:r w:rsidR="009078F8">
                                <w:t>1025</w:t>
                              </w:r>
                              <w:r w:rsidRPr="000A34EA">
                                <w:t>)</w:t>
                              </w:r>
                            </w:p>
                            <w:p w14:paraId="3609D873" w14:textId="77777777" w:rsidR="00512BBE" w:rsidRDefault="00512BBE" w:rsidP="00515FE7">
                              <w:pPr>
                                <w:pStyle w:val="2024-PRISMA"/>
                              </w:pPr>
                              <w:r w:rsidRPr="000A34EA">
                                <w:t>Manual</w:t>
                              </w:r>
                              <w:r>
                                <w:t xml:space="preserve"> or </w:t>
                              </w:r>
                              <w:r w:rsidRPr="000A34EA">
                                <w:t xml:space="preserve">citation </w:t>
                              </w:r>
                              <w:r>
                                <w:t xml:space="preserve">searching </w:t>
                              </w:r>
                              <w:r w:rsidRPr="000A34EA">
                                <w:t xml:space="preserve">(n = </w:t>
                              </w:r>
                              <w:r>
                                <w:t>0</w:t>
                              </w:r>
                              <w:r w:rsidRPr="000A34EA">
                                <w:t>)</w:t>
                              </w:r>
                            </w:p>
                            <w:p w14:paraId="32C19423" w14:textId="77777777" w:rsidR="00512BBE" w:rsidRPr="000A34EA" w:rsidRDefault="00512BBE" w:rsidP="00515FE7">
                              <w:pPr>
                                <w:pStyle w:val="2024-PRISMA"/>
                              </w:pPr>
                              <w:r>
                                <w:t>Department’s call for evidence</w:t>
                              </w:r>
                              <w:r w:rsidRPr="000A34EA">
                                <w:t xml:space="preserve"> (n = </w:t>
                              </w:r>
                              <w:r>
                                <w:t>0</w:t>
                              </w:r>
                              <w:r w:rsidRPr="000A34EA">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4410883" name="Rectangle 284410883"/>
                        <wps:cNvSpPr/>
                        <wps:spPr>
                          <a:xfrm>
                            <a:off x="499731" y="1520456"/>
                            <a:ext cx="1887220" cy="52641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19CD8B6" w14:textId="77777777" w:rsidR="00512BBE" w:rsidRPr="000A34EA" w:rsidRDefault="00512BBE" w:rsidP="00515FE7">
                              <w:pPr>
                                <w:pStyle w:val="2024-PRISMA"/>
                              </w:pPr>
                              <w:r w:rsidRPr="000A34EA">
                                <w:t>Records screened</w:t>
                              </w:r>
                            </w:p>
                            <w:p w14:paraId="0932ADC4" w14:textId="08026730" w:rsidR="00512BBE" w:rsidRPr="000A34EA" w:rsidRDefault="00512BBE" w:rsidP="00515FE7">
                              <w:pPr>
                                <w:pStyle w:val="2024-PRISMA"/>
                              </w:pPr>
                              <w:r w:rsidRPr="000A34EA">
                                <w:t xml:space="preserve">(n = </w:t>
                              </w:r>
                              <w:r w:rsidR="009078F8">
                                <w:t>1006</w:t>
                              </w:r>
                              <w:r w:rsidRPr="000A34EA">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68429060" name="Rectangle 1968429060"/>
                        <wps:cNvSpPr/>
                        <wps:spPr>
                          <a:xfrm>
                            <a:off x="499731" y="2977116"/>
                            <a:ext cx="1887220" cy="52641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B931B6B" w14:textId="77777777" w:rsidR="00512BBE" w:rsidRPr="000A34EA" w:rsidRDefault="00512BBE" w:rsidP="00515FE7">
                              <w:pPr>
                                <w:pStyle w:val="2024-PRISMA"/>
                              </w:pPr>
                              <w:r w:rsidRPr="000A34EA">
                                <w:t>Reports assessed for eligibility</w:t>
                              </w:r>
                            </w:p>
                            <w:p w14:paraId="058FC665" w14:textId="1D3E5028" w:rsidR="00512BBE" w:rsidRPr="000A34EA" w:rsidRDefault="00512BBE" w:rsidP="00515FE7">
                              <w:pPr>
                                <w:pStyle w:val="2024-PRISMA"/>
                              </w:pPr>
                              <w:r w:rsidRPr="000A34EA">
                                <w:t xml:space="preserve">(n = </w:t>
                              </w:r>
                              <w:r w:rsidR="00E74801">
                                <w:t>20</w:t>
                              </w:r>
                              <w:r w:rsidRPr="000A34EA">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51697097" name="Rectangle 1051697097"/>
                        <wps:cNvSpPr/>
                        <wps:spPr>
                          <a:xfrm>
                            <a:off x="489098" y="4040372"/>
                            <a:ext cx="1887220" cy="511952"/>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2917C77" w14:textId="7DD1981C" w:rsidR="00512BBE" w:rsidRPr="000A34EA" w:rsidRDefault="00D90DD5" w:rsidP="00515FE7">
                              <w:pPr>
                                <w:pStyle w:val="2024-PRISMA"/>
                              </w:pPr>
                              <w:r>
                                <w:t>Reviews</w:t>
                              </w:r>
                              <w:r w:rsidRPr="000A34EA">
                                <w:t xml:space="preserve"> </w:t>
                              </w:r>
                              <w:r w:rsidR="00512BBE" w:rsidRPr="000A34EA">
                                <w:t xml:space="preserve">included in </w:t>
                              </w:r>
                              <w:r>
                                <w:t>over</w:t>
                              </w:r>
                              <w:r w:rsidR="00512BBE" w:rsidRPr="000A34EA">
                                <w:t>view</w:t>
                              </w:r>
                            </w:p>
                            <w:p w14:paraId="3260C603" w14:textId="1B37BF03" w:rsidR="00512BBE" w:rsidRPr="000A34EA" w:rsidRDefault="00512BBE" w:rsidP="00515FE7">
                              <w:pPr>
                                <w:pStyle w:val="2024-PRISMA"/>
                              </w:pPr>
                              <w:r w:rsidRPr="000A34EA">
                                <w:t xml:space="preserve">(n = </w:t>
                              </w:r>
                              <w:r w:rsidR="00646708">
                                <w:t>6</w:t>
                              </w:r>
                              <w:r w:rsidRPr="000A34EA">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24675994" name="Rectangle 424675994"/>
                        <wps:cNvSpPr/>
                        <wps:spPr>
                          <a:xfrm>
                            <a:off x="499731" y="2243470"/>
                            <a:ext cx="1887220" cy="52641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E7A1C0C" w14:textId="77777777" w:rsidR="00512BBE" w:rsidRPr="000A34EA" w:rsidRDefault="00512BBE" w:rsidP="00515FE7">
                              <w:pPr>
                                <w:pStyle w:val="2024-PRISMA"/>
                              </w:pPr>
                              <w:r w:rsidRPr="000A34EA">
                                <w:t>Reports sought for retrieval</w:t>
                              </w:r>
                            </w:p>
                            <w:p w14:paraId="4D92B08E" w14:textId="6AF83B11" w:rsidR="00512BBE" w:rsidRPr="000A34EA" w:rsidRDefault="00512BBE" w:rsidP="00515FE7">
                              <w:pPr>
                                <w:pStyle w:val="2024-PRISMA"/>
                              </w:pPr>
                              <w:r w:rsidRPr="000A34EA">
                                <w:t xml:space="preserve">(n = </w:t>
                              </w:r>
                              <w:r w:rsidR="009078F8">
                                <w:t>2</w:t>
                              </w:r>
                              <w:r w:rsidR="00E74801">
                                <w:t>7</w:t>
                              </w:r>
                              <w:r w:rsidRPr="000A34EA">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F8FDF93" id="Group 398987311" o:spid="_x0000_s1202" style="position:absolute;margin-left:.7pt;margin-top:11.4pt;width:420.4pt;height:365.85pt;z-index:251658246;mso-width-relative:margin;mso-height-relative:margin" coordsize="55364,472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">
                <v:rect id="Rectangle 2065959732" o:spid="_x0000_s1203" style="position:absolute;left:31807;top:4253;width:23557;height:83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" filled="f" strokecolor="black [3213]" strokeweight="1pt">
                  <v:textbox>
                    <w:txbxContent>
                      <w:p w14:paraId="7A1DFAF6" w14:textId="77777777" w:rsidR="00512BBE" w:rsidRPr="000A34EA" w:rsidRDefault="00512BBE" w:rsidP="00515FE7">
                        <w:pPr>
                          <w:pStyle w:val="2024-PRISMA"/>
                        </w:pPr>
                        <w:r w:rsidRPr="000A34EA">
                          <w:t>Records removed before screening:</w:t>
                        </w:r>
                      </w:p>
                      <w:p w14:paraId="6B31B0B1" w14:textId="2FAE85F3" w:rsidR="00512BBE" w:rsidRPr="000A34EA" w:rsidRDefault="00512BBE" w:rsidP="00515FE7">
                        <w:pPr>
                          <w:pStyle w:val="2024-PRISMA"/>
                        </w:pPr>
                        <w:r w:rsidRPr="000A34EA">
                          <w:t xml:space="preserve">Duplicate records removed (n = </w:t>
                        </w:r>
                        <w:r w:rsidR="009078F8">
                          <w:t>19</w:t>
                        </w:r>
                        <w:r w:rsidRPr="000A34EA">
                          <w:t>)</w:t>
                        </w:r>
                      </w:p>
                    </w:txbxContent>
                  </v:textbox>
                </v:rect>
                <v:rect id="Rectangle 492140715" o:spid="_x0000_s1204" style="position:absolute;left:29877;top:15098;width:18872;height:52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" filled="f" strokecolor="black [3213]" strokeweight="1pt">
                  <v:textbox>
                    <w:txbxContent>
                      <w:p w14:paraId="7C8464F0" w14:textId="77777777" w:rsidR="00512BBE" w:rsidRPr="000A34EA" w:rsidRDefault="00512BBE" w:rsidP="00515FE7">
                        <w:pPr>
                          <w:pStyle w:val="2024-PRISMA"/>
                        </w:pPr>
                        <w:r w:rsidRPr="000A34EA">
                          <w:t>Records excluded</w:t>
                        </w:r>
                      </w:p>
                      <w:p w14:paraId="7E214C6F" w14:textId="213C1119" w:rsidR="00512BBE" w:rsidRPr="000A34EA" w:rsidRDefault="00512BBE" w:rsidP="00515FE7">
                        <w:pPr>
                          <w:pStyle w:val="2024-PRISMA"/>
                        </w:pPr>
                        <w:r w:rsidRPr="000A34EA">
                          <w:t xml:space="preserve">(n = </w:t>
                        </w:r>
                        <w:r w:rsidR="009078F8">
                          <w:t>9</w:t>
                        </w:r>
                        <w:r w:rsidR="009465F7">
                          <w:t>8</w:t>
                        </w:r>
                        <w:r w:rsidR="00895F76">
                          <w:t>0</w:t>
                        </w:r>
                        <w:r w:rsidRPr="000A34EA">
                          <w:t>)</w:t>
                        </w:r>
                      </w:p>
                    </w:txbxContent>
                  </v:textbox>
                </v:rect>
                <v:rect id="Rectangle 1739386520" o:spid="_x0000_s1205" style="position:absolute;left:29877;top:21362;width:23519;height:73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" filled="f" strokecolor="black [3213]" strokeweight="1pt">
                  <v:textbox>
                    <w:txbxContent>
                      <w:p w14:paraId="2E1A3CCE" w14:textId="7ACF8299" w:rsidR="00512BBE" w:rsidRDefault="003E4E12" w:rsidP="00515FE7">
                        <w:pPr>
                          <w:pStyle w:val="2024-PRISMA"/>
                        </w:pPr>
                        <w:r>
                          <w:t>Discontinued study</w:t>
                        </w:r>
                        <w:r w:rsidR="00512BBE" w:rsidRPr="000A34EA">
                          <w:t xml:space="preserve"> (n</w:t>
                        </w:r>
                        <w:r w:rsidR="00512BBE">
                          <w:t xml:space="preserve"> = </w:t>
                        </w:r>
                        <w:r w:rsidR="00CE1DBF">
                          <w:t>1</w:t>
                        </w:r>
                        <w:r w:rsidR="00512BBE" w:rsidRPr="000A34EA">
                          <w:t>)</w:t>
                        </w:r>
                      </w:p>
                      <w:p w14:paraId="3F9B8127" w14:textId="7602BA5B" w:rsidR="00512BBE" w:rsidRPr="000A34EA" w:rsidRDefault="00512BBE" w:rsidP="00515FE7">
                        <w:pPr>
                          <w:pStyle w:val="2024-PRISMA"/>
                        </w:pPr>
                        <w:r>
                          <w:t>Ongoing study</w:t>
                        </w:r>
                        <w:r w:rsidRPr="000A34EA">
                          <w:t xml:space="preserve"> (n</w:t>
                        </w:r>
                        <w:r>
                          <w:t xml:space="preserve"> = </w:t>
                        </w:r>
                        <w:r w:rsidR="003E4E12">
                          <w:t>6</w:t>
                        </w:r>
                        <w:r w:rsidRPr="000A34EA">
                          <w:t>)</w:t>
                        </w:r>
                      </w:p>
                      <w:p w14:paraId="3CC7866F" w14:textId="77777777" w:rsidR="001D2614" w:rsidRDefault="001D2614" w:rsidP="001D2614">
                        <w:pPr>
                          <w:pStyle w:val="2024-PRISMA"/>
                        </w:pPr>
                        <w:r>
                          <w:t>Conference abstracts (n = 0)</w:t>
                        </w:r>
                      </w:p>
                      <w:p w14:paraId="4BB69899" w14:textId="63FA43E1" w:rsidR="00512BBE" w:rsidRPr="000A34EA" w:rsidRDefault="0097733F" w:rsidP="00515FE7">
                        <w:pPr>
                          <w:pStyle w:val="2024-PRISMA"/>
                        </w:pPr>
                        <w:r>
                          <w:t>Reviews</w:t>
                        </w:r>
                        <w:r w:rsidRPr="008C6127">
                          <w:t xml:space="preserve"> </w:t>
                        </w:r>
                        <w:r w:rsidR="00512BBE" w:rsidRPr="000A34EA">
                          <w:t xml:space="preserve">Awaiting Classification (n = </w:t>
                        </w:r>
                        <w:r w:rsidR="00512BBE">
                          <w:t>0</w:t>
                        </w:r>
                        <w:r w:rsidR="00512BBE" w:rsidRPr="000A34EA">
                          <w:t>)</w:t>
                        </w:r>
                      </w:p>
                    </w:txbxContent>
                  </v:textbox>
                </v:rect>
                <v:rect id="Rectangle 2100779476" o:spid="_x0000_s1206" style="position:absolute;left:29877;top:29558;width:21793;height:1411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" filled="f" strokecolor="black [3213]" strokeweight="1pt">
                  <v:textbox>
                    <w:txbxContent>
                      <w:p w14:paraId="6F724172" w14:textId="01C14237" w:rsidR="00512BBE" w:rsidRPr="000A34EA" w:rsidRDefault="00512BBE" w:rsidP="00515FE7">
                        <w:pPr>
                          <w:pStyle w:val="2024-PRISMA"/>
                        </w:pPr>
                        <w:r w:rsidRPr="000A34EA">
                          <w:t xml:space="preserve">Reports excluded (n = </w:t>
                        </w:r>
                        <w:r w:rsidR="00320AA2">
                          <w:t>1</w:t>
                        </w:r>
                        <w:r w:rsidR="00E74801">
                          <w:t>4</w:t>
                        </w:r>
                        <w:r w:rsidRPr="000A34EA">
                          <w:t>):</w:t>
                        </w:r>
                      </w:p>
                      <w:p w14:paraId="0D45B099" w14:textId="77777777" w:rsidR="00512BBE" w:rsidRPr="000A34EA" w:rsidRDefault="00512BBE" w:rsidP="00515FE7">
                        <w:pPr>
                          <w:pStyle w:val="2024-PRISMA"/>
                        </w:pPr>
                        <w:r w:rsidRPr="000A34EA">
                          <w:t xml:space="preserve">Wrong study type (n = </w:t>
                        </w:r>
                        <w:r>
                          <w:t>1</w:t>
                        </w:r>
                        <w:r w:rsidRPr="000A34EA">
                          <w:t>)</w:t>
                        </w:r>
                      </w:p>
                      <w:p w14:paraId="45948C90" w14:textId="007A0D55" w:rsidR="00512BBE" w:rsidRDefault="00512BBE" w:rsidP="00515FE7">
                        <w:pPr>
                          <w:pStyle w:val="2024-PRISMA"/>
                        </w:pPr>
                        <w:r>
                          <w:t xml:space="preserve">Wrong population (n = </w:t>
                        </w:r>
                        <w:r w:rsidR="00F80238">
                          <w:t>3</w:t>
                        </w:r>
                        <w:r>
                          <w:t>)</w:t>
                        </w:r>
                      </w:p>
                      <w:p w14:paraId="6EE145E1" w14:textId="2CE48D7D" w:rsidR="00512BBE" w:rsidRPr="000A34EA" w:rsidRDefault="00512BBE" w:rsidP="00515FE7">
                        <w:pPr>
                          <w:pStyle w:val="2024-PRISMA"/>
                        </w:pPr>
                        <w:r w:rsidRPr="000A34EA">
                          <w:t xml:space="preserve">Wrong intervention (n = </w:t>
                        </w:r>
                        <w:r w:rsidR="00F17C90">
                          <w:t>2</w:t>
                        </w:r>
                        <w:r w:rsidRPr="000A34EA">
                          <w:t>)</w:t>
                        </w:r>
                      </w:p>
                      <w:p w14:paraId="5342B336" w14:textId="5714C050" w:rsidR="00512BBE" w:rsidRPr="000A34EA" w:rsidRDefault="00512BBE" w:rsidP="00515FE7">
                        <w:pPr>
                          <w:pStyle w:val="2024-PRISMA"/>
                        </w:pPr>
                        <w:r w:rsidRPr="000A34EA">
                          <w:t xml:space="preserve">Wrong outcomes (n = </w:t>
                        </w:r>
                        <w:r w:rsidR="00F6518A">
                          <w:t>5</w:t>
                        </w:r>
                        <w:r w:rsidRPr="000A34EA">
                          <w:t>)</w:t>
                        </w:r>
                      </w:p>
                      <w:p w14:paraId="40E1FCCD" w14:textId="4F7C5C39" w:rsidR="00512BBE" w:rsidRPr="000A34EA" w:rsidRDefault="00512BBE" w:rsidP="00515FE7">
                        <w:pPr>
                          <w:pStyle w:val="2024-PRISMA"/>
                        </w:pPr>
                        <w:r>
                          <w:t xml:space="preserve">Does not meet minimum criteria for systematic review (n = </w:t>
                        </w:r>
                        <w:r w:rsidR="007F78E6">
                          <w:t>3</w:t>
                        </w:r>
                        <w:r>
                          <w:t>)</w:t>
                        </w:r>
                      </w:p>
                    </w:txbxContent>
                  </v:textbox>
                </v:rect>
                <v:shape id="Straight Arrow Connector 1252662754" o:spid="_x0000_s1207" type="#_x0000_t32" style="position:absolute;left:24242;top:9758;width:756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" strokecolor="black [3213]" strokeweight=".5pt">
                  <v:stroke endarrow="block" joinstyle="miter"/>
                </v:shape>
                <v:shape id="Straight Arrow Connector 969780622" o:spid="_x0000_s1208" type="#_x0000_t32" style="position:absolute;left:23923;top:17201;width:563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" strokecolor="black [3213]" strokeweight=".5pt">
                  <v:stroke endarrow="block" joinstyle="miter"/>
                </v:shape>
                <v:shape id="Straight Arrow Connector 613376500" o:spid="_x0000_s1209" type="#_x0000_t32" style="position:absolute;left:24029;top:24218;width:563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" strokecolor="black [3213]" strokeweight=".5pt">
                  <v:stroke endarrow="block" joinstyle="miter"/>
                </v:shape>
                <v:shape id="Straight Arrow Connector 920447290" o:spid="_x0000_s1210" type="#_x0000_t32" style="position:absolute;left:24135;top:31555;width:563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" strokecolor="black [3213]" strokeweight=".5pt">
                  <v:stroke endarrow="block" joinstyle="miter"/>
                </v:shape>
                <v:shape id="Flowchart: Alternate Process 31" o:spid="_x0000_s1211" type="#_x0000_t176" style="position:absolute;left:-3090;top:7168;width:10094;height:3253;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" fillcolor="#9cc2e5 [1944]" strokecolor="black [3213]" strokeweight="1pt">
                  <v:textbox>
                    <w:txbxContent>
                      <w:p w14:paraId="3FEDFF65" w14:textId="77777777" w:rsidR="00512BBE" w:rsidRPr="00E729F7" w:rsidRDefault="00512BBE" w:rsidP="00515FE7">
                        <w:pPr>
                          <w:pStyle w:val="2024-PRISMA"/>
                          <w:rPr>
                            <w:b/>
                          </w:rPr>
                        </w:pPr>
                        <w:r w:rsidRPr="00E729F7">
                          <w:rPr>
                            <w:b/>
                          </w:rPr>
                          <w:t>Identification</w:t>
                        </w:r>
                      </w:p>
                    </w:txbxContent>
                  </v:textbox>
                </v:shape>
                <v:shape id="Flowchart: Alternate Process 32" o:spid="_x0000_s1212" type="#_x0000_t176" style="position:absolute;left:-10266;top:25212;width:24447;height:3253;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" fillcolor="#9cc2e5 [1944]" strokecolor="black [3213]" strokeweight="1pt">
                  <v:textbox>
                    <w:txbxContent>
                      <w:p w14:paraId="4558049E" w14:textId="77777777" w:rsidR="00512BBE" w:rsidRPr="00E729F7" w:rsidRDefault="00512BBE" w:rsidP="00E729F7">
                        <w:pPr>
                          <w:pStyle w:val="2024-PRISMA"/>
                          <w:jc w:val="center"/>
                          <w:rPr>
                            <w:b/>
                          </w:rPr>
                        </w:pPr>
                        <w:r w:rsidRPr="00E729F7">
                          <w:rPr>
                            <w:b/>
                          </w:rPr>
                          <w:t>Screening</w:t>
                        </w:r>
                      </w:p>
                      <w:p w14:paraId="5CB60DE5" w14:textId="77777777" w:rsidR="00512BBE" w:rsidRPr="00E729F7" w:rsidRDefault="00512BBE" w:rsidP="00E729F7">
                        <w:pPr>
                          <w:pStyle w:val="2024-PRISMA"/>
                          <w:jc w:val="center"/>
                          <w:rPr>
                            <w:b/>
                          </w:rPr>
                        </w:pPr>
                      </w:p>
                    </w:txbxContent>
                  </v:textbox>
                </v:shape>
                <v:shape id="Flowchart: Alternate Process 33" o:spid="_x0000_s1213" type="#_x0000_t176" style="position:absolute;left:-1640;top:42115;width:7111;height:3171;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" fillcolor="#9cc2e5 [1944]" strokecolor="black [3213]" strokeweight="1pt">
                  <v:textbox>
                    <w:txbxContent>
                      <w:p w14:paraId="6132D78B" w14:textId="77777777" w:rsidR="00512BBE" w:rsidRPr="00E729F7" w:rsidRDefault="00512BBE" w:rsidP="00515FE7">
                        <w:pPr>
                          <w:pStyle w:val="2024-PRISMA"/>
                          <w:rPr>
                            <w:b/>
                          </w:rPr>
                        </w:pPr>
                        <w:r w:rsidRPr="00E729F7">
                          <w:rPr>
                            <w:b/>
                          </w:rPr>
                          <w:t>Included</w:t>
                        </w:r>
                      </w:p>
                    </w:txbxContent>
                  </v:textbox>
                </v:shape>
                <v:shape id="Straight Arrow Connector 1932783942" o:spid="_x0000_s1214" type="#_x0000_t32" style="position:absolute;left:13394;top:12333;width:0;height:281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" strokecolor="black [3213]" strokeweight=".5pt">
                  <v:stroke endarrow="block" joinstyle="miter"/>
                </v:shape>
                <v:shape id="Straight Arrow Connector 1459294275" o:spid="_x0000_s1215" type="#_x0000_t32" style="position:absolute;left:13394;top:19670;width:0;height:281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" strokecolor="black [3213]" strokeweight=".5pt">
                  <v:stroke endarrow="block" joinstyle="miter"/>
                </v:shape>
                <v:shape id="Straight Arrow Connector 1971735899" o:spid="_x0000_s1216" type="#_x0000_t32" style="position:absolute;left:13500;top:26900;width:0;height:281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" strokecolor="black [3213]" strokeweight=".5pt">
                  <v:stroke endarrow="block" joinstyle="miter"/>
                </v:shape>
                <v:shape id="Straight Arrow Connector 1735178356" o:spid="_x0000_s1217" type="#_x0000_t32" style="position:absolute;left:13394;top:32960;width:0;height:746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" strokecolor="black [3213]" strokeweight=".5pt">
                  <v:stroke endarrow="block" joinstyle="miter"/>
                </v:shape>
                <v:shape id="Flowchart: Alternate Process 29" o:spid="_x0000_s1218" type="#_x0000_t176" style="position:absolute;width:55364;height:29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" fillcolor="#ffc000 [3207]" strokecolor="#7f5f00 [1607]" strokeweight="1pt">
                  <v:textbox>
                    <w:txbxContent>
                      <w:p w14:paraId="398D7161" w14:textId="34D34251" w:rsidR="00512BBE" w:rsidRPr="00E729F7" w:rsidRDefault="00512BBE" w:rsidP="00E729F7">
                        <w:pPr>
                          <w:pStyle w:val="2024-PRISMA"/>
                          <w:jc w:val="center"/>
                          <w:rPr>
                            <w:b/>
                          </w:rPr>
                        </w:pPr>
                        <w:r w:rsidRPr="00E729F7">
                          <w:rPr>
                            <w:b/>
                          </w:rPr>
                          <w:t xml:space="preserve">Identification of </w:t>
                        </w:r>
                        <w:r w:rsidR="00D90DD5">
                          <w:rPr>
                            <w:b/>
                          </w:rPr>
                          <w:t>reviews</w:t>
                        </w:r>
                        <w:r w:rsidR="00D90DD5" w:rsidRPr="00E729F7">
                          <w:rPr>
                            <w:b/>
                          </w:rPr>
                          <w:t xml:space="preserve"> </w:t>
                        </w:r>
                        <w:r w:rsidRPr="00E729F7">
                          <w:rPr>
                            <w:b/>
                          </w:rPr>
                          <w:t>via databases and registers</w:t>
                        </w:r>
                      </w:p>
                    </w:txbxContent>
                  </v:textbox>
                </v:shape>
                <v:rect id="Rectangle 1734702399" o:spid="_x0000_s1219" style="position:absolute;left:4997;top:4253;width:24558;height:83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" fillcolor="white [3212]" strokecolor="black [3213]" strokeweight="1pt">
                  <v:textbox>
                    <w:txbxContent>
                      <w:p w14:paraId="6F9A07A9" w14:textId="573321C3" w:rsidR="00512BBE" w:rsidRPr="000A34EA" w:rsidRDefault="00512BBE" w:rsidP="00515FE7">
                        <w:pPr>
                          <w:pStyle w:val="2024-PRISMA"/>
                        </w:pPr>
                        <w:r w:rsidRPr="000A34EA">
                          <w:t>Records identified from:</w:t>
                        </w:r>
                      </w:p>
                      <w:p w14:paraId="0324CE45" w14:textId="2B25CFA5" w:rsidR="00512BBE" w:rsidRPr="000A34EA" w:rsidRDefault="00512BBE" w:rsidP="00515FE7">
                        <w:pPr>
                          <w:pStyle w:val="2024-PRISMA"/>
                        </w:pPr>
                        <w:r w:rsidRPr="000A34EA">
                          <w:t xml:space="preserve">Databases and registers (n = </w:t>
                        </w:r>
                        <w:r w:rsidR="009078F8">
                          <w:t>1025</w:t>
                        </w:r>
                        <w:r w:rsidRPr="000A34EA">
                          <w:t>)</w:t>
                        </w:r>
                      </w:p>
                      <w:p w14:paraId="3609D873" w14:textId="77777777" w:rsidR="00512BBE" w:rsidRDefault="00512BBE" w:rsidP="00515FE7">
                        <w:pPr>
                          <w:pStyle w:val="2024-PRISMA"/>
                        </w:pPr>
                        <w:r w:rsidRPr="000A34EA">
                          <w:t>Manual</w:t>
                        </w:r>
                        <w:r>
                          <w:t xml:space="preserve"> or </w:t>
                        </w:r>
                        <w:r w:rsidRPr="000A34EA">
                          <w:t xml:space="preserve">citation </w:t>
                        </w:r>
                        <w:r>
                          <w:t xml:space="preserve">searching </w:t>
                        </w:r>
                        <w:r w:rsidRPr="000A34EA">
                          <w:t xml:space="preserve">(n = </w:t>
                        </w:r>
                        <w:r>
                          <w:t>0</w:t>
                        </w:r>
                        <w:r w:rsidRPr="000A34EA">
                          <w:t>)</w:t>
                        </w:r>
                      </w:p>
                      <w:p w14:paraId="32C19423" w14:textId="77777777" w:rsidR="00512BBE" w:rsidRPr="000A34EA" w:rsidRDefault="00512BBE" w:rsidP="00515FE7">
                        <w:pPr>
                          <w:pStyle w:val="2024-PRISMA"/>
                        </w:pPr>
                        <w:r>
                          <w:t>Department’s call for evidence</w:t>
                        </w:r>
                        <w:r w:rsidRPr="000A34EA">
                          <w:t xml:space="preserve"> (n = </w:t>
                        </w:r>
                        <w:r>
                          <w:t>0</w:t>
                        </w:r>
                        <w:r w:rsidRPr="000A34EA">
                          <w:t>)</w:t>
                        </w:r>
                      </w:p>
                    </w:txbxContent>
                  </v:textbox>
                </v:rect>
                <v:rect id="Rectangle 284410883" o:spid="_x0000_s1220" style="position:absolute;left:4997;top:15204;width:18872;height:52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" fillcolor="white [3212]" strokecolor="black [3213]" strokeweight="1pt">
                  <v:textbox>
                    <w:txbxContent>
                      <w:p w14:paraId="519CD8B6" w14:textId="77777777" w:rsidR="00512BBE" w:rsidRPr="000A34EA" w:rsidRDefault="00512BBE" w:rsidP="00515FE7">
                        <w:pPr>
                          <w:pStyle w:val="2024-PRISMA"/>
                        </w:pPr>
                        <w:r w:rsidRPr="000A34EA">
                          <w:t>Records screened</w:t>
                        </w:r>
                      </w:p>
                      <w:p w14:paraId="0932ADC4" w14:textId="08026730" w:rsidR="00512BBE" w:rsidRPr="000A34EA" w:rsidRDefault="00512BBE" w:rsidP="00515FE7">
                        <w:pPr>
                          <w:pStyle w:val="2024-PRISMA"/>
                        </w:pPr>
                        <w:r w:rsidRPr="000A34EA">
                          <w:t xml:space="preserve">(n = </w:t>
                        </w:r>
                        <w:r w:rsidR="009078F8">
                          <w:t>1006</w:t>
                        </w:r>
                        <w:r w:rsidRPr="000A34EA">
                          <w:t>)</w:t>
                        </w:r>
                      </w:p>
                    </w:txbxContent>
                  </v:textbox>
                </v:rect>
                <v:rect id="Rectangle 1968429060" o:spid="_x0000_s1221" style="position:absolute;left:4997;top:29771;width:18872;height:52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" fillcolor="white [3212]" strokecolor="black [3213]" strokeweight="1pt">
                  <v:textbox>
                    <w:txbxContent>
                      <w:p w14:paraId="6B931B6B" w14:textId="77777777" w:rsidR="00512BBE" w:rsidRPr="000A34EA" w:rsidRDefault="00512BBE" w:rsidP="00515FE7">
                        <w:pPr>
                          <w:pStyle w:val="2024-PRISMA"/>
                        </w:pPr>
                        <w:r w:rsidRPr="000A34EA">
                          <w:t>Reports assessed for eligibility</w:t>
                        </w:r>
                      </w:p>
                      <w:p w14:paraId="058FC665" w14:textId="1D3E5028" w:rsidR="00512BBE" w:rsidRPr="000A34EA" w:rsidRDefault="00512BBE" w:rsidP="00515FE7">
                        <w:pPr>
                          <w:pStyle w:val="2024-PRISMA"/>
                        </w:pPr>
                        <w:r w:rsidRPr="000A34EA">
                          <w:t xml:space="preserve">(n = </w:t>
                        </w:r>
                        <w:r w:rsidR="00E74801">
                          <w:t>20</w:t>
                        </w:r>
                        <w:r w:rsidRPr="000A34EA">
                          <w:t>)</w:t>
                        </w:r>
                      </w:p>
                    </w:txbxContent>
                  </v:textbox>
                </v:rect>
                <v:rect id="Rectangle 1051697097" o:spid="_x0000_s1222" style="position:absolute;left:4890;top:40403;width:18873;height:51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" fillcolor="white [3212]" strokecolor="black [3213]" strokeweight="1pt">
                  <v:textbox>
                    <w:txbxContent>
                      <w:p w14:paraId="52917C77" w14:textId="7DD1981C" w:rsidR="00512BBE" w:rsidRPr="000A34EA" w:rsidRDefault="00D90DD5" w:rsidP="00515FE7">
                        <w:pPr>
                          <w:pStyle w:val="2024-PRISMA"/>
                        </w:pPr>
                        <w:r>
                          <w:t>Reviews</w:t>
                        </w:r>
                        <w:r w:rsidRPr="000A34EA">
                          <w:t xml:space="preserve"> </w:t>
                        </w:r>
                        <w:r w:rsidR="00512BBE" w:rsidRPr="000A34EA">
                          <w:t xml:space="preserve">included in </w:t>
                        </w:r>
                        <w:r>
                          <w:t>over</w:t>
                        </w:r>
                        <w:r w:rsidR="00512BBE" w:rsidRPr="000A34EA">
                          <w:t>view</w:t>
                        </w:r>
                      </w:p>
                      <w:p w14:paraId="3260C603" w14:textId="1B37BF03" w:rsidR="00512BBE" w:rsidRPr="000A34EA" w:rsidRDefault="00512BBE" w:rsidP="00515FE7">
                        <w:pPr>
                          <w:pStyle w:val="2024-PRISMA"/>
                        </w:pPr>
                        <w:r w:rsidRPr="000A34EA">
                          <w:t xml:space="preserve">(n = </w:t>
                        </w:r>
                        <w:r w:rsidR="00646708">
                          <w:t>6</w:t>
                        </w:r>
                        <w:r w:rsidRPr="000A34EA">
                          <w:t>)</w:t>
                        </w:r>
                      </w:p>
                    </w:txbxContent>
                  </v:textbox>
                </v:rect>
                <v:rect id="Rectangle 424675994" o:spid="_x0000_s1223" style="position:absolute;left:4997;top:22434;width:18872;height:52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" fillcolor="white [3212]" strokecolor="black [3213]" strokeweight="1pt">
                  <v:textbox>
                    <w:txbxContent>
                      <w:p w14:paraId="1E7A1C0C" w14:textId="77777777" w:rsidR="00512BBE" w:rsidRPr="000A34EA" w:rsidRDefault="00512BBE" w:rsidP="00515FE7">
                        <w:pPr>
                          <w:pStyle w:val="2024-PRISMA"/>
                        </w:pPr>
                        <w:r w:rsidRPr="000A34EA">
                          <w:t>Reports sought for retrieval</w:t>
                        </w:r>
                      </w:p>
                      <w:p w14:paraId="4D92B08E" w14:textId="6AF83B11" w:rsidR="00512BBE" w:rsidRPr="000A34EA" w:rsidRDefault="00512BBE" w:rsidP="00515FE7">
                        <w:pPr>
                          <w:pStyle w:val="2024-PRISMA"/>
                        </w:pPr>
                        <w:r w:rsidRPr="000A34EA">
                          <w:t xml:space="preserve">(n = </w:t>
                        </w:r>
                        <w:r w:rsidR="009078F8">
                          <w:t>2</w:t>
                        </w:r>
                        <w:r w:rsidR="00E74801">
                          <w:t>7</w:t>
                        </w:r>
                        <w:r w:rsidRPr="000A34EA">
                          <w:t>)</w:t>
                        </w:r>
                      </w:p>
                    </w:txbxContent>
                  </v:textbox>
                </v:rect>
                <w10:wrap type="square"/>
              </v:group>
            </w:pict>
          </mc:Fallback>
        </mc:AlternateContent>
      </w:r>
    </w:p>
    <w:p w14:paraId="0F8AB2A9" w14:textId="77777777" w:rsidR="00512BBE" w:rsidRPr="0054775B" w:rsidRDefault="00512BBE" w:rsidP="009E6F7F"/>
    <w:p w14:paraId="56F4A93A" w14:textId="77777777" w:rsidR="00512BBE" w:rsidRPr="0054775B" w:rsidRDefault="00512BBE" w:rsidP="009E6F7F"/>
    <w:p w14:paraId="030CF9E1" w14:textId="77777777" w:rsidR="00512BBE" w:rsidRPr="0054775B" w:rsidRDefault="00512BBE" w:rsidP="009E6F7F"/>
    <w:p w14:paraId="23DADE1E" w14:textId="77777777" w:rsidR="00512BBE" w:rsidRPr="0054775B" w:rsidRDefault="00512BBE" w:rsidP="009E6F7F"/>
    <w:p w14:paraId="1E87F347" w14:textId="77777777" w:rsidR="00512BBE" w:rsidRPr="0054775B" w:rsidRDefault="00512BBE" w:rsidP="009E6F7F"/>
    <w:p w14:paraId="608CB51F" w14:textId="77777777" w:rsidR="00512BBE" w:rsidRPr="0054775B" w:rsidRDefault="00512BBE" w:rsidP="009E6F7F"/>
    <w:p w14:paraId="110D474C" w14:textId="77777777" w:rsidR="00512BBE" w:rsidRPr="0054775B" w:rsidRDefault="00512BBE" w:rsidP="009E6F7F"/>
    <w:p w14:paraId="4574EAB4" w14:textId="77777777" w:rsidR="00512BBE" w:rsidRPr="0054775B" w:rsidRDefault="00512BBE" w:rsidP="009E6F7F"/>
    <w:p w14:paraId="315CC8CB" w14:textId="77777777" w:rsidR="00512BBE" w:rsidRPr="0054775B" w:rsidRDefault="00512BBE" w:rsidP="009E6F7F"/>
    <w:p w14:paraId="4A6E0761" w14:textId="77777777" w:rsidR="00512BBE" w:rsidRPr="0054775B" w:rsidRDefault="00512BBE" w:rsidP="009E6F7F"/>
    <w:p w14:paraId="7A266B21" w14:textId="77777777" w:rsidR="006031F0" w:rsidRPr="0054775B" w:rsidRDefault="006031F0" w:rsidP="009E6F7F"/>
    <w:p w14:paraId="5836BCC7" w14:textId="77777777" w:rsidR="006031F0" w:rsidRPr="0054775B" w:rsidRDefault="006031F0" w:rsidP="009E6F7F"/>
    <w:p w14:paraId="42D9943E" w14:textId="77777777" w:rsidR="006031F0" w:rsidRPr="0054775B" w:rsidRDefault="006031F0" w:rsidP="009E6F7F"/>
    <w:p w14:paraId="465D8C0B" w14:textId="77777777" w:rsidR="006031F0" w:rsidRPr="0054775B" w:rsidRDefault="006031F0" w:rsidP="009E6F7F"/>
    <w:p w14:paraId="5AE3295C" w14:textId="77777777" w:rsidR="006031F0" w:rsidRPr="0054775B" w:rsidRDefault="006031F0" w:rsidP="009E6F7F"/>
    <w:p w14:paraId="31F66D93" w14:textId="77777777" w:rsidR="006031F0" w:rsidRPr="0054775B" w:rsidRDefault="006031F0" w:rsidP="009E6F7F"/>
    <w:p w14:paraId="36F1840B" w14:textId="0FC7AC37" w:rsidR="008308E9" w:rsidRPr="0054775B" w:rsidRDefault="008308E9" w:rsidP="009E6F7F">
      <w:pPr>
        <w:pStyle w:val="2024HEADER3"/>
        <w:rPr>
          <w:rFonts w:ascii="Aptos" w:hAnsi="Aptos"/>
        </w:rPr>
      </w:pPr>
      <w:r w:rsidRPr="0054775B">
        <w:rPr>
          <w:rFonts w:ascii="Aptos" w:hAnsi="Aptos"/>
        </w:rPr>
        <w:t>Description of included reviews</w:t>
      </w:r>
    </w:p>
    <w:p w14:paraId="44EBAA33" w14:textId="4DBAB3B7" w:rsidR="00FE2460" w:rsidRPr="0054775B" w:rsidRDefault="007E1508" w:rsidP="009E6F7F">
      <w:r w:rsidRPr="0054775B">
        <w:t>Six</w:t>
      </w:r>
      <w:r w:rsidR="00ED579C" w:rsidRPr="0054775B">
        <w:t xml:space="preserve"> reviews were identified as eligible for inclusion; </w:t>
      </w:r>
      <w:r w:rsidR="003C2AC9">
        <w:t xml:space="preserve">review </w:t>
      </w:r>
      <w:r w:rsidR="00ED579C" w:rsidRPr="0054775B">
        <w:t xml:space="preserve">characteristics are reported in detail in Appendix </w:t>
      </w:r>
      <w:r w:rsidR="006736A9">
        <w:t>D</w:t>
      </w:r>
      <w:r w:rsidR="00ED579C" w:rsidRPr="0054775B">
        <w:t>. The included reviews were conducted between 2017 and 2022</w:t>
      </w:r>
      <w:r w:rsidR="00453967" w:rsidRPr="0054775B">
        <w:t xml:space="preserve">; </w:t>
      </w:r>
      <w:r w:rsidR="00694517">
        <w:t xml:space="preserve">only one included </w:t>
      </w:r>
      <w:r w:rsidR="00A43040">
        <w:t>a meta-analysis.</w:t>
      </w:r>
    </w:p>
    <w:p w14:paraId="4D067B8F" w14:textId="5984BD66" w:rsidR="00260972" w:rsidRPr="0054775B" w:rsidRDefault="00260972" w:rsidP="009E6F7F">
      <w:r w:rsidRPr="0054775B">
        <w:t>Two reviews aimed to examine the effects of antioxidants (specifically CoQ10) on fatigue</w:t>
      </w:r>
      <w:r w:rsidR="00FE2460" w:rsidRPr="0054775B">
        <w:t xml:space="preserve"> </w:t>
      </w:r>
      <w:r w:rsidR="00F54937">
        <w:rPr>
          <w:noProof/>
        </w:rPr>
        <w:t>(144, 145)</w:t>
      </w:r>
      <w:r w:rsidRPr="0054775B">
        <w:t xml:space="preserve">. </w:t>
      </w:r>
      <w:r w:rsidR="00C20414" w:rsidRPr="0054775B">
        <w:t>Four</w:t>
      </w:r>
      <w:r w:rsidR="003A2549" w:rsidRPr="0054775B">
        <w:t xml:space="preserve"> reviews </w:t>
      </w:r>
      <w:r w:rsidR="0095795E" w:rsidRPr="0054775B">
        <w:t xml:space="preserve">aimed to </w:t>
      </w:r>
      <w:r w:rsidR="003A2549" w:rsidRPr="0054775B">
        <w:t xml:space="preserve">examine </w:t>
      </w:r>
      <w:r w:rsidR="002E48D8" w:rsidRPr="0054775B">
        <w:t>the impact of dietary supplements on</w:t>
      </w:r>
      <w:r w:rsidR="0095795E" w:rsidRPr="0054775B">
        <w:t xml:space="preserve"> symptoms (including fatigue) associated with</w:t>
      </w:r>
      <w:r w:rsidR="002E48D8" w:rsidRPr="0054775B">
        <w:t xml:space="preserve"> specific conditions (</w:t>
      </w:r>
      <w:r w:rsidR="0095795E" w:rsidRPr="0054775B">
        <w:t xml:space="preserve">CFS/ME, multiple sclerosis, </w:t>
      </w:r>
      <w:r w:rsidR="002E48D8" w:rsidRPr="0054775B">
        <w:t>breast cancer</w:t>
      </w:r>
      <w:r w:rsidR="0095795E" w:rsidRPr="0054775B">
        <w:t>)</w:t>
      </w:r>
      <w:r w:rsidR="000528B8" w:rsidRPr="0054775B">
        <w:t xml:space="preserve"> </w:t>
      </w:r>
      <w:r w:rsidR="00F54937">
        <w:rPr>
          <w:noProof/>
        </w:rPr>
        <w:t>(146-149)</w:t>
      </w:r>
      <w:r w:rsidR="005F3B1C" w:rsidRPr="0054775B">
        <w:t xml:space="preserve">. </w:t>
      </w:r>
      <w:r w:rsidR="00C20414" w:rsidRPr="0054775B">
        <w:t>Three</w:t>
      </w:r>
      <w:r w:rsidR="005F3B1C" w:rsidRPr="0054775B">
        <w:t xml:space="preserve"> </w:t>
      </w:r>
      <w:r w:rsidR="007D25EA">
        <w:t xml:space="preserve">of the 6 </w:t>
      </w:r>
      <w:r w:rsidR="005F3B1C" w:rsidRPr="0054775B">
        <w:t>reviews only included RCTs</w:t>
      </w:r>
      <w:r w:rsidR="00CB4413" w:rsidRPr="0054775B">
        <w:t xml:space="preserve"> </w:t>
      </w:r>
      <w:r w:rsidR="00F54937">
        <w:rPr>
          <w:noProof/>
        </w:rPr>
        <w:t>(144, 147, 148)</w:t>
      </w:r>
    </w:p>
    <w:p w14:paraId="6A636C31" w14:textId="77777777" w:rsidR="008308E9" w:rsidRPr="0054775B" w:rsidRDefault="008308E9" w:rsidP="009E6F7F">
      <w:pPr>
        <w:pStyle w:val="2024HEADER3"/>
        <w:rPr>
          <w:rFonts w:ascii="Aptos" w:hAnsi="Aptos"/>
        </w:rPr>
      </w:pPr>
      <w:r w:rsidRPr="0054775B">
        <w:rPr>
          <w:rFonts w:ascii="Aptos" w:hAnsi="Aptos"/>
        </w:rPr>
        <w:t>Assessment of risk of bias of included systematic reviews</w:t>
      </w:r>
    </w:p>
    <w:p w14:paraId="38AAA30F" w14:textId="40CFA627" w:rsidR="00ED579C" w:rsidRPr="0054775B" w:rsidRDefault="00ED579C" w:rsidP="00515FE7">
      <w:pPr>
        <w:rPr>
          <w:b/>
          <w:bCs/>
        </w:rPr>
      </w:pPr>
      <w:r w:rsidRPr="0054775B">
        <w:t xml:space="preserve">Risk </w:t>
      </w:r>
      <w:r w:rsidR="00726B7F" w:rsidRPr="0054775B">
        <w:t xml:space="preserve">of bias assessments of the included reviews, as appraised using the ROBIS tool, are presented below. </w:t>
      </w:r>
      <w:r w:rsidR="006D3FE4" w:rsidRPr="0054775B">
        <w:t xml:space="preserve">Full assessments are reported in Appendix </w:t>
      </w:r>
      <w:r w:rsidR="006736A9">
        <w:t>F</w:t>
      </w:r>
      <w:r w:rsidRPr="0054775B">
        <w:t>.</w:t>
      </w:r>
    </w:p>
    <w:p w14:paraId="71732AFA" w14:textId="550D8927" w:rsidR="00ED579C" w:rsidRPr="0054775B" w:rsidRDefault="00ED579C" w:rsidP="00515FE7">
      <w:pPr>
        <w:pStyle w:val="2024TABLECAPTION"/>
        <w:rPr>
          <w:rFonts w:ascii="Aptos" w:hAnsi="Aptos"/>
        </w:rPr>
      </w:pPr>
      <w:bookmarkStart w:id="104" w:name="_Toc185261608"/>
      <w:r w:rsidRPr="0054775B">
        <w:rPr>
          <w:rFonts w:ascii="Aptos" w:hAnsi="Aptos"/>
        </w:rPr>
        <w:t xml:space="preserve">Table </w:t>
      </w:r>
      <w:r w:rsidRPr="0054775B">
        <w:rPr>
          <w:rFonts w:ascii="Aptos" w:hAnsi="Aptos"/>
        </w:rPr>
        <w:fldChar w:fldCharType="begin"/>
      </w:r>
      <w:r w:rsidRPr="0054775B">
        <w:rPr>
          <w:rFonts w:ascii="Aptos" w:hAnsi="Aptos"/>
        </w:rPr>
        <w:instrText>SEQ Table \* ARABIC</w:instrText>
      </w:r>
      <w:r w:rsidRPr="0054775B">
        <w:rPr>
          <w:rFonts w:ascii="Aptos" w:hAnsi="Aptos"/>
        </w:rPr>
        <w:fldChar w:fldCharType="separate"/>
      </w:r>
      <w:r w:rsidR="00CB3AAD" w:rsidRPr="0054775B" w:rsidDel="004E7C54">
        <w:rPr>
          <w:rFonts w:ascii="Aptos" w:hAnsi="Aptos"/>
          <w:noProof/>
        </w:rPr>
        <w:t>30</w:t>
      </w:r>
      <w:r w:rsidRPr="0054775B">
        <w:rPr>
          <w:rFonts w:ascii="Aptos" w:hAnsi="Aptos"/>
        </w:rPr>
        <w:fldChar w:fldCharType="end"/>
      </w:r>
      <w:r w:rsidRPr="0054775B">
        <w:rPr>
          <w:rFonts w:ascii="Aptos" w:hAnsi="Aptos"/>
        </w:rPr>
        <w:t xml:space="preserve">. Summary of ROBIS assessments – </w:t>
      </w:r>
      <w:r w:rsidR="002749E7" w:rsidRPr="0054775B">
        <w:rPr>
          <w:rFonts w:ascii="Aptos" w:hAnsi="Aptos"/>
        </w:rPr>
        <w:t>f</w:t>
      </w:r>
      <w:r w:rsidRPr="0054775B">
        <w:rPr>
          <w:rFonts w:ascii="Aptos" w:hAnsi="Aptos"/>
        </w:rPr>
        <w:t xml:space="preserve">atigue (general) (including </w:t>
      </w:r>
      <w:r w:rsidR="002749E7" w:rsidRPr="0054775B">
        <w:rPr>
          <w:rFonts w:ascii="Aptos" w:hAnsi="Aptos"/>
        </w:rPr>
        <w:t>CFS and ME</w:t>
      </w:r>
      <w:r w:rsidRPr="0054775B">
        <w:rPr>
          <w:rFonts w:ascii="Aptos" w:hAnsi="Aptos"/>
        </w:rPr>
        <w:t xml:space="preserve">), </w:t>
      </w:r>
      <w:r w:rsidR="00726B7F" w:rsidRPr="0054775B">
        <w:rPr>
          <w:rFonts w:ascii="Aptos" w:hAnsi="Aptos"/>
        </w:rPr>
        <w:t>a</w:t>
      </w:r>
      <w:r w:rsidRPr="0054775B">
        <w:rPr>
          <w:rFonts w:ascii="Aptos" w:hAnsi="Aptos"/>
        </w:rPr>
        <w:t xml:space="preserve">ntioxidants (specifically CoQ10 and </w:t>
      </w:r>
      <w:r w:rsidR="00726B7F" w:rsidRPr="0054775B">
        <w:rPr>
          <w:rFonts w:ascii="Aptos" w:hAnsi="Aptos"/>
        </w:rPr>
        <w:t>ALA</w:t>
      </w:r>
      <w:r w:rsidRPr="0054775B">
        <w:rPr>
          <w:rFonts w:ascii="Aptos" w:hAnsi="Aptos"/>
        </w:rPr>
        <w:t>)</w:t>
      </w:r>
      <w:bookmarkEnd w:id="104"/>
    </w:p>
    <w:tbl>
      <w:tblPr>
        <w:tblW w:w="920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28" w:type="dxa"/>
        </w:tblCellMar>
        <w:tblLook w:val="04A0" w:firstRow="1" w:lastRow="0" w:firstColumn="1" w:lastColumn="0" w:noHBand="0" w:noVBand="1"/>
      </w:tblPr>
      <w:tblGrid>
        <w:gridCol w:w="1833"/>
        <w:gridCol w:w="1418"/>
        <w:gridCol w:w="1701"/>
        <w:gridCol w:w="1559"/>
        <w:gridCol w:w="1417"/>
        <w:gridCol w:w="1276"/>
      </w:tblGrid>
      <w:tr w:rsidR="008308E9" w:rsidRPr="0054775B" w14:paraId="1AA3E11A" w14:textId="77777777" w:rsidTr="00376977">
        <w:trPr>
          <w:trHeight w:val="95"/>
        </w:trPr>
        <w:tc>
          <w:tcPr>
            <w:tcW w:w="1833" w:type="dxa"/>
            <w:vMerge w:val="restart"/>
            <w:shd w:val="clear" w:color="auto" w:fill="D9D9D9" w:themeFill="background1" w:themeFillShade="D9"/>
            <w:vAlign w:val="center"/>
            <w:hideMark/>
          </w:tcPr>
          <w:p w14:paraId="0C08B689" w14:textId="77777777" w:rsidR="008308E9" w:rsidRPr="0054775B" w:rsidRDefault="008308E9" w:rsidP="00515FE7">
            <w:pPr>
              <w:pStyle w:val="2024TABLEHEADER"/>
            </w:pPr>
            <w:r w:rsidRPr="0054775B">
              <w:t>Review ID</w:t>
            </w:r>
          </w:p>
        </w:tc>
        <w:tc>
          <w:tcPr>
            <w:tcW w:w="6095" w:type="dxa"/>
            <w:gridSpan w:val="4"/>
            <w:shd w:val="clear" w:color="auto" w:fill="D9D9D9" w:themeFill="background1" w:themeFillShade="D9"/>
            <w:vAlign w:val="center"/>
          </w:tcPr>
          <w:p w14:paraId="454F7006" w14:textId="77777777" w:rsidR="008308E9" w:rsidRPr="0054775B" w:rsidRDefault="008308E9" w:rsidP="00515FE7">
            <w:pPr>
              <w:pStyle w:val="2024TABLEHEADER"/>
            </w:pPr>
            <w:r w:rsidRPr="0054775B">
              <w:t>ROBIS Domains</w:t>
            </w:r>
          </w:p>
        </w:tc>
        <w:tc>
          <w:tcPr>
            <w:tcW w:w="1276" w:type="dxa"/>
            <w:vMerge w:val="restart"/>
            <w:shd w:val="clear" w:color="auto" w:fill="D9D9D9" w:themeFill="background1" w:themeFillShade="D9"/>
            <w:vAlign w:val="center"/>
          </w:tcPr>
          <w:p w14:paraId="1389703F" w14:textId="77777777" w:rsidR="008308E9" w:rsidRPr="0054775B" w:rsidRDefault="008308E9" w:rsidP="00515FE7">
            <w:pPr>
              <w:pStyle w:val="2024TABLEHEADER"/>
            </w:pPr>
            <w:r w:rsidRPr="0054775B">
              <w:t>Overall risk of bias</w:t>
            </w:r>
          </w:p>
        </w:tc>
      </w:tr>
      <w:tr w:rsidR="008308E9" w:rsidRPr="0054775B" w14:paraId="72188ADA" w14:textId="77777777" w:rsidTr="00376977">
        <w:trPr>
          <w:trHeight w:val="95"/>
        </w:trPr>
        <w:tc>
          <w:tcPr>
            <w:tcW w:w="1833" w:type="dxa"/>
            <w:vMerge/>
            <w:shd w:val="clear" w:color="auto" w:fill="D9D9D9" w:themeFill="background1" w:themeFillShade="D9"/>
            <w:vAlign w:val="center"/>
          </w:tcPr>
          <w:p w14:paraId="1BFF6F79" w14:textId="77777777" w:rsidR="008308E9" w:rsidRPr="0054775B" w:rsidRDefault="008308E9" w:rsidP="00515FE7">
            <w:pPr>
              <w:pStyle w:val="2024TABLEHEADER"/>
            </w:pPr>
          </w:p>
        </w:tc>
        <w:tc>
          <w:tcPr>
            <w:tcW w:w="1418" w:type="dxa"/>
            <w:shd w:val="clear" w:color="auto" w:fill="F2F2F2" w:themeFill="background1" w:themeFillShade="F2"/>
            <w:vAlign w:val="center"/>
          </w:tcPr>
          <w:p w14:paraId="3164444F" w14:textId="77777777" w:rsidR="008308E9" w:rsidRPr="0054775B" w:rsidRDefault="008308E9" w:rsidP="00515FE7">
            <w:pPr>
              <w:pStyle w:val="2024TABLEHEADER"/>
            </w:pPr>
            <w:r w:rsidRPr="0054775B">
              <w:t>Domain 1: Study eligibility criteria</w:t>
            </w:r>
          </w:p>
        </w:tc>
        <w:tc>
          <w:tcPr>
            <w:tcW w:w="1701" w:type="dxa"/>
            <w:shd w:val="clear" w:color="auto" w:fill="F2F2F2" w:themeFill="background1" w:themeFillShade="F2"/>
            <w:vAlign w:val="center"/>
          </w:tcPr>
          <w:p w14:paraId="6E9D4BE2" w14:textId="77777777" w:rsidR="008308E9" w:rsidRPr="0054775B" w:rsidRDefault="008308E9" w:rsidP="00515FE7">
            <w:pPr>
              <w:pStyle w:val="2024TABLEHEADER"/>
            </w:pPr>
            <w:r w:rsidRPr="0054775B">
              <w:t>Domain 2: Identification and selection of studies</w:t>
            </w:r>
          </w:p>
        </w:tc>
        <w:tc>
          <w:tcPr>
            <w:tcW w:w="1559" w:type="dxa"/>
            <w:shd w:val="clear" w:color="auto" w:fill="F2F2F2" w:themeFill="background1" w:themeFillShade="F2"/>
            <w:vAlign w:val="center"/>
          </w:tcPr>
          <w:p w14:paraId="23751E5B" w14:textId="77777777" w:rsidR="008308E9" w:rsidRPr="0054775B" w:rsidRDefault="008308E9" w:rsidP="00515FE7">
            <w:pPr>
              <w:pStyle w:val="2024TABLEHEADER"/>
            </w:pPr>
            <w:r w:rsidRPr="0054775B">
              <w:t>Domain 3: Data collection and study appraisal</w:t>
            </w:r>
          </w:p>
        </w:tc>
        <w:tc>
          <w:tcPr>
            <w:tcW w:w="1417" w:type="dxa"/>
            <w:shd w:val="clear" w:color="auto" w:fill="F2F2F2" w:themeFill="background1" w:themeFillShade="F2"/>
            <w:vAlign w:val="center"/>
          </w:tcPr>
          <w:p w14:paraId="5F1A4945" w14:textId="77777777" w:rsidR="008308E9" w:rsidRPr="0054775B" w:rsidRDefault="008308E9" w:rsidP="00515FE7">
            <w:pPr>
              <w:pStyle w:val="2024TABLEHEADER"/>
            </w:pPr>
            <w:r w:rsidRPr="0054775B">
              <w:t>Domain 4: Synthesis and findings</w:t>
            </w:r>
          </w:p>
        </w:tc>
        <w:tc>
          <w:tcPr>
            <w:tcW w:w="1276" w:type="dxa"/>
            <w:vMerge/>
            <w:shd w:val="clear" w:color="auto" w:fill="D9D9D9" w:themeFill="background1" w:themeFillShade="D9"/>
            <w:vAlign w:val="center"/>
          </w:tcPr>
          <w:p w14:paraId="0E79CF76" w14:textId="77777777" w:rsidR="008308E9" w:rsidRPr="0054775B" w:rsidRDefault="008308E9" w:rsidP="009E6F7F">
            <w:pPr>
              <w:pStyle w:val="TABLE"/>
              <w:rPr>
                <w:rFonts w:ascii="Aptos" w:hAnsi="Aptos"/>
              </w:rPr>
            </w:pPr>
          </w:p>
        </w:tc>
      </w:tr>
      <w:tr w:rsidR="00E642EA" w:rsidRPr="0054775B" w14:paraId="03780465" w14:textId="77777777" w:rsidTr="00376977">
        <w:trPr>
          <w:trHeight w:val="95"/>
        </w:trPr>
        <w:tc>
          <w:tcPr>
            <w:tcW w:w="1833" w:type="dxa"/>
            <w:shd w:val="clear" w:color="auto" w:fill="auto"/>
            <w:vAlign w:val="bottom"/>
          </w:tcPr>
          <w:p w14:paraId="3293B4BF" w14:textId="2DD63FC3" w:rsidR="00E642EA" w:rsidRPr="0054775B" w:rsidRDefault="00E642EA" w:rsidP="002749E7">
            <w:pPr>
              <w:pStyle w:val="2024TABLETEXT"/>
              <w:framePr w:hSpace="0" w:wrap="auto" w:vAnchor="margin" w:yAlign="inline"/>
              <w:suppressOverlap w:val="0"/>
            </w:pPr>
            <w:r w:rsidRPr="0054775B">
              <w:t>Campagnolo 2017</w:t>
            </w:r>
          </w:p>
        </w:tc>
        <w:tc>
          <w:tcPr>
            <w:tcW w:w="1418" w:type="dxa"/>
            <w:shd w:val="clear" w:color="auto" w:fill="auto"/>
          </w:tcPr>
          <w:p w14:paraId="6789DE46" w14:textId="2A6983F0" w:rsidR="00E642EA" w:rsidRPr="0054775B" w:rsidRDefault="00E642EA" w:rsidP="002749E7">
            <w:pPr>
              <w:pStyle w:val="2024TABLETEXT"/>
              <w:framePr w:hSpace="0" w:wrap="auto" w:vAnchor="margin" w:yAlign="inline"/>
              <w:suppressOverlap w:val="0"/>
              <w:rPr>
                <w:b/>
                <w:bCs/>
              </w:rPr>
            </w:pPr>
            <w:r w:rsidRPr="0054775B">
              <w:t>Low</w:t>
            </w:r>
          </w:p>
        </w:tc>
        <w:tc>
          <w:tcPr>
            <w:tcW w:w="1701" w:type="dxa"/>
            <w:shd w:val="clear" w:color="auto" w:fill="auto"/>
          </w:tcPr>
          <w:p w14:paraId="2F2109EF" w14:textId="0EB9C097" w:rsidR="00E642EA" w:rsidRPr="0054775B" w:rsidRDefault="00804783" w:rsidP="002749E7">
            <w:pPr>
              <w:pStyle w:val="2024TABLETEXT"/>
              <w:framePr w:hSpace="0" w:wrap="auto" w:vAnchor="margin" w:yAlign="inline"/>
              <w:suppressOverlap w:val="0"/>
              <w:rPr>
                <w:b/>
                <w:bCs/>
              </w:rPr>
            </w:pPr>
            <w:r w:rsidRPr="0054775B">
              <w:t>Unclear</w:t>
            </w:r>
          </w:p>
        </w:tc>
        <w:tc>
          <w:tcPr>
            <w:tcW w:w="1559" w:type="dxa"/>
            <w:shd w:val="clear" w:color="auto" w:fill="auto"/>
          </w:tcPr>
          <w:p w14:paraId="2186DBE2" w14:textId="33E234B6" w:rsidR="00E642EA" w:rsidRPr="0054775B" w:rsidRDefault="00E642EA" w:rsidP="002749E7">
            <w:pPr>
              <w:pStyle w:val="2024TABLETEXT"/>
              <w:framePr w:hSpace="0" w:wrap="auto" w:vAnchor="margin" w:yAlign="inline"/>
              <w:suppressOverlap w:val="0"/>
              <w:rPr>
                <w:b/>
                <w:bCs/>
              </w:rPr>
            </w:pPr>
            <w:r w:rsidRPr="0054775B">
              <w:t>Unclear</w:t>
            </w:r>
          </w:p>
        </w:tc>
        <w:tc>
          <w:tcPr>
            <w:tcW w:w="1417" w:type="dxa"/>
            <w:shd w:val="clear" w:color="auto" w:fill="auto"/>
          </w:tcPr>
          <w:p w14:paraId="4DAE4092" w14:textId="1DE2F929" w:rsidR="00E642EA" w:rsidRPr="0054775B" w:rsidRDefault="00804783" w:rsidP="002749E7">
            <w:pPr>
              <w:pStyle w:val="2024TABLETEXT"/>
              <w:framePr w:hSpace="0" w:wrap="auto" w:vAnchor="margin" w:yAlign="inline"/>
              <w:suppressOverlap w:val="0"/>
              <w:rPr>
                <w:b/>
                <w:bCs/>
              </w:rPr>
            </w:pPr>
            <w:r w:rsidRPr="0054775B">
              <w:t>Unclear</w:t>
            </w:r>
          </w:p>
        </w:tc>
        <w:tc>
          <w:tcPr>
            <w:tcW w:w="1276" w:type="dxa"/>
            <w:shd w:val="clear" w:color="auto" w:fill="auto"/>
          </w:tcPr>
          <w:p w14:paraId="30F00837" w14:textId="0A755969" w:rsidR="00E642EA" w:rsidRPr="0054775B" w:rsidRDefault="00804783" w:rsidP="002749E7">
            <w:pPr>
              <w:pStyle w:val="2024TABLETEXT"/>
              <w:framePr w:hSpace="0" w:wrap="auto" w:vAnchor="margin" w:yAlign="inline"/>
              <w:suppressOverlap w:val="0"/>
              <w:rPr>
                <w:b/>
                <w:bCs/>
              </w:rPr>
            </w:pPr>
            <w:r>
              <w:t>Unclear</w:t>
            </w:r>
            <w:r w:rsidR="00376977" w:rsidRPr="0054775B">
              <w:t xml:space="preserve"> risk</w:t>
            </w:r>
          </w:p>
        </w:tc>
      </w:tr>
      <w:tr w:rsidR="00E642EA" w:rsidRPr="0054775B" w14:paraId="18762BF2" w14:textId="77777777" w:rsidTr="00376977">
        <w:trPr>
          <w:trHeight w:val="95"/>
        </w:trPr>
        <w:tc>
          <w:tcPr>
            <w:tcW w:w="1833" w:type="dxa"/>
            <w:shd w:val="clear" w:color="auto" w:fill="auto"/>
            <w:vAlign w:val="bottom"/>
          </w:tcPr>
          <w:p w14:paraId="2E4D4513" w14:textId="0F58F47C" w:rsidR="00E642EA" w:rsidRPr="0054775B" w:rsidRDefault="00E642EA" w:rsidP="002749E7">
            <w:pPr>
              <w:pStyle w:val="2024TABLETEXT"/>
              <w:framePr w:hSpace="0" w:wrap="auto" w:vAnchor="margin" w:yAlign="inline"/>
              <w:suppressOverlap w:val="0"/>
            </w:pPr>
            <w:r w:rsidRPr="0054775B">
              <w:t>Kim 2020</w:t>
            </w:r>
          </w:p>
        </w:tc>
        <w:tc>
          <w:tcPr>
            <w:tcW w:w="1418" w:type="dxa"/>
            <w:shd w:val="clear" w:color="auto" w:fill="auto"/>
          </w:tcPr>
          <w:p w14:paraId="655FAE16" w14:textId="2CF74A5B" w:rsidR="00E642EA" w:rsidRPr="0054775B" w:rsidRDefault="00E642EA" w:rsidP="002749E7">
            <w:pPr>
              <w:pStyle w:val="2024TABLETEXT"/>
              <w:framePr w:hSpace="0" w:wrap="auto" w:vAnchor="margin" w:yAlign="inline"/>
              <w:suppressOverlap w:val="0"/>
              <w:rPr>
                <w:b/>
                <w:bCs/>
              </w:rPr>
            </w:pPr>
            <w:r w:rsidRPr="0054775B">
              <w:t>Low</w:t>
            </w:r>
          </w:p>
        </w:tc>
        <w:tc>
          <w:tcPr>
            <w:tcW w:w="1701" w:type="dxa"/>
            <w:shd w:val="clear" w:color="auto" w:fill="auto"/>
          </w:tcPr>
          <w:p w14:paraId="22A66713" w14:textId="02C17DE8" w:rsidR="00E642EA" w:rsidRPr="0054775B" w:rsidRDefault="00E642EA" w:rsidP="002749E7">
            <w:pPr>
              <w:pStyle w:val="2024TABLETEXT"/>
              <w:framePr w:hSpace="0" w:wrap="auto" w:vAnchor="margin" w:yAlign="inline"/>
              <w:suppressOverlap w:val="0"/>
              <w:rPr>
                <w:b/>
                <w:bCs/>
              </w:rPr>
            </w:pPr>
            <w:r w:rsidRPr="0054775B">
              <w:t>Unclear</w:t>
            </w:r>
          </w:p>
        </w:tc>
        <w:tc>
          <w:tcPr>
            <w:tcW w:w="1559" w:type="dxa"/>
            <w:shd w:val="clear" w:color="auto" w:fill="auto"/>
          </w:tcPr>
          <w:p w14:paraId="64CCF8A6" w14:textId="755DCB2F" w:rsidR="00E642EA" w:rsidRPr="0054775B" w:rsidRDefault="00E642EA" w:rsidP="002749E7">
            <w:pPr>
              <w:pStyle w:val="2024TABLETEXT"/>
              <w:framePr w:hSpace="0" w:wrap="auto" w:vAnchor="margin" w:yAlign="inline"/>
              <w:suppressOverlap w:val="0"/>
              <w:rPr>
                <w:b/>
                <w:bCs/>
              </w:rPr>
            </w:pPr>
            <w:r w:rsidRPr="0054775B">
              <w:t>Unclear</w:t>
            </w:r>
          </w:p>
        </w:tc>
        <w:tc>
          <w:tcPr>
            <w:tcW w:w="1417" w:type="dxa"/>
            <w:shd w:val="clear" w:color="auto" w:fill="auto"/>
          </w:tcPr>
          <w:p w14:paraId="266BF3B7" w14:textId="4B0C37B5" w:rsidR="00E642EA" w:rsidRPr="0054775B" w:rsidRDefault="00E15A1D" w:rsidP="002749E7">
            <w:pPr>
              <w:pStyle w:val="2024TABLETEXT"/>
              <w:framePr w:hSpace="0" w:wrap="auto" w:vAnchor="margin" w:yAlign="inline"/>
              <w:suppressOverlap w:val="0"/>
              <w:rPr>
                <w:b/>
                <w:bCs/>
              </w:rPr>
            </w:pPr>
            <w:r w:rsidRPr="0054775B">
              <w:t>Unclear</w:t>
            </w:r>
          </w:p>
        </w:tc>
        <w:tc>
          <w:tcPr>
            <w:tcW w:w="1276" w:type="dxa"/>
            <w:shd w:val="clear" w:color="auto" w:fill="auto"/>
          </w:tcPr>
          <w:p w14:paraId="16716D2E" w14:textId="03D0F445" w:rsidR="00E642EA" w:rsidRPr="0054775B" w:rsidRDefault="00376977" w:rsidP="002749E7">
            <w:pPr>
              <w:pStyle w:val="2024TABLETEXT"/>
              <w:framePr w:hSpace="0" w:wrap="auto" w:vAnchor="margin" w:yAlign="inline"/>
              <w:suppressOverlap w:val="0"/>
              <w:rPr>
                <w:b/>
                <w:bCs/>
              </w:rPr>
            </w:pPr>
            <w:r w:rsidRPr="0054775B">
              <w:t>Unclear risk</w:t>
            </w:r>
          </w:p>
        </w:tc>
      </w:tr>
      <w:tr w:rsidR="00376977" w:rsidRPr="0054775B" w14:paraId="0BFE3961" w14:textId="77777777" w:rsidTr="00376977">
        <w:trPr>
          <w:trHeight w:val="95"/>
        </w:trPr>
        <w:tc>
          <w:tcPr>
            <w:tcW w:w="1833" w:type="dxa"/>
            <w:shd w:val="clear" w:color="auto" w:fill="auto"/>
            <w:vAlign w:val="bottom"/>
          </w:tcPr>
          <w:p w14:paraId="1094A030" w14:textId="62A7E7F3" w:rsidR="00376977" w:rsidRPr="0054775B" w:rsidRDefault="00376977" w:rsidP="002749E7">
            <w:pPr>
              <w:pStyle w:val="2024TABLETEXT"/>
              <w:framePr w:hSpace="0" w:wrap="auto" w:vAnchor="margin" w:yAlign="inline"/>
              <w:suppressOverlap w:val="0"/>
            </w:pPr>
            <w:r w:rsidRPr="0054775B">
              <w:t>Marx 2019</w:t>
            </w:r>
          </w:p>
        </w:tc>
        <w:tc>
          <w:tcPr>
            <w:tcW w:w="1418" w:type="dxa"/>
            <w:shd w:val="clear" w:color="auto" w:fill="auto"/>
          </w:tcPr>
          <w:p w14:paraId="30D20C55" w14:textId="25EC596E" w:rsidR="00376977" w:rsidRPr="0054775B" w:rsidRDefault="00376977" w:rsidP="002749E7">
            <w:pPr>
              <w:pStyle w:val="2024TABLETEXT"/>
              <w:framePr w:hSpace="0" w:wrap="auto" w:vAnchor="margin" w:yAlign="inline"/>
              <w:suppressOverlap w:val="0"/>
              <w:rPr>
                <w:b/>
                <w:bCs/>
              </w:rPr>
            </w:pPr>
            <w:r w:rsidRPr="0054775B">
              <w:t>Low</w:t>
            </w:r>
          </w:p>
        </w:tc>
        <w:tc>
          <w:tcPr>
            <w:tcW w:w="1701" w:type="dxa"/>
            <w:shd w:val="clear" w:color="auto" w:fill="auto"/>
          </w:tcPr>
          <w:p w14:paraId="052FE9E1" w14:textId="53F22FF0" w:rsidR="00376977" w:rsidRPr="0054775B" w:rsidRDefault="00376977" w:rsidP="002749E7">
            <w:pPr>
              <w:pStyle w:val="2024TABLETEXT"/>
              <w:framePr w:hSpace="0" w:wrap="auto" w:vAnchor="margin" w:yAlign="inline"/>
              <w:suppressOverlap w:val="0"/>
              <w:rPr>
                <w:b/>
                <w:bCs/>
              </w:rPr>
            </w:pPr>
            <w:r w:rsidRPr="0054775B">
              <w:t>Low</w:t>
            </w:r>
          </w:p>
        </w:tc>
        <w:tc>
          <w:tcPr>
            <w:tcW w:w="1559" w:type="dxa"/>
            <w:shd w:val="clear" w:color="auto" w:fill="auto"/>
          </w:tcPr>
          <w:p w14:paraId="1A2C1DC7" w14:textId="42ECD557" w:rsidR="00376977" w:rsidRPr="0054775B" w:rsidRDefault="00376977" w:rsidP="002749E7">
            <w:pPr>
              <w:pStyle w:val="2024TABLETEXT"/>
              <w:framePr w:hSpace="0" w:wrap="auto" w:vAnchor="margin" w:yAlign="inline"/>
              <w:suppressOverlap w:val="0"/>
              <w:rPr>
                <w:b/>
                <w:bCs/>
              </w:rPr>
            </w:pPr>
            <w:r w:rsidRPr="0054775B">
              <w:t>Unclear</w:t>
            </w:r>
          </w:p>
        </w:tc>
        <w:tc>
          <w:tcPr>
            <w:tcW w:w="1417" w:type="dxa"/>
            <w:shd w:val="clear" w:color="auto" w:fill="auto"/>
          </w:tcPr>
          <w:p w14:paraId="297F283F" w14:textId="47A3D96E" w:rsidR="00376977" w:rsidRPr="0054775B" w:rsidRDefault="00E15A1D" w:rsidP="002749E7">
            <w:pPr>
              <w:pStyle w:val="2024TABLETEXT"/>
              <w:framePr w:hSpace="0" w:wrap="auto" w:vAnchor="margin" w:yAlign="inline"/>
              <w:suppressOverlap w:val="0"/>
              <w:rPr>
                <w:b/>
                <w:bCs/>
              </w:rPr>
            </w:pPr>
            <w:r w:rsidRPr="0054775B">
              <w:t>Unclear</w:t>
            </w:r>
          </w:p>
        </w:tc>
        <w:tc>
          <w:tcPr>
            <w:tcW w:w="1276" w:type="dxa"/>
            <w:shd w:val="clear" w:color="auto" w:fill="auto"/>
          </w:tcPr>
          <w:p w14:paraId="0E37C145" w14:textId="373C0DD2" w:rsidR="00376977" w:rsidRPr="0054775B" w:rsidRDefault="00E15A1D" w:rsidP="002749E7">
            <w:pPr>
              <w:pStyle w:val="2024TABLETEXT"/>
              <w:framePr w:hSpace="0" w:wrap="auto" w:vAnchor="margin" w:yAlign="inline"/>
              <w:suppressOverlap w:val="0"/>
              <w:rPr>
                <w:b/>
                <w:bCs/>
              </w:rPr>
            </w:pPr>
            <w:r w:rsidRPr="0054775B">
              <w:t>Unclear</w:t>
            </w:r>
            <w:r>
              <w:t xml:space="preserve"> </w:t>
            </w:r>
            <w:r w:rsidR="00376977" w:rsidRPr="0054775B">
              <w:t>risk</w:t>
            </w:r>
          </w:p>
        </w:tc>
      </w:tr>
      <w:tr w:rsidR="00376977" w:rsidRPr="0054775B" w14:paraId="570314BA" w14:textId="77777777" w:rsidTr="00376977">
        <w:trPr>
          <w:trHeight w:val="95"/>
        </w:trPr>
        <w:tc>
          <w:tcPr>
            <w:tcW w:w="1833" w:type="dxa"/>
            <w:shd w:val="clear" w:color="auto" w:fill="auto"/>
            <w:vAlign w:val="bottom"/>
          </w:tcPr>
          <w:p w14:paraId="15101482" w14:textId="5E7A4A3D" w:rsidR="00376977" w:rsidRPr="0054775B" w:rsidRDefault="00376977" w:rsidP="002749E7">
            <w:pPr>
              <w:pStyle w:val="2024TABLETEXT"/>
              <w:framePr w:hSpace="0" w:wrap="auto" w:vAnchor="margin" w:yAlign="inline"/>
              <w:suppressOverlap w:val="0"/>
            </w:pPr>
            <w:r w:rsidRPr="0054775B">
              <w:t>Mehrabani 2019</w:t>
            </w:r>
          </w:p>
        </w:tc>
        <w:tc>
          <w:tcPr>
            <w:tcW w:w="1418" w:type="dxa"/>
            <w:shd w:val="clear" w:color="auto" w:fill="auto"/>
          </w:tcPr>
          <w:p w14:paraId="24EF8EBA" w14:textId="772F98AA" w:rsidR="00376977" w:rsidRPr="0054775B" w:rsidRDefault="00376977" w:rsidP="002749E7">
            <w:pPr>
              <w:pStyle w:val="2024TABLETEXT"/>
              <w:framePr w:hSpace="0" w:wrap="auto" w:vAnchor="margin" w:yAlign="inline"/>
              <w:suppressOverlap w:val="0"/>
              <w:rPr>
                <w:b/>
                <w:bCs/>
              </w:rPr>
            </w:pPr>
            <w:r w:rsidRPr="0054775B">
              <w:t>Low</w:t>
            </w:r>
          </w:p>
        </w:tc>
        <w:tc>
          <w:tcPr>
            <w:tcW w:w="1701" w:type="dxa"/>
            <w:shd w:val="clear" w:color="auto" w:fill="auto"/>
          </w:tcPr>
          <w:p w14:paraId="154344B3" w14:textId="702AA450" w:rsidR="00376977" w:rsidRPr="0054775B" w:rsidRDefault="00376977" w:rsidP="002749E7">
            <w:pPr>
              <w:pStyle w:val="2024TABLETEXT"/>
              <w:framePr w:hSpace="0" w:wrap="auto" w:vAnchor="margin" w:yAlign="inline"/>
              <w:suppressOverlap w:val="0"/>
              <w:rPr>
                <w:b/>
                <w:bCs/>
              </w:rPr>
            </w:pPr>
            <w:r w:rsidRPr="0054775B">
              <w:t>Unclear</w:t>
            </w:r>
          </w:p>
        </w:tc>
        <w:tc>
          <w:tcPr>
            <w:tcW w:w="1559" w:type="dxa"/>
            <w:shd w:val="clear" w:color="auto" w:fill="auto"/>
          </w:tcPr>
          <w:p w14:paraId="50AF334F" w14:textId="3B714480" w:rsidR="00376977" w:rsidRPr="0054775B" w:rsidRDefault="00376977" w:rsidP="002749E7">
            <w:pPr>
              <w:pStyle w:val="2024TABLETEXT"/>
              <w:framePr w:hSpace="0" w:wrap="auto" w:vAnchor="margin" w:yAlign="inline"/>
              <w:suppressOverlap w:val="0"/>
              <w:rPr>
                <w:b/>
                <w:bCs/>
              </w:rPr>
            </w:pPr>
            <w:r w:rsidRPr="0054775B">
              <w:t>Low</w:t>
            </w:r>
          </w:p>
        </w:tc>
        <w:tc>
          <w:tcPr>
            <w:tcW w:w="1417" w:type="dxa"/>
            <w:shd w:val="clear" w:color="auto" w:fill="auto"/>
          </w:tcPr>
          <w:p w14:paraId="6C5044F3" w14:textId="57FB0388" w:rsidR="00376977" w:rsidRPr="0054775B" w:rsidRDefault="00E15A1D" w:rsidP="002749E7">
            <w:pPr>
              <w:pStyle w:val="2024TABLETEXT"/>
              <w:framePr w:hSpace="0" w:wrap="auto" w:vAnchor="margin" w:yAlign="inline"/>
              <w:suppressOverlap w:val="0"/>
              <w:rPr>
                <w:b/>
                <w:bCs/>
              </w:rPr>
            </w:pPr>
            <w:r w:rsidRPr="0054775B">
              <w:t>Unclear</w:t>
            </w:r>
          </w:p>
        </w:tc>
        <w:tc>
          <w:tcPr>
            <w:tcW w:w="1276" w:type="dxa"/>
            <w:shd w:val="clear" w:color="auto" w:fill="auto"/>
          </w:tcPr>
          <w:p w14:paraId="5E7203A7" w14:textId="177FBFF7" w:rsidR="00376977" w:rsidRPr="0054775B" w:rsidRDefault="00E15A1D" w:rsidP="002749E7">
            <w:pPr>
              <w:pStyle w:val="2024TABLETEXT"/>
              <w:framePr w:hSpace="0" w:wrap="auto" w:vAnchor="margin" w:yAlign="inline"/>
              <w:suppressOverlap w:val="0"/>
              <w:rPr>
                <w:b/>
                <w:bCs/>
              </w:rPr>
            </w:pPr>
            <w:r w:rsidRPr="0054775B">
              <w:t>Unclear</w:t>
            </w:r>
            <w:r>
              <w:t xml:space="preserve"> </w:t>
            </w:r>
            <w:r w:rsidR="00376977" w:rsidRPr="0054775B">
              <w:t>risk</w:t>
            </w:r>
          </w:p>
        </w:tc>
      </w:tr>
      <w:tr w:rsidR="00376977" w:rsidRPr="0054775B" w14:paraId="703A781B" w14:textId="77777777" w:rsidTr="00376977">
        <w:trPr>
          <w:trHeight w:val="95"/>
        </w:trPr>
        <w:tc>
          <w:tcPr>
            <w:tcW w:w="1833" w:type="dxa"/>
            <w:shd w:val="clear" w:color="auto" w:fill="auto"/>
            <w:vAlign w:val="bottom"/>
          </w:tcPr>
          <w:p w14:paraId="1732B6D4" w14:textId="65806DD9" w:rsidR="00376977" w:rsidRPr="0054775B" w:rsidRDefault="00376977" w:rsidP="002749E7">
            <w:pPr>
              <w:pStyle w:val="2024TABLETEXT"/>
              <w:framePr w:hSpace="0" w:wrap="auto" w:vAnchor="margin" w:yAlign="inline"/>
              <w:suppressOverlap w:val="0"/>
            </w:pPr>
            <w:r w:rsidRPr="0054775B">
              <w:t>Pereira 2018</w:t>
            </w:r>
          </w:p>
        </w:tc>
        <w:tc>
          <w:tcPr>
            <w:tcW w:w="1418" w:type="dxa"/>
            <w:shd w:val="clear" w:color="auto" w:fill="auto"/>
          </w:tcPr>
          <w:p w14:paraId="0F9C9E23" w14:textId="4CBDE74A" w:rsidR="00376977" w:rsidRPr="0054775B" w:rsidRDefault="00376977" w:rsidP="002749E7">
            <w:pPr>
              <w:pStyle w:val="2024TABLETEXT"/>
              <w:framePr w:hSpace="0" w:wrap="auto" w:vAnchor="margin" w:yAlign="inline"/>
              <w:suppressOverlap w:val="0"/>
              <w:rPr>
                <w:b/>
                <w:bCs/>
              </w:rPr>
            </w:pPr>
            <w:r w:rsidRPr="0054775B">
              <w:t>Low</w:t>
            </w:r>
          </w:p>
        </w:tc>
        <w:tc>
          <w:tcPr>
            <w:tcW w:w="1701" w:type="dxa"/>
            <w:shd w:val="clear" w:color="auto" w:fill="auto"/>
          </w:tcPr>
          <w:p w14:paraId="066B6442" w14:textId="14C4A7CF" w:rsidR="00376977" w:rsidRPr="0054775B" w:rsidRDefault="00E15A1D" w:rsidP="002749E7">
            <w:pPr>
              <w:pStyle w:val="2024TABLETEXT"/>
              <w:framePr w:hSpace="0" w:wrap="auto" w:vAnchor="margin" w:yAlign="inline"/>
              <w:suppressOverlap w:val="0"/>
              <w:rPr>
                <w:b/>
                <w:bCs/>
              </w:rPr>
            </w:pPr>
            <w:r w:rsidRPr="0054775B">
              <w:t>Low</w:t>
            </w:r>
            <w:r w:rsidRPr="0054775B" w:rsidDel="006173D8">
              <w:t xml:space="preserve"> </w:t>
            </w:r>
          </w:p>
        </w:tc>
        <w:tc>
          <w:tcPr>
            <w:tcW w:w="1559" w:type="dxa"/>
            <w:shd w:val="clear" w:color="auto" w:fill="auto"/>
          </w:tcPr>
          <w:p w14:paraId="60F1ECA6" w14:textId="2A8D5A3E" w:rsidR="00376977" w:rsidRPr="0054775B" w:rsidRDefault="00E15A1D" w:rsidP="002749E7">
            <w:pPr>
              <w:pStyle w:val="2024TABLETEXT"/>
              <w:framePr w:hSpace="0" w:wrap="auto" w:vAnchor="margin" w:yAlign="inline"/>
              <w:suppressOverlap w:val="0"/>
              <w:rPr>
                <w:b/>
                <w:bCs/>
              </w:rPr>
            </w:pPr>
            <w:r w:rsidRPr="0054775B">
              <w:t>Low</w:t>
            </w:r>
            <w:r w:rsidRPr="0054775B" w:rsidDel="006173D8">
              <w:t xml:space="preserve"> </w:t>
            </w:r>
          </w:p>
        </w:tc>
        <w:tc>
          <w:tcPr>
            <w:tcW w:w="1417" w:type="dxa"/>
            <w:shd w:val="clear" w:color="auto" w:fill="auto"/>
          </w:tcPr>
          <w:p w14:paraId="3C1090BE" w14:textId="60FC4DD6" w:rsidR="00376977" w:rsidRPr="0054775B" w:rsidRDefault="00E15A1D" w:rsidP="002749E7">
            <w:pPr>
              <w:pStyle w:val="2024TABLETEXT"/>
              <w:framePr w:hSpace="0" w:wrap="auto" w:vAnchor="margin" w:yAlign="inline"/>
              <w:suppressOverlap w:val="0"/>
              <w:rPr>
                <w:b/>
                <w:bCs/>
              </w:rPr>
            </w:pPr>
            <w:r w:rsidRPr="0054775B">
              <w:t>Unclear</w:t>
            </w:r>
          </w:p>
        </w:tc>
        <w:tc>
          <w:tcPr>
            <w:tcW w:w="1276" w:type="dxa"/>
            <w:shd w:val="clear" w:color="auto" w:fill="auto"/>
          </w:tcPr>
          <w:p w14:paraId="628DAD33" w14:textId="57679F19" w:rsidR="00376977" w:rsidRPr="0054775B" w:rsidRDefault="00376977" w:rsidP="002749E7">
            <w:pPr>
              <w:pStyle w:val="2024TABLETEXT"/>
              <w:framePr w:hSpace="0" w:wrap="auto" w:vAnchor="margin" w:yAlign="inline"/>
              <w:suppressOverlap w:val="0"/>
              <w:rPr>
                <w:b/>
                <w:bCs/>
              </w:rPr>
            </w:pPr>
            <w:r w:rsidRPr="0054775B">
              <w:t>Low risk</w:t>
            </w:r>
          </w:p>
        </w:tc>
      </w:tr>
      <w:tr w:rsidR="00376977" w:rsidRPr="0054775B" w14:paraId="4ACA623B" w14:textId="77777777" w:rsidTr="00376977">
        <w:trPr>
          <w:trHeight w:val="95"/>
        </w:trPr>
        <w:tc>
          <w:tcPr>
            <w:tcW w:w="1833" w:type="dxa"/>
            <w:shd w:val="clear" w:color="auto" w:fill="auto"/>
            <w:vAlign w:val="bottom"/>
          </w:tcPr>
          <w:p w14:paraId="0B80294F" w14:textId="6FEC09E4" w:rsidR="00376977" w:rsidRPr="0054775B" w:rsidRDefault="00376977" w:rsidP="002749E7">
            <w:pPr>
              <w:pStyle w:val="2024TABLETEXT"/>
              <w:framePr w:hSpace="0" w:wrap="auto" w:vAnchor="margin" w:yAlign="inline"/>
              <w:suppressOverlap w:val="0"/>
            </w:pPr>
            <w:r w:rsidRPr="0054775B">
              <w:t>Tsai 2022</w:t>
            </w:r>
          </w:p>
        </w:tc>
        <w:tc>
          <w:tcPr>
            <w:tcW w:w="1418" w:type="dxa"/>
            <w:shd w:val="clear" w:color="auto" w:fill="auto"/>
          </w:tcPr>
          <w:p w14:paraId="4EBD6B94" w14:textId="2C5EE89C" w:rsidR="00376977" w:rsidRPr="0054775B" w:rsidRDefault="00376977" w:rsidP="002749E7">
            <w:pPr>
              <w:pStyle w:val="2024TABLETEXT"/>
              <w:framePr w:hSpace="0" w:wrap="auto" w:vAnchor="margin" w:yAlign="inline"/>
              <w:suppressOverlap w:val="0"/>
              <w:rPr>
                <w:b/>
                <w:bCs/>
              </w:rPr>
            </w:pPr>
            <w:r w:rsidRPr="0054775B">
              <w:t>Low</w:t>
            </w:r>
          </w:p>
        </w:tc>
        <w:tc>
          <w:tcPr>
            <w:tcW w:w="1701" w:type="dxa"/>
            <w:shd w:val="clear" w:color="auto" w:fill="auto"/>
          </w:tcPr>
          <w:p w14:paraId="53D4E93A" w14:textId="0D6A8A10" w:rsidR="00376977" w:rsidRPr="0054775B" w:rsidRDefault="00376977" w:rsidP="002749E7">
            <w:pPr>
              <w:pStyle w:val="2024TABLETEXT"/>
              <w:framePr w:hSpace="0" w:wrap="auto" w:vAnchor="margin" w:yAlign="inline"/>
              <w:suppressOverlap w:val="0"/>
              <w:rPr>
                <w:b/>
                <w:bCs/>
              </w:rPr>
            </w:pPr>
            <w:r w:rsidRPr="0054775B">
              <w:t>Low</w:t>
            </w:r>
          </w:p>
        </w:tc>
        <w:tc>
          <w:tcPr>
            <w:tcW w:w="1559" w:type="dxa"/>
            <w:shd w:val="clear" w:color="auto" w:fill="auto"/>
          </w:tcPr>
          <w:p w14:paraId="2A043575" w14:textId="15F9DB6E" w:rsidR="00376977" w:rsidRPr="0054775B" w:rsidRDefault="00376977" w:rsidP="002749E7">
            <w:pPr>
              <w:pStyle w:val="2024TABLETEXT"/>
              <w:framePr w:hSpace="0" w:wrap="auto" w:vAnchor="margin" w:yAlign="inline"/>
              <w:suppressOverlap w:val="0"/>
              <w:rPr>
                <w:b/>
                <w:bCs/>
              </w:rPr>
            </w:pPr>
            <w:r w:rsidRPr="0054775B">
              <w:t>Low</w:t>
            </w:r>
          </w:p>
        </w:tc>
        <w:tc>
          <w:tcPr>
            <w:tcW w:w="1417" w:type="dxa"/>
            <w:shd w:val="clear" w:color="auto" w:fill="auto"/>
          </w:tcPr>
          <w:p w14:paraId="7E8385BE" w14:textId="0B975F7D" w:rsidR="00376977" w:rsidRPr="0054775B" w:rsidRDefault="00376977" w:rsidP="002749E7">
            <w:pPr>
              <w:pStyle w:val="2024TABLETEXT"/>
              <w:framePr w:hSpace="0" w:wrap="auto" w:vAnchor="margin" w:yAlign="inline"/>
              <w:suppressOverlap w:val="0"/>
              <w:rPr>
                <w:b/>
                <w:bCs/>
              </w:rPr>
            </w:pPr>
            <w:r w:rsidRPr="0054775B">
              <w:t>Low</w:t>
            </w:r>
          </w:p>
        </w:tc>
        <w:tc>
          <w:tcPr>
            <w:tcW w:w="1276" w:type="dxa"/>
            <w:shd w:val="clear" w:color="auto" w:fill="auto"/>
          </w:tcPr>
          <w:p w14:paraId="16AECBBA" w14:textId="0138D19B" w:rsidR="00376977" w:rsidRPr="0054775B" w:rsidRDefault="00376977" w:rsidP="002749E7">
            <w:pPr>
              <w:pStyle w:val="2024TABLETEXT"/>
              <w:framePr w:hSpace="0" w:wrap="auto" w:vAnchor="margin" w:yAlign="inline"/>
              <w:suppressOverlap w:val="0"/>
              <w:rPr>
                <w:b/>
                <w:bCs/>
              </w:rPr>
            </w:pPr>
            <w:r w:rsidRPr="0054775B">
              <w:t>Low risk</w:t>
            </w:r>
          </w:p>
        </w:tc>
      </w:tr>
    </w:tbl>
    <w:p w14:paraId="462A9773" w14:textId="77777777" w:rsidR="00726B7F" w:rsidRPr="0054775B" w:rsidRDefault="00726B7F" w:rsidP="009E6F7F">
      <w:pPr>
        <w:pStyle w:val="2024HEADER3"/>
        <w:rPr>
          <w:rFonts w:ascii="Aptos" w:hAnsi="Aptos"/>
        </w:rPr>
      </w:pPr>
      <w:r w:rsidRPr="0054775B">
        <w:rPr>
          <w:rFonts w:ascii="Aptos" w:hAnsi="Aptos"/>
        </w:rPr>
        <w:t xml:space="preserve">Results </w:t>
      </w:r>
    </w:p>
    <w:p w14:paraId="4F034C46" w14:textId="3C30578A" w:rsidR="00A23BD0" w:rsidRPr="0054775B" w:rsidRDefault="00726B7F" w:rsidP="00A23BD0">
      <w:r w:rsidRPr="0054775B">
        <w:t xml:space="preserve">Preferred contributing reviews are listed in </w:t>
      </w:r>
      <w:r w:rsidR="004211B7" w:rsidRPr="0054775B">
        <w:t>the table below</w:t>
      </w:r>
      <w:r w:rsidRPr="0054775B">
        <w:t>.</w:t>
      </w:r>
      <w:r w:rsidR="00A23BD0" w:rsidRPr="00A23BD0">
        <w:t xml:space="preserve"> </w:t>
      </w:r>
      <w:r w:rsidR="00A23BD0" w:rsidRPr="0054775B">
        <w:t xml:space="preserve">All six </w:t>
      </w:r>
      <w:r w:rsidR="004C0DCD">
        <w:t xml:space="preserve">included </w:t>
      </w:r>
      <w:r w:rsidR="00A23BD0" w:rsidRPr="0054775B">
        <w:t>reviews reported on global improvement in fatigue severity/burden as an outcome,</w:t>
      </w:r>
      <w:r w:rsidR="00694517">
        <w:t xml:space="preserve"> al</w:t>
      </w:r>
      <w:r w:rsidR="00A23BD0" w:rsidRPr="0054775B">
        <w:t xml:space="preserve">though mostly for </w:t>
      </w:r>
      <w:r w:rsidR="00694517">
        <w:t>specific</w:t>
      </w:r>
      <w:r w:rsidR="00694517" w:rsidRPr="0054775B">
        <w:t xml:space="preserve"> </w:t>
      </w:r>
      <w:r w:rsidR="00A23BD0" w:rsidRPr="0054775B">
        <w:t xml:space="preserve">conditions (e.g. multiple sclerosis or breast cancer), and therefore most analyses only included one primary study. Tsai </w:t>
      </w:r>
      <w:r w:rsidR="00A23BD0">
        <w:t>et al. (</w:t>
      </w:r>
      <w:r w:rsidR="00A23BD0" w:rsidRPr="0054775B">
        <w:t>2022</w:t>
      </w:r>
      <w:r w:rsidR="00A23BD0">
        <w:t>)</w:t>
      </w:r>
      <w:r w:rsidR="00A23BD0" w:rsidRPr="0054775B">
        <w:t xml:space="preserve"> </w:t>
      </w:r>
      <w:r w:rsidR="00F54937">
        <w:rPr>
          <w:noProof/>
        </w:rPr>
        <w:t>(144)</w:t>
      </w:r>
      <w:r w:rsidR="00A23BD0" w:rsidRPr="0054775B">
        <w:t xml:space="preserve"> included </w:t>
      </w:r>
      <w:r w:rsidR="00F87261">
        <w:t xml:space="preserve">both healthy people and people with </w:t>
      </w:r>
      <w:r w:rsidR="00A23BD0" w:rsidRPr="0054775B">
        <w:t xml:space="preserve">a range of fatigue-associated diseases, and so was assessed as the most comprehensive and also the most recent with low risk of bias. Tsai </w:t>
      </w:r>
      <w:r w:rsidR="00A23BD0">
        <w:t>et al. (</w:t>
      </w:r>
      <w:r w:rsidR="00A23BD0" w:rsidRPr="0054775B">
        <w:t>2022</w:t>
      </w:r>
      <w:r w:rsidR="00A23BD0">
        <w:t>)</w:t>
      </w:r>
      <w:r w:rsidR="00A23BD0" w:rsidRPr="0054775B">
        <w:t xml:space="preserve"> reported results of a subgroup meta-analysis of 10 RCTs (899 participants) spanning various conditions (CFS, end-stage heart failure, fibromyalgia, breast cancer, end-stage renal disease, poliomyelitis, multiple sclerosis and obesity). </w:t>
      </w:r>
    </w:p>
    <w:p w14:paraId="549CC5BF" w14:textId="4E643C30" w:rsidR="00A23BD0" w:rsidRDefault="00A23BD0" w:rsidP="009E6F7F">
      <w:r>
        <w:t>Marx 2019 was the only</w:t>
      </w:r>
      <w:r w:rsidRPr="0054775B">
        <w:t xml:space="preserve"> review </w:t>
      </w:r>
      <w:r>
        <w:t xml:space="preserve">that </w:t>
      </w:r>
      <w:r w:rsidRPr="0054775B">
        <w:t xml:space="preserve">reported results for HRQoL, including results from one primary study of participants with secondary progressive MS conducted over 2 years </w:t>
      </w:r>
      <w:r w:rsidR="00F54937">
        <w:rPr>
          <w:noProof/>
        </w:rPr>
        <w:t>(147)</w:t>
      </w:r>
      <w:r w:rsidRPr="0054775B">
        <w:t>.</w:t>
      </w:r>
    </w:p>
    <w:p w14:paraId="6B00EE4B" w14:textId="2005ED5B" w:rsidR="00726B7F" w:rsidRPr="0054775B" w:rsidRDefault="00A23BD0" w:rsidP="009E6F7F">
      <w:r w:rsidRPr="0054775B">
        <w:t xml:space="preserve">No reviews reported results for the following outcomes: clinical recovery or improvement (dichotomous), self-perceived change in overall health, physical function burden from fatigue, cognitive function burden from fatigue, or sleep quality/quantity.  </w:t>
      </w:r>
    </w:p>
    <w:p w14:paraId="1DC29315" w14:textId="405E0C5F" w:rsidR="00726B7F" w:rsidRPr="0054775B" w:rsidRDefault="00726B7F" w:rsidP="00515FE7">
      <w:pPr>
        <w:pStyle w:val="2024TABLECAPTION"/>
        <w:rPr>
          <w:rFonts w:ascii="Aptos" w:hAnsi="Aptos"/>
        </w:rPr>
      </w:pPr>
      <w:bookmarkStart w:id="105" w:name="_Toc185261609"/>
      <w:r w:rsidRPr="0054775B">
        <w:rPr>
          <w:rFonts w:ascii="Aptos" w:hAnsi="Aptos"/>
        </w:rPr>
        <w:t xml:space="preserve">Table </w:t>
      </w:r>
      <w:r w:rsidRPr="0054775B">
        <w:rPr>
          <w:rFonts w:ascii="Aptos" w:hAnsi="Aptos"/>
        </w:rPr>
        <w:fldChar w:fldCharType="begin"/>
      </w:r>
      <w:r w:rsidRPr="0054775B">
        <w:rPr>
          <w:rFonts w:ascii="Aptos" w:hAnsi="Aptos"/>
        </w:rPr>
        <w:instrText>SEQ Table \* ARABIC</w:instrText>
      </w:r>
      <w:r w:rsidRPr="0054775B">
        <w:rPr>
          <w:rFonts w:ascii="Aptos" w:hAnsi="Aptos"/>
        </w:rPr>
        <w:fldChar w:fldCharType="separate"/>
      </w:r>
      <w:r w:rsidR="00CB3AAD" w:rsidRPr="0054775B" w:rsidDel="004E7C54">
        <w:rPr>
          <w:rFonts w:ascii="Aptos" w:hAnsi="Aptos"/>
          <w:noProof/>
        </w:rPr>
        <w:t>31</w:t>
      </w:r>
      <w:r w:rsidRPr="0054775B">
        <w:rPr>
          <w:rFonts w:ascii="Aptos" w:hAnsi="Aptos"/>
        </w:rPr>
        <w:fldChar w:fldCharType="end"/>
      </w:r>
      <w:r w:rsidRPr="0054775B">
        <w:rPr>
          <w:rFonts w:ascii="Aptos" w:hAnsi="Aptos"/>
        </w:rPr>
        <w:t xml:space="preserve">. </w:t>
      </w:r>
      <w:r w:rsidR="00334EDA" w:rsidRPr="0054775B">
        <w:rPr>
          <w:rFonts w:ascii="Aptos" w:hAnsi="Aptos"/>
        </w:rPr>
        <w:t>Contributing</w:t>
      </w:r>
      <w:r w:rsidRPr="0054775B">
        <w:rPr>
          <w:rFonts w:ascii="Aptos" w:hAnsi="Aptos"/>
        </w:rPr>
        <w:t xml:space="preserve"> reviews for each population and intervention/co-intervention combination – </w:t>
      </w:r>
      <w:r w:rsidR="00E416A7" w:rsidRPr="0054775B">
        <w:rPr>
          <w:rFonts w:ascii="Aptos" w:hAnsi="Aptos"/>
        </w:rPr>
        <w:t xml:space="preserve">fatigue (general) (including </w:t>
      </w:r>
      <w:r w:rsidR="002749E7" w:rsidRPr="0054775B">
        <w:rPr>
          <w:rFonts w:ascii="Aptos" w:hAnsi="Aptos"/>
        </w:rPr>
        <w:t>CFS and ME</w:t>
      </w:r>
      <w:r w:rsidR="00E416A7" w:rsidRPr="0054775B">
        <w:rPr>
          <w:rFonts w:ascii="Aptos" w:hAnsi="Aptos"/>
        </w:rPr>
        <w:t>), antioxidants (specifically CoQ10 and ALA)</w:t>
      </w:r>
      <w:bookmarkEnd w:id="105"/>
    </w:p>
    <w:tbl>
      <w:tblPr>
        <w:tblStyle w:val="TableGrid"/>
        <w:tblW w:w="0" w:type="auto"/>
        <w:tblLook w:val="04A0" w:firstRow="1" w:lastRow="0" w:firstColumn="1" w:lastColumn="0" w:noHBand="0" w:noVBand="1"/>
      </w:tblPr>
      <w:tblGrid>
        <w:gridCol w:w="3372"/>
        <w:gridCol w:w="3002"/>
        <w:gridCol w:w="2846"/>
      </w:tblGrid>
      <w:tr w:rsidR="002749E7" w:rsidRPr="0054775B" w14:paraId="3074A725" w14:textId="0ED4B582" w:rsidTr="00115852">
        <w:tc>
          <w:tcPr>
            <w:tcW w:w="3372" w:type="dxa"/>
            <w:shd w:val="clear" w:color="auto" w:fill="D9D9D9" w:themeFill="background1" w:themeFillShade="D9"/>
          </w:tcPr>
          <w:p w14:paraId="4C914C64" w14:textId="77777777" w:rsidR="002749E7" w:rsidRPr="0054775B" w:rsidRDefault="002749E7" w:rsidP="002749E7">
            <w:pPr>
              <w:pStyle w:val="2024TABLEHEADER"/>
            </w:pPr>
          </w:p>
        </w:tc>
        <w:tc>
          <w:tcPr>
            <w:tcW w:w="3002" w:type="dxa"/>
            <w:shd w:val="clear" w:color="auto" w:fill="D9D9D9" w:themeFill="background1" w:themeFillShade="D9"/>
          </w:tcPr>
          <w:p w14:paraId="7D2C8845" w14:textId="05918E64" w:rsidR="002749E7" w:rsidRPr="0054775B" w:rsidRDefault="002749E7" w:rsidP="002749E7">
            <w:pPr>
              <w:pStyle w:val="2024TABLEHEADER"/>
            </w:pPr>
            <w:r w:rsidRPr="0054775B">
              <w:t>With fatigue (general) (including CFS and ME)</w:t>
            </w:r>
          </w:p>
        </w:tc>
        <w:tc>
          <w:tcPr>
            <w:tcW w:w="2846" w:type="dxa"/>
            <w:shd w:val="clear" w:color="auto" w:fill="D9D9D9" w:themeFill="background1" w:themeFillShade="D9"/>
          </w:tcPr>
          <w:p w14:paraId="1144067C" w14:textId="588373CC" w:rsidR="002749E7" w:rsidRPr="0054775B" w:rsidRDefault="002749E7" w:rsidP="002749E7">
            <w:pPr>
              <w:pStyle w:val="2024TABLEHEADER"/>
            </w:pPr>
            <w:r w:rsidRPr="0054775B">
              <w:t>At risk of fatigue (general) (including CFS and ME)</w:t>
            </w:r>
          </w:p>
        </w:tc>
      </w:tr>
      <w:tr w:rsidR="002749E7" w:rsidRPr="0054775B" w14:paraId="58B6A47D" w14:textId="2BC0C7D5" w:rsidTr="00115852">
        <w:tc>
          <w:tcPr>
            <w:tcW w:w="3372" w:type="dxa"/>
            <w:shd w:val="clear" w:color="auto" w:fill="D9D9D9" w:themeFill="background1" w:themeFillShade="D9"/>
          </w:tcPr>
          <w:p w14:paraId="063CF576" w14:textId="464E1327" w:rsidR="002749E7" w:rsidRPr="0054775B" w:rsidRDefault="002749E7" w:rsidP="002749E7">
            <w:pPr>
              <w:pStyle w:val="2024TABLEHEADER"/>
            </w:pPr>
            <w:r w:rsidRPr="0054775B">
              <w:t>Antioxidants (specifically CoQ10 and ALA) VS placebo/inactive control</w:t>
            </w:r>
          </w:p>
        </w:tc>
        <w:tc>
          <w:tcPr>
            <w:tcW w:w="3002" w:type="dxa"/>
          </w:tcPr>
          <w:p w14:paraId="7C777A75" w14:textId="270F6391" w:rsidR="002749E7" w:rsidRPr="0054775B" w:rsidRDefault="002749E7" w:rsidP="002749E7">
            <w:pPr>
              <w:pStyle w:val="2024TABLEHEADER"/>
              <w:framePr w:hSpace="180" w:wrap="around" w:vAnchor="text" w:hAnchor="text" w:y="1"/>
              <w:suppressOverlap/>
              <w:rPr>
                <w:b w:val="0"/>
                <w:bCs w:val="0"/>
                <w:color w:val="000000"/>
              </w:rPr>
            </w:pPr>
            <w:r w:rsidRPr="0054775B">
              <w:rPr>
                <w:b w:val="0"/>
                <w:bCs w:val="0"/>
                <w:color w:val="000000"/>
              </w:rPr>
              <w:t>Tsai 2022</w:t>
            </w:r>
          </w:p>
          <w:p w14:paraId="280B688D" w14:textId="6C8FA772" w:rsidR="002749E7" w:rsidRPr="0054775B" w:rsidRDefault="002749E7" w:rsidP="002749E7">
            <w:pPr>
              <w:pStyle w:val="2024TABLEHEADER"/>
              <w:framePr w:hSpace="180" w:wrap="around" w:vAnchor="text" w:hAnchor="text" w:y="1"/>
              <w:suppressOverlap/>
              <w:rPr>
                <w:b w:val="0"/>
                <w:bCs w:val="0"/>
                <w:color w:val="000000"/>
              </w:rPr>
            </w:pPr>
            <w:r w:rsidRPr="0054775B">
              <w:rPr>
                <w:b w:val="0"/>
                <w:bCs w:val="0"/>
                <w:color w:val="000000"/>
              </w:rPr>
              <w:t>Marx 2019</w:t>
            </w:r>
          </w:p>
        </w:tc>
        <w:tc>
          <w:tcPr>
            <w:tcW w:w="2846" w:type="dxa"/>
          </w:tcPr>
          <w:p w14:paraId="1DBF0CB3" w14:textId="6CC062A6" w:rsidR="002749E7" w:rsidRPr="0054775B" w:rsidRDefault="002749E7" w:rsidP="002749E7">
            <w:pPr>
              <w:pStyle w:val="2024TABLEHEADER"/>
              <w:framePr w:hSpace="180" w:wrap="around" w:vAnchor="text" w:hAnchor="text" w:y="1"/>
              <w:suppressOverlap/>
              <w:rPr>
                <w:b w:val="0"/>
                <w:bCs w:val="0"/>
                <w:color w:val="000000"/>
              </w:rPr>
            </w:pPr>
            <w:r w:rsidRPr="0054775B">
              <w:rPr>
                <w:b w:val="0"/>
                <w:bCs w:val="0"/>
                <w:color w:val="000000"/>
              </w:rPr>
              <w:t>-</w:t>
            </w:r>
          </w:p>
        </w:tc>
      </w:tr>
      <w:tr w:rsidR="002749E7" w:rsidRPr="0054775B" w14:paraId="57D0757F" w14:textId="77777777" w:rsidTr="00115852">
        <w:tc>
          <w:tcPr>
            <w:tcW w:w="3372" w:type="dxa"/>
            <w:shd w:val="clear" w:color="auto" w:fill="D9D9D9" w:themeFill="background1" w:themeFillShade="D9"/>
          </w:tcPr>
          <w:p w14:paraId="64418C19" w14:textId="25799BA9" w:rsidR="002749E7" w:rsidRPr="0054775B" w:rsidRDefault="002749E7" w:rsidP="002749E7">
            <w:pPr>
              <w:pStyle w:val="2024TABLEHEADER"/>
            </w:pPr>
            <w:r w:rsidRPr="0054775B">
              <w:t>Antioxidants (specifically CoQ10 and ALA) + naturopathy co-intervention VS placebo/inactive control</w:t>
            </w:r>
          </w:p>
        </w:tc>
        <w:tc>
          <w:tcPr>
            <w:tcW w:w="3002" w:type="dxa"/>
          </w:tcPr>
          <w:p w14:paraId="41A890CB" w14:textId="1B9BB7AD" w:rsidR="002749E7" w:rsidRPr="0054775B" w:rsidRDefault="002749E7" w:rsidP="002749E7">
            <w:pPr>
              <w:pStyle w:val="2024TABLEHEADER"/>
              <w:framePr w:hSpace="180" w:wrap="around" w:vAnchor="text" w:hAnchor="text" w:y="1"/>
              <w:suppressOverlap/>
              <w:rPr>
                <w:b w:val="0"/>
                <w:bCs w:val="0"/>
                <w:color w:val="000000"/>
              </w:rPr>
            </w:pPr>
            <w:r w:rsidRPr="0054775B">
              <w:rPr>
                <w:b w:val="0"/>
                <w:bCs w:val="0"/>
                <w:color w:val="000000"/>
              </w:rPr>
              <w:t>-</w:t>
            </w:r>
          </w:p>
        </w:tc>
        <w:tc>
          <w:tcPr>
            <w:tcW w:w="2846" w:type="dxa"/>
          </w:tcPr>
          <w:p w14:paraId="7AC7A34B" w14:textId="2B95599D" w:rsidR="002749E7" w:rsidRPr="0054775B" w:rsidRDefault="002749E7" w:rsidP="002749E7">
            <w:pPr>
              <w:pStyle w:val="2024TABLEHEADER"/>
              <w:framePr w:hSpace="180" w:wrap="around" w:vAnchor="text" w:hAnchor="text" w:y="1"/>
              <w:suppressOverlap/>
              <w:rPr>
                <w:b w:val="0"/>
                <w:bCs w:val="0"/>
                <w:color w:val="000000"/>
              </w:rPr>
            </w:pPr>
            <w:r w:rsidRPr="0054775B">
              <w:rPr>
                <w:b w:val="0"/>
                <w:bCs w:val="0"/>
                <w:color w:val="000000"/>
              </w:rPr>
              <w:t>-</w:t>
            </w:r>
          </w:p>
        </w:tc>
      </w:tr>
    </w:tbl>
    <w:p w14:paraId="2CF3D93D" w14:textId="5F56BC93" w:rsidR="001E213E" w:rsidRPr="0054775B" w:rsidRDefault="001E213E" w:rsidP="009E6F7F">
      <w:pPr>
        <w:rPr>
          <w:color w:val="000000" w:themeColor="text1"/>
          <w:sz w:val="20"/>
          <w:szCs w:val="20"/>
        </w:rPr>
      </w:pPr>
      <w:r w:rsidRPr="0054775B">
        <w:br w:type="page"/>
      </w:r>
    </w:p>
    <w:p w14:paraId="343D2880" w14:textId="05746360" w:rsidR="001E213E" w:rsidRPr="0054775B" w:rsidRDefault="001E213E" w:rsidP="009E6F7F">
      <w:pPr>
        <w:sectPr w:rsidR="001E213E" w:rsidRPr="0054775B" w:rsidSect="006A72DC">
          <w:pgSz w:w="11910" w:h="16840"/>
          <w:pgMar w:top="1356" w:right="1340" w:bottom="280" w:left="1340" w:header="720" w:footer="720" w:gutter="0"/>
          <w:cols w:space="720"/>
        </w:sectPr>
      </w:pPr>
    </w:p>
    <w:p w14:paraId="6FA8C6A5" w14:textId="77777777" w:rsidR="00D0695C" w:rsidRPr="00D0695C" w:rsidRDefault="00D0695C" w:rsidP="00D0695C">
      <w:pPr>
        <w:pStyle w:val="2024HEADER3"/>
        <w:rPr>
          <w:rFonts w:ascii="Aptos" w:hAnsi="Aptos"/>
        </w:rPr>
      </w:pPr>
      <w:r w:rsidRPr="00D0695C">
        <w:rPr>
          <w:rFonts w:ascii="Aptos" w:hAnsi="Aptos"/>
        </w:rPr>
        <w:lastRenderedPageBreak/>
        <w:t>Summary of findings and evidence statements</w:t>
      </w:r>
    </w:p>
    <w:p w14:paraId="231F7D5A" w14:textId="2816D92B" w:rsidR="001F6C84" w:rsidRPr="0054775B" w:rsidRDefault="001F6C84" w:rsidP="00D73AB3">
      <w:pPr>
        <w:pStyle w:val="2024TABLECAPTION"/>
        <w:rPr>
          <w:rFonts w:ascii="Aptos" w:hAnsi="Aptos"/>
        </w:rPr>
      </w:pPr>
      <w:bookmarkStart w:id="106" w:name="_Toc185261610"/>
      <w:r w:rsidRPr="0054775B">
        <w:rPr>
          <w:rFonts w:ascii="Aptos" w:hAnsi="Aptos"/>
        </w:rPr>
        <w:t xml:space="preserve">Table </w:t>
      </w:r>
      <w:r w:rsidRPr="0054775B">
        <w:rPr>
          <w:rFonts w:ascii="Aptos" w:hAnsi="Aptos"/>
        </w:rPr>
        <w:fldChar w:fldCharType="begin"/>
      </w:r>
      <w:r w:rsidRPr="0054775B">
        <w:rPr>
          <w:rFonts w:ascii="Aptos" w:hAnsi="Aptos"/>
        </w:rPr>
        <w:instrText>SEQ Table \* ARABIC</w:instrText>
      </w:r>
      <w:r w:rsidRPr="0054775B">
        <w:rPr>
          <w:rFonts w:ascii="Aptos" w:hAnsi="Aptos"/>
        </w:rPr>
        <w:fldChar w:fldCharType="separate"/>
      </w:r>
      <w:r w:rsidR="00CB3AAD" w:rsidRPr="0054775B" w:rsidDel="004E7C54">
        <w:rPr>
          <w:rFonts w:ascii="Aptos" w:hAnsi="Aptos"/>
          <w:noProof/>
        </w:rPr>
        <w:t>32</w:t>
      </w:r>
      <w:r w:rsidRPr="0054775B">
        <w:rPr>
          <w:rFonts w:ascii="Aptos" w:hAnsi="Aptos"/>
        </w:rPr>
        <w:fldChar w:fldCharType="end"/>
      </w:r>
      <w:r w:rsidRPr="0054775B">
        <w:rPr>
          <w:rFonts w:ascii="Aptos" w:hAnsi="Aptos"/>
        </w:rPr>
        <w:t xml:space="preserve">. </w:t>
      </w:r>
      <w:r w:rsidR="00A05DC3" w:rsidRPr="0054775B">
        <w:rPr>
          <w:rFonts w:ascii="Aptos" w:hAnsi="Aptos"/>
        </w:rPr>
        <w:t xml:space="preserve">Antioxidants (specifically CoQ10 and ALA) </w:t>
      </w:r>
      <w:r w:rsidRPr="0054775B">
        <w:rPr>
          <w:rFonts w:ascii="Aptos" w:hAnsi="Aptos"/>
        </w:rPr>
        <w:t>compared to placebo</w:t>
      </w:r>
      <w:r w:rsidR="00A05DC3" w:rsidRPr="0054775B">
        <w:rPr>
          <w:rFonts w:ascii="Aptos" w:hAnsi="Aptos"/>
        </w:rPr>
        <w:t>/</w:t>
      </w:r>
      <w:r w:rsidR="00E1799C" w:rsidRPr="0054775B">
        <w:rPr>
          <w:rFonts w:ascii="Aptos" w:hAnsi="Aptos"/>
        </w:rPr>
        <w:t>inactive</w:t>
      </w:r>
      <w:r w:rsidR="00A05DC3" w:rsidRPr="0054775B">
        <w:rPr>
          <w:rFonts w:ascii="Aptos" w:hAnsi="Aptos"/>
        </w:rPr>
        <w:t xml:space="preserve"> control</w:t>
      </w:r>
      <w:r w:rsidRPr="0054775B">
        <w:rPr>
          <w:rFonts w:ascii="Aptos" w:hAnsi="Aptos"/>
        </w:rPr>
        <w:t xml:space="preserve"> for </w:t>
      </w:r>
      <w:r w:rsidR="00A05DC3" w:rsidRPr="001428E8">
        <w:rPr>
          <w:rStyle w:val="Strong"/>
          <w:rFonts w:ascii="Aptos" w:hAnsi="Aptos"/>
          <w:b/>
        </w:rPr>
        <w:t>fatigue (general) (including CFS and ME)</w:t>
      </w:r>
      <w:r w:rsidRPr="001428E8">
        <w:rPr>
          <w:rFonts w:ascii="Aptos" w:hAnsi="Aptos"/>
          <w:b w:val="0"/>
        </w:rPr>
        <w:t>.</w:t>
      </w:r>
      <w:bookmarkEnd w:id="106"/>
    </w:p>
    <w:tbl>
      <w:tblPr>
        <w:tblW w:w="4615" w:type="pct"/>
        <w:tblLayout w:type="fixed"/>
        <w:tblCellMar>
          <w:top w:w="28" w:type="dxa"/>
          <w:left w:w="57" w:type="dxa"/>
          <w:bottom w:w="28" w:type="dxa"/>
          <w:right w:w="28" w:type="dxa"/>
        </w:tblCellMar>
        <w:tblLook w:val="04A0" w:firstRow="1" w:lastRow="0" w:firstColumn="1" w:lastColumn="0" w:noHBand="0" w:noVBand="1"/>
      </w:tblPr>
      <w:tblGrid>
        <w:gridCol w:w="851"/>
        <w:gridCol w:w="4535"/>
        <w:gridCol w:w="1277"/>
        <w:gridCol w:w="1277"/>
        <w:gridCol w:w="1274"/>
        <w:gridCol w:w="1277"/>
        <w:gridCol w:w="3542"/>
      </w:tblGrid>
      <w:tr w:rsidR="001F6C84" w:rsidRPr="0054775B" w14:paraId="6D9BC459" w14:textId="77777777">
        <w:trPr>
          <w:cantSplit/>
        </w:trPr>
        <w:tc>
          <w:tcPr>
            <w:tcW w:w="5000" w:type="pct"/>
            <w:gridSpan w:val="7"/>
            <w:tcBorders>
              <w:top w:val="single" w:sz="12" w:space="0" w:color="000000"/>
              <w:left w:val="nil"/>
              <w:bottom w:val="single" w:sz="12" w:space="0" w:color="000000"/>
              <w:right w:val="nil"/>
            </w:tcBorders>
          </w:tcPr>
          <w:p w14:paraId="041C3252" w14:textId="5F37E958" w:rsidR="00A05DC3" w:rsidRPr="0054775B" w:rsidRDefault="00A05DC3" w:rsidP="00A05DC3">
            <w:pPr>
              <w:pStyle w:val="2024TABLETEXT"/>
              <w:framePr w:hSpace="0" w:wrap="auto" w:vAnchor="margin" w:yAlign="inline"/>
              <w:suppressOverlap w:val="0"/>
              <w:rPr>
                <w:rStyle w:val="Strong"/>
              </w:rPr>
            </w:pPr>
            <w:r w:rsidRPr="0054775B">
              <w:rPr>
                <w:rStyle w:val="Strong"/>
                <w:b w:val="0"/>
                <w:bCs w:val="0"/>
              </w:rPr>
              <w:t>Patient or population:</w:t>
            </w:r>
            <w:r w:rsidRPr="0054775B">
              <w:rPr>
                <w:rStyle w:val="Strong"/>
              </w:rPr>
              <w:t xml:space="preserve"> Fatigue (general) (including CFS and ME)</w:t>
            </w:r>
          </w:p>
          <w:p w14:paraId="48C3264A" w14:textId="35CD4E4F" w:rsidR="00A05DC3" w:rsidRPr="0054775B" w:rsidRDefault="00A05DC3" w:rsidP="00A05DC3">
            <w:pPr>
              <w:pStyle w:val="2024TABLETEXT"/>
              <w:framePr w:hSpace="0" w:wrap="auto" w:vAnchor="margin" w:yAlign="inline"/>
              <w:suppressOverlap w:val="0"/>
              <w:rPr>
                <w:rStyle w:val="Strong"/>
              </w:rPr>
            </w:pPr>
            <w:r w:rsidRPr="0054775B">
              <w:rPr>
                <w:rStyle w:val="Strong"/>
                <w:b w:val="0"/>
                <w:bCs w:val="0"/>
              </w:rPr>
              <w:t>Intervention:</w:t>
            </w:r>
            <w:r w:rsidRPr="0054775B">
              <w:rPr>
                <w:rStyle w:val="Strong"/>
              </w:rPr>
              <w:t xml:space="preserve"> </w:t>
            </w:r>
            <w:r w:rsidRPr="0054775B">
              <w:rPr>
                <w:b/>
                <w:bCs/>
              </w:rPr>
              <w:t>Antioxidants (specifically CoQ10 and ALA)</w:t>
            </w:r>
          </w:p>
          <w:p w14:paraId="303B4A3D" w14:textId="01A0CF0F" w:rsidR="001F6C84" w:rsidRPr="0054775B" w:rsidRDefault="00A05DC3" w:rsidP="00A05DC3">
            <w:pPr>
              <w:pStyle w:val="2024TABLETEXT"/>
              <w:framePr w:hSpace="0" w:wrap="auto" w:vAnchor="margin" w:yAlign="inline"/>
              <w:suppressOverlap w:val="0"/>
            </w:pPr>
            <w:r w:rsidRPr="0054775B">
              <w:rPr>
                <w:rStyle w:val="Strong"/>
                <w:b w:val="0"/>
                <w:bCs w:val="0"/>
              </w:rPr>
              <w:t>Comparison:</w:t>
            </w:r>
            <w:r w:rsidRPr="0054775B">
              <w:rPr>
                <w:rStyle w:val="Strong"/>
              </w:rPr>
              <w:t xml:space="preserve"> Placebo</w:t>
            </w:r>
            <w:r w:rsidRPr="0054775B">
              <w:rPr>
                <w:b/>
                <w:bCs/>
              </w:rPr>
              <w:t>/inactive control</w:t>
            </w:r>
          </w:p>
        </w:tc>
      </w:tr>
      <w:tr w:rsidR="001F6C84" w:rsidRPr="0054775B" w14:paraId="288A1884" w14:textId="77777777" w:rsidTr="00A05DC3">
        <w:trPr>
          <w:cantSplit/>
          <w:trHeight w:val="567"/>
        </w:trPr>
        <w:tc>
          <w:tcPr>
            <w:tcW w:w="303" w:type="pct"/>
            <w:tcBorders>
              <w:right w:val="single" w:sz="6" w:space="0" w:color="EFEFEF"/>
            </w:tcBorders>
            <w:shd w:val="clear" w:color="auto" w:fill="FFE599" w:themeFill="accent4" w:themeFillTint="66"/>
            <w:vAlign w:val="bottom"/>
          </w:tcPr>
          <w:p w14:paraId="0BC88CE6" w14:textId="77777777" w:rsidR="001F6C84" w:rsidRPr="0054775B" w:rsidRDefault="001F6C84" w:rsidP="00D73AB3">
            <w:pPr>
              <w:pStyle w:val="2024TABLEHEADER"/>
            </w:pPr>
            <w:r w:rsidRPr="0054775B">
              <w:t>NTWC Rating*</w:t>
            </w:r>
          </w:p>
        </w:tc>
        <w:tc>
          <w:tcPr>
            <w:tcW w:w="1616" w:type="pct"/>
            <w:tcBorders>
              <w:right w:val="single" w:sz="6" w:space="0" w:color="EFEFEF"/>
            </w:tcBorders>
            <w:shd w:val="clear" w:color="auto" w:fill="FFE599" w:themeFill="accent4" w:themeFillTint="66"/>
            <w:vAlign w:val="bottom"/>
            <w:hideMark/>
          </w:tcPr>
          <w:p w14:paraId="27D20755" w14:textId="77777777" w:rsidR="001F6C84" w:rsidRPr="0054775B" w:rsidRDefault="001F6C84" w:rsidP="00D73AB3">
            <w:pPr>
              <w:pStyle w:val="2024TABLEHEADER"/>
            </w:pPr>
            <w:r w:rsidRPr="0054775B">
              <w:t>Outcomes</w:t>
            </w:r>
          </w:p>
        </w:tc>
        <w:tc>
          <w:tcPr>
            <w:tcW w:w="455" w:type="pct"/>
            <w:shd w:val="clear" w:color="auto" w:fill="FFF2CC" w:themeFill="accent4" w:themeFillTint="33"/>
            <w:vAlign w:val="bottom"/>
          </w:tcPr>
          <w:p w14:paraId="3F700F10" w14:textId="77777777" w:rsidR="001F6C84" w:rsidRPr="0054775B" w:rsidRDefault="001F6C84" w:rsidP="00D73AB3">
            <w:pPr>
              <w:pStyle w:val="2024TABLEHEADER"/>
            </w:pPr>
            <w:r w:rsidRPr="0054775B">
              <w:t>Contributing review</w:t>
            </w:r>
          </w:p>
        </w:tc>
        <w:tc>
          <w:tcPr>
            <w:tcW w:w="455" w:type="pct"/>
            <w:tcBorders>
              <w:top w:val="single" w:sz="6" w:space="0" w:color="EFEFEF"/>
              <w:right w:val="single" w:sz="6" w:space="0" w:color="EFEFEF"/>
            </w:tcBorders>
            <w:shd w:val="clear" w:color="auto" w:fill="E0E0E0"/>
            <w:vAlign w:val="bottom"/>
          </w:tcPr>
          <w:p w14:paraId="48FEA1B8" w14:textId="4F2A470A" w:rsidR="001F6C84" w:rsidRPr="0054775B" w:rsidRDefault="001F6C84" w:rsidP="00D73AB3">
            <w:pPr>
              <w:pStyle w:val="2024TABLEHEADER"/>
            </w:pPr>
            <w:r w:rsidRPr="0054775B">
              <w:t>Relative effect</w:t>
            </w:r>
            <w:r w:rsidRPr="0054775B">
              <w:br/>
              <w:t>(95% CI)</w:t>
            </w:r>
          </w:p>
        </w:tc>
        <w:tc>
          <w:tcPr>
            <w:tcW w:w="454" w:type="pct"/>
            <w:tcBorders>
              <w:right w:val="single" w:sz="6" w:space="0" w:color="EFEFEF"/>
            </w:tcBorders>
            <w:shd w:val="clear" w:color="auto" w:fill="FFE599" w:themeFill="accent4" w:themeFillTint="66"/>
            <w:vAlign w:val="bottom"/>
            <w:hideMark/>
          </w:tcPr>
          <w:p w14:paraId="6B8EDF91" w14:textId="77777777" w:rsidR="001F6C84" w:rsidRPr="0054775B" w:rsidRDefault="001F6C84" w:rsidP="00D73AB3">
            <w:pPr>
              <w:pStyle w:val="2024TABLEHEADER"/>
            </w:pPr>
            <w:r w:rsidRPr="0054775B">
              <w:t>№ of participants</w:t>
            </w:r>
            <w:r w:rsidRPr="0054775B">
              <w:br/>
              <w:t>(studies)</w:t>
            </w:r>
          </w:p>
        </w:tc>
        <w:tc>
          <w:tcPr>
            <w:tcW w:w="455" w:type="pct"/>
            <w:tcBorders>
              <w:right w:val="single" w:sz="6" w:space="0" w:color="EFEFEF"/>
            </w:tcBorders>
            <w:shd w:val="clear" w:color="auto" w:fill="FFE599" w:themeFill="accent4" w:themeFillTint="66"/>
            <w:vAlign w:val="bottom"/>
            <w:hideMark/>
          </w:tcPr>
          <w:p w14:paraId="6323A1B4" w14:textId="77777777" w:rsidR="001F6C84" w:rsidRPr="0054775B" w:rsidRDefault="001F6C84" w:rsidP="00D73AB3">
            <w:pPr>
              <w:pStyle w:val="2024TABLEHEADER"/>
            </w:pPr>
            <w:r w:rsidRPr="0054775B">
              <w:t>Certainty of the evidence</w:t>
            </w:r>
            <w:r w:rsidRPr="0054775B">
              <w:br/>
              <w:t>(GRADE)</w:t>
            </w:r>
          </w:p>
        </w:tc>
        <w:tc>
          <w:tcPr>
            <w:tcW w:w="1262" w:type="pct"/>
            <w:tcBorders>
              <w:right w:val="single" w:sz="6" w:space="0" w:color="EFEFEF"/>
            </w:tcBorders>
            <w:shd w:val="clear" w:color="auto" w:fill="FFE599" w:themeFill="accent4" w:themeFillTint="66"/>
            <w:vAlign w:val="bottom"/>
            <w:hideMark/>
          </w:tcPr>
          <w:p w14:paraId="68FF631C" w14:textId="77777777" w:rsidR="001F6C84" w:rsidRPr="0054775B" w:rsidRDefault="001F6C84" w:rsidP="00D73AB3">
            <w:pPr>
              <w:pStyle w:val="2024TABLEHEADER"/>
            </w:pPr>
            <w:r w:rsidRPr="0054775B">
              <w:t>Evidence statement</w:t>
            </w:r>
          </w:p>
        </w:tc>
      </w:tr>
      <w:tr w:rsidR="00722CB0" w:rsidRPr="0054775B" w14:paraId="2B01E2D7" w14:textId="77777777" w:rsidTr="00A05DC3">
        <w:trPr>
          <w:cantSplit/>
          <w:trHeight w:val="671"/>
        </w:trPr>
        <w:tc>
          <w:tcPr>
            <w:tcW w:w="303" w:type="pct"/>
            <w:tcBorders>
              <w:top w:val="single" w:sz="6" w:space="0" w:color="000000"/>
              <w:left w:val="nil"/>
              <w:bottom w:val="single" w:sz="6" w:space="0" w:color="000000"/>
              <w:right w:val="nil"/>
            </w:tcBorders>
            <w:vAlign w:val="center"/>
          </w:tcPr>
          <w:p w14:paraId="54DB56A5" w14:textId="77777777" w:rsidR="00722CB0" w:rsidRPr="0054775B" w:rsidRDefault="00722CB0" w:rsidP="00722CB0">
            <w:pPr>
              <w:pStyle w:val="2024TABLETEXT"/>
              <w:framePr w:hSpace="0" w:wrap="auto" w:vAnchor="margin" w:yAlign="inline"/>
              <w:suppressOverlap w:val="0"/>
            </w:pPr>
            <w:r w:rsidRPr="0054775B">
              <w:t>9</w:t>
            </w:r>
          </w:p>
        </w:tc>
        <w:tc>
          <w:tcPr>
            <w:tcW w:w="1616" w:type="pct"/>
            <w:tcBorders>
              <w:top w:val="single" w:sz="6" w:space="0" w:color="000000"/>
              <w:left w:val="nil"/>
              <w:bottom w:val="single" w:sz="6" w:space="0" w:color="000000"/>
              <w:right w:val="nil"/>
            </w:tcBorders>
            <w:hideMark/>
          </w:tcPr>
          <w:p w14:paraId="4EE912F4" w14:textId="77777777" w:rsidR="00722CB0" w:rsidRPr="0054775B" w:rsidRDefault="00722CB0" w:rsidP="00722CB0">
            <w:pPr>
              <w:pStyle w:val="2024TABLETEXT"/>
              <w:framePr w:hSpace="0" w:wrap="auto" w:vAnchor="margin" w:yAlign="inline"/>
              <w:spacing w:after="120"/>
              <w:ind w:left="87"/>
              <w:suppressOverlap w:val="0"/>
              <w:rPr>
                <w:b/>
                <w:bCs/>
              </w:rPr>
            </w:pPr>
            <w:r w:rsidRPr="0054775B">
              <w:rPr>
                <w:b/>
                <w:bCs/>
              </w:rPr>
              <w:t>Global improvement in fatigue severity/burden</w:t>
            </w:r>
          </w:p>
          <w:p w14:paraId="492E8C4D" w14:textId="31BE6407" w:rsidR="00722CB0" w:rsidRPr="0054775B" w:rsidRDefault="00722CB0" w:rsidP="00722CB0">
            <w:pPr>
              <w:pStyle w:val="2024TABLETEXT"/>
              <w:framePr w:hSpace="0" w:wrap="auto" w:vAnchor="margin" w:yAlign="inline"/>
              <w:ind w:left="370"/>
              <w:suppressOverlap w:val="0"/>
            </w:pPr>
            <w:r w:rsidRPr="0054775B">
              <w:rPr>
                <w:b/>
                <w:bCs/>
              </w:rPr>
              <w:t>Conditions:</w:t>
            </w:r>
            <w:r w:rsidRPr="0054775B">
              <w:t xml:space="preserve"> CFS, end-stage heart failure, obesity, fibromyalgia, breast cancer, end-stage renal disease, poliomyelitis, multiple sclerosis</w:t>
            </w:r>
          </w:p>
          <w:p w14:paraId="19C9401D" w14:textId="2DF52534" w:rsidR="00722CB0" w:rsidRPr="0054775B" w:rsidRDefault="00722CB0" w:rsidP="00722CB0">
            <w:pPr>
              <w:pStyle w:val="2024TABLETEXT"/>
              <w:framePr w:hSpace="0" w:wrap="auto" w:vAnchor="margin" w:yAlign="inline"/>
              <w:ind w:left="370"/>
              <w:suppressOverlap w:val="0"/>
            </w:pPr>
            <w:r w:rsidRPr="0054775B">
              <w:rPr>
                <w:b/>
                <w:bCs/>
              </w:rPr>
              <w:t>Dose:</w:t>
            </w:r>
            <w:r w:rsidRPr="0054775B">
              <w:t xml:space="preserve"> CoQ10 60-500mg/day</w:t>
            </w:r>
          </w:p>
          <w:p w14:paraId="0083D0E1" w14:textId="77777777" w:rsidR="00722CB0" w:rsidRPr="0054775B" w:rsidRDefault="00722CB0" w:rsidP="00722CB0">
            <w:pPr>
              <w:pStyle w:val="2024TABLETEXT"/>
              <w:framePr w:hSpace="0" w:wrap="auto" w:vAnchor="margin" w:yAlign="inline"/>
              <w:ind w:left="370"/>
              <w:suppressOverlap w:val="0"/>
            </w:pPr>
            <w:r w:rsidRPr="0054775B">
              <w:rPr>
                <w:b/>
                <w:bCs/>
              </w:rPr>
              <w:t xml:space="preserve">Assessed with: </w:t>
            </w:r>
            <w:r w:rsidRPr="0054775B">
              <w:t>Minnesota Living with Heart Failure Questionnaire fatigue score (0-5), Fatigue Severity Scale (9-63), Fibromyalgia Impact Questionnaire fatigue score (0-10), Profile of Mood States fatigue subscale (0-4), Fatigue Impact Scale (0-160), Fatigue Scale (0-32), Multidimensional Assessment of Fatigue (1-50), Functional Assessment of Chronic Illness Therapy (0-44)</w:t>
            </w:r>
          </w:p>
          <w:p w14:paraId="3908D4CD" w14:textId="2553BA6F" w:rsidR="00722CB0" w:rsidRPr="0054775B" w:rsidRDefault="00722CB0" w:rsidP="00722CB0">
            <w:pPr>
              <w:pStyle w:val="2024TABLETEXT"/>
              <w:framePr w:hSpace="0" w:wrap="auto" w:vAnchor="margin" w:yAlign="inline"/>
              <w:ind w:left="370"/>
              <w:suppressOverlap w:val="0"/>
            </w:pPr>
            <w:r w:rsidRPr="0054775B">
              <w:rPr>
                <w:b/>
                <w:bCs/>
              </w:rPr>
              <w:t>Follow up:</w:t>
            </w:r>
            <w:r w:rsidRPr="0054775B">
              <w:t xml:space="preserve"> 4 to 24 weeks</w:t>
            </w:r>
          </w:p>
        </w:tc>
        <w:tc>
          <w:tcPr>
            <w:tcW w:w="455" w:type="pct"/>
            <w:tcBorders>
              <w:top w:val="single" w:sz="6" w:space="0" w:color="000000"/>
              <w:left w:val="nil"/>
              <w:bottom w:val="single" w:sz="6" w:space="0" w:color="000000"/>
              <w:right w:val="nil"/>
            </w:tcBorders>
            <w:vAlign w:val="center"/>
          </w:tcPr>
          <w:p w14:paraId="22D899C3" w14:textId="76973B78" w:rsidR="00722CB0" w:rsidRPr="0054775B" w:rsidRDefault="00722CB0" w:rsidP="00722CB0">
            <w:pPr>
              <w:pStyle w:val="2024TABLETEXT"/>
              <w:framePr w:hSpace="0" w:wrap="auto" w:vAnchor="margin" w:yAlign="inline"/>
              <w:suppressOverlap w:val="0"/>
            </w:pPr>
            <w:r w:rsidRPr="0054775B">
              <w:t>Tsai 2022</w:t>
            </w:r>
          </w:p>
        </w:tc>
        <w:tc>
          <w:tcPr>
            <w:tcW w:w="455" w:type="pct"/>
            <w:tcBorders>
              <w:top w:val="single" w:sz="6" w:space="0" w:color="000000"/>
              <w:left w:val="nil"/>
              <w:bottom w:val="single" w:sz="6" w:space="0" w:color="000000"/>
              <w:right w:val="nil"/>
            </w:tcBorders>
            <w:shd w:val="clear" w:color="auto" w:fill="auto"/>
            <w:vAlign w:val="center"/>
            <w:hideMark/>
          </w:tcPr>
          <w:p w14:paraId="6A8F86C8" w14:textId="713C6A96" w:rsidR="00656984" w:rsidRPr="0054775B" w:rsidRDefault="00D509CE" w:rsidP="00722CB0">
            <w:pPr>
              <w:pStyle w:val="2024TABLETEXT"/>
              <w:framePr w:hSpace="0" w:wrap="auto" w:vAnchor="margin" w:yAlign="inline"/>
              <w:suppressOverlap w:val="0"/>
            </w:pPr>
            <w:r>
              <w:t>SMD</w:t>
            </w:r>
            <w:r w:rsidR="00722CB0" w:rsidRPr="0054775B">
              <w:t xml:space="preserve"> = −0.433 (−0.732</w:t>
            </w:r>
            <w:r w:rsidR="00694517">
              <w:t xml:space="preserve"> to </w:t>
            </w:r>
            <w:r w:rsidR="00722CB0" w:rsidRPr="0054775B">
              <w:t xml:space="preserve"> −0.133)</w:t>
            </w:r>
            <w:r w:rsidR="0019507B">
              <w:t>^</w:t>
            </w:r>
          </w:p>
        </w:tc>
        <w:tc>
          <w:tcPr>
            <w:tcW w:w="454" w:type="pct"/>
            <w:tcBorders>
              <w:top w:val="single" w:sz="6" w:space="0" w:color="000000"/>
              <w:left w:val="nil"/>
              <w:bottom w:val="single" w:sz="6" w:space="0" w:color="000000"/>
              <w:right w:val="nil"/>
            </w:tcBorders>
            <w:vAlign w:val="center"/>
            <w:hideMark/>
          </w:tcPr>
          <w:p w14:paraId="1F32A8A9" w14:textId="291EACA2" w:rsidR="00722CB0" w:rsidRPr="0054775B" w:rsidRDefault="00722CB0" w:rsidP="00722CB0">
            <w:pPr>
              <w:pStyle w:val="2024TABLETEXT"/>
              <w:framePr w:hSpace="0" w:wrap="auto" w:vAnchor="margin" w:yAlign="inline"/>
              <w:suppressOverlap w:val="0"/>
            </w:pPr>
            <w:r w:rsidRPr="0054775B">
              <w:t>899 (10)</w:t>
            </w:r>
          </w:p>
        </w:tc>
        <w:tc>
          <w:tcPr>
            <w:tcW w:w="455" w:type="pct"/>
            <w:tcBorders>
              <w:top w:val="single" w:sz="6" w:space="0" w:color="000000"/>
              <w:left w:val="nil"/>
              <w:bottom w:val="single" w:sz="6" w:space="0" w:color="000000"/>
              <w:right w:val="nil"/>
            </w:tcBorders>
            <w:vAlign w:val="center"/>
          </w:tcPr>
          <w:p w14:paraId="757D147D" w14:textId="52AF71D1" w:rsidR="00722CB0" w:rsidRPr="0054775B" w:rsidRDefault="00AD651C" w:rsidP="00722CB0">
            <w:pPr>
              <w:pStyle w:val="2024TABLETEXT"/>
              <w:framePr w:hSpace="0" w:wrap="auto" w:vAnchor="margin" w:yAlign="inline"/>
              <w:suppressOverlap w:val="0"/>
            </w:pPr>
            <w:r w:rsidRPr="0054775B">
              <w:rPr>
                <w:rFonts w:ascii="Cambria Math" w:hAnsi="Cambria Math" w:cs="Cambria Math"/>
                <w:sz w:val="22"/>
                <w:szCs w:val="22"/>
              </w:rPr>
              <w:t>⨁</w:t>
            </w:r>
            <w:r w:rsidR="005F1460" w:rsidRPr="0054775B">
              <w:rPr>
                <w:rFonts w:ascii="Cambria Math" w:hAnsi="Cambria Math" w:cs="Cambria Math"/>
                <w:sz w:val="22"/>
                <w:szCs w:val="22"/>
              </w:rPr>
              <w:t>⨁⨁</w:t>
            </w:r>
            <w:r w:rsidRPr="0054775B">
              <w:rPr>
                <w:rFonts w:ascii="Segoe UI Symbol" w:hAnsi="Segoe UI Symbol" w:cs="Segoe UI Symbol"/>
              </w:rPr>
              <w:t>◯</w:t>
            </w:r>
            <w:r w:rsidRPr="0054775B">
              <w:br/>
            </w:r>
            <w:r w:rsidR="005F1460">
              <w:t>MODERATE</w:t>
            </w:r>
            <w:r w:rsidRPr="0054775B">
              <w:rPr>
                <w:rStyle w:val="FootnoteReference"/>
              </w:rPr>
              <w:t xml:space="preserve"> </w:t>
            </w:r>
            <w:r w:rsidR="00722CB0" w:rsidRPr="0054775B">
              <w:rPr>
                <w:rStyle w:val="FootnoteReference"/>
              </w:rPr>
              <w:t>a</w:t>
            </w:r>
          </w:p>
        </w:tc>
        <w:tc>
          <w:tcPr>
            <w:tcW w:w="1262" w:type="pct"/>
            <w:tcBorders>
              <w:top w:val="single" w:sz="6" w:space="0" w:color="000000"/>
              <w:left w:val="nil"/>
              <w:bottom w:val="single" w:sz="6" w:space="0" w:color="000000"/>
              <w:right w:val="nil"/>
            </w:tcBorders>
            <w:vAlign w:val="center"/>
          </w:tcPr>
          <w:p w14:paraId="5A87E8FC" w14:textId="598F6ACB" w:rsidR="00722CB0" w:rsidRPr="001428E8" w:rsidRDefault="00D82F40" w:rsidP="001428E8">
            <w:pPr>
              <w:pStyle w:val="2024TABLETEXT"/>
              <w:framePr w:hSpace="0" w:wrap="auto" w:vAnchor="margin" w:yAlign="inline"/>
              <w:spacing w:after="120"/>
              <w:ind w:left="87"/>
              <w:suppressOverlap w:val="0"/>
              <w:rPr>
                <w:b/>
              </w:rPr>
            </w:pPr>
            <w:r>
              <w:t>Antioxidants</w:t>
            </w:r>
            <w:r w:rsidR="005F1460" w:rsidRPr="0054775B">
              <w:t xml:space="preserve"> </w:t>
            </w:r>
            <w:r w:rsidR="005F1460">
              <w:t>probably</w:t>
            </w:r>
            <w:r w:rsidR="005F1460" w:rsidRPr="0054775B">
              <w:t xml:space="preserve"> result in </w:t>
            </w:r>
            <w:r>
              <w:t xml:space="preserve">a </w:t>
            </w:r>
            <w:r w:rsidR="005F1460">
              <w:t>g</w:t>
            </w:r>
            <w:r w:rsidR="005F1460" w:rsidRPr="005F1460">
              <w:t>lobal improvement in fatigue severity/burden</w:t>
            </w:r>
            <w:r w:rsidR="005F1460" w:rsidRPr="0054775B">
              <w:t xml:space="preserve"> for </w:t>
            </w:r>
            <w:r w:rsidR="005F1460">
              <w:t>fatigue</w:t>
            </w:r>
            <w:r w:rsidR="005F1460" w:rsidRPr="0054775B">
              <w:t>.</w:t>
            </w:r>
          </w:p>
        </w:tc>
      </w:tr>
      <w:tr w:rsidR="00113E80" w:rsidRPr="0054775B" w14:paraId="0369C9C1" w14:textId="77777777" w:rsidTr="00A05DC3">
        <w:trPr>
          <w:cantSplit/>
        </w:trPr>
        <w:tc>
          <w:tcPr>
            <w:tcW w:w="303" w:type="pct"/>
            <w:tcBorders>
              <w:top w:val="single" w:sz="6" w:space="0" w:color="000000"/>
              <w:left w:val="nil"/>
              <w:bottom w:val="single" w:sz="6" w:space="0" w:color="000000"/>
              <w:right w:val="nil"/>
            </w:tcBorders>
            <w:vAlign w:val="center"/>
          </w:tcPr>
          <w:p w14:paraId="02681D0A" w14:textId="77777777" w:rsidR="00113E80" w:rsidRPr="0054775B" w:rsidRDefault="00113E80" w:rsidP="00D73AB3">
            <w:pPr>
              <w:pStyle w:val="2024TABLETEXT"/>
              <w:framePr w:hSpace="0" w:wrap="auto" w:vAnchor="margin" w:yAlign="inline"/>
              <w:suppressOverlap w:val="0"/>
            </w:pPr>
            <w:r w:rsidRPr="0054775B">
              <w:t>9</w:t>
            </w:r>
          </w:p>
        </w:tc>
        <w:tc>
          <w:tcPr>
            <w:tcW w:w="1616" w:type="pct"/>
            <w:tcBorders>
              <w:top w:val="single" w:sz="6" w:space="0" w:color="000000"/>
              <w:left w:val="nil"/>
              <w:bottom w:val="single" w:sz="6" w:space="0" w:color="000000"/>
              <w:right w:val="nil"/>
            </w:tcBorders>
            <w:vAlign w:val="center"/>
          </w:tcPr>
          <w:p w14:paraId="6F2EAE52" w14:textId="43460682" w:rsidR="00113E80" w:rsidRPr="0054775B" w:rsidRDefault="00113E80" w:rsidP="00D73AB3">
            <w:pPr>
              <w:pStyle w:val="2024TABLETEXT"/>
              <w:framePr w:hSpace="0" w:wrap="auto" w:vAnchor="margin" w:yAlign="inline"/>
              <w:suppressOverlap w:val="0"/>
            </w:pPr>
            <w:r w:rsidRPr="0054775B">
              <w:t>Clinical recovery or improvement (dichotomous)</w:t>
            </w:r>
          </w:p>
        </w:tc>
        <w:tc>
          <w:tcPr>
            <w:tcW w:w="455" w:type="pct"/>
            <w:tcBorders>
              <w:top w:val="single" w:sz="6" w:space="0" w:color="000000"/>
              <w:left w:val="nil"/>
              <w:bottom w:val="single" w:sz="6" w:space="0" w:color="000000"/>
              <w:right w:val="nil"/>
            </w:tcBorders>
            <w:vAlign w:val="center"/>
          </w:tcPr>
          <w:p w14:paraId="6CE267A4" w14:textId="427B81D6" w:rsidR="00113E80" w:rsidRPr="0054775B" w:rsidRDefault="00113E80" w:rsidP="00D73AB3">
            <w:pPr>
              <w:pStyle w:val="2024TABLETEXT"/>
              <w:framePr w:hSpace="0" w:wrap="auto" w:vAnchor="margin" w:yAlign="inline"/>
              <w:suppressOverlap w:val="0"/>
            </w:pPr>
            <w:r w:rsidRPr="0054775B">
              <w:t>-</w:t>
            </w:r>
          </w:p>
        </w:tc>
        <w:tc>
          <w:tcPr>
            <w:tcW w:w="455" w:type="pct"/>
            <w:tcBorders>
              <w:top w:val="single" w:sz="6" w:space="0" w:color="000000"/>
              <w:left w:val="nil"/>
              <w:bottom w:val="single" w:sz="6" w:space="0" w:color="000000"/>
              <w:right w:val="nil"/>
            </w:tcBorders>
            <w:shd w:val="clear" w:color="auto" w:fill="auto"/>
            <w:vAlign w:val="center"/>
          </w:tcPr>
          <w:p w14:paraId="44AEE5E7" w14:textId="46B1009C" w:rsidR="00113E80" w:rsidRPr="0054775B" w:rsidRDefault="00113E80" w:rsidP="00D73AB3">
            <w:pPr>
              <w:pStyle w:val="2024TABLETEXT"/>
              <w:framePr w:hSpace="0" w:wrap="auto" w:vAnchor="margin" w:yAlign="inline"/>
              <w:suppressOverlap w:val="0"/>
            </w:pPr>
            <w:r w:rsidRPr="0054775B">
              <w:t>-</w:t>
            </w:r>
          </w:p>
        </w:tc>
        <w:tc>
          <w:tcPr>
            <w:tcW w:w="454" w:type="pct"/>
            <w:tcBorders>
              <w:top w:val="single" w:sz="6" w:space="0" w:color="000000"/>
              <w:left w:val="nil"/>
              <w:bottom w:val="single" w:sz="6" w:space="0" w:color="000000"/>
              <w:right w:val="nil"/>
            </w:tcBorders>
            <w:vAlign w:val="center"/>
          </w:tcPr>
          <w:p w14:paraId="04B6BB58" w14:textId="2BCB4317" w:rsidR="00113E80" w:rsidRPr="0054775B" w:rsidRDefault="00113E80" w:rsidP="00D73AB3">
            <w:pPr>
              <w:pStyle w:val="2024TABLETEXT"/>
              <w:framePr w:hSpace="0" w:wrap="auto" w:vAnchor="margin" w:yAlign="inline"/>
              <w:suppressOverlap w:val="0"/>
            </w:pPr>
            <w:r w:rsidRPr="0054775B">
              <w:t>-</w:t>
            </w:r>
          </w:p>
        </w:tc>
        <w:tc>
          <w:tcPr>
            <w:tcW w:w="455" w:type="pct"/>
            <w:tcBorders>
              <w:top w:val="single" w:sz="6" w:space="0" w:color="000000"/>
              <w:left w:val="nil"/>
              <w:bottom w:val="single" w:sz="6" w:space="0" w:color="000000"/>
              <w:right w:val="nil"/>
            </w:tcBorders>
            <w:vAlign w:val="center"/>
          </w:tcPr>
          <w:p w14:paraId="713DCC13" w14:textId="2FD9841A" w:rsidR="00113E80" w:rsidRPr="0054775B" w:rsidRDefault="00113E80" w:rsidP="00D73AB3">
            <w:pPr>
              <w:pStyle w:val="2024TABLETEXT"/>
              <w:framePr w:hSpace="0" w:wrap="auto" w:vAnchor="margin" w:yAlign="inline"/>
              <w:suppressOverlap w:val="0"/>
            </w:pPr>
            <w:r w:rsidRPr="0054775B">
              <w:t>-</w:t>
            </w:r>
          </w:p>
        </w:tc>
        <w:tc>
          <w:tcPr>
            <w:tcW w:w="1262" w:type="pct"/>
            <w:tcBorders>
              <w:top w:val="single" w:sz="6" w:space="0" w:color="000000"/>
              <w:left w:val="nil"/>
              <w:bottom w:val="single" w:sz="6" w:space="0" w:color="000000"/>
              <w:right w:val="nil"/>
            </w:tcBorders>
            <w:vAlign w:val="center"/>
          </w:tcPr>
          <w:p w14:paraId="6ACADC14" w14:textId="2776210C" w:rsidR="00113E80" w:rsidRPr="0054775B" w:rsidRDefault="00113E80" w:rsidP="00D73AB3">
            <w:pPr>
              <w:pStyle w:val="2024TABLETEXT"/>
              <w:framePr w:hSpace="0" w:wrap="auto" w:vAnchor="margin" w:yAlign="inline"/>
              <w:suppressOverlap w:val="0"/>
            </w:pPr>
            <w:r w:rsidRPr="0054775B">
              <w:t xml:space="preserve">No </w:t>
            </w:r>
            <w:r w:rsidR="0029059B">
              <w:t>reviews</w:t>
            </w:r>
            <w:r w:rsidR="0029059B" w:rsidRPr="0054775B">
              <w:t xml:space="preserve"> </w:t>
            </w:r>
            <w:r w:rsidRPr="0054775B">
              <w:t>found. The effect of antioxidants on improvement in clinical recovery or improvement (dichotomous) in fatigue is unknown.</w:t>
            </w:r>
          </w:p>
        </w:tc>
      </w:tr>
      <w:tr w:rsidR="00113E80" w:rsidRPr="0054775B" w14:paraId="4ED0D6DE" w14:textId="77777777" w:rsidTr="00A05DC3">
        <w:trPr>
          <w:cantSplit/>
          <w:trHeight w:val="38"/>
        </w:trPr>
        <w:tc>
          <w:tcPr>
            <w:tcW w:w="303" w:type="pct"/>
            <w:tcBorders>
              <w:top w:val="single" w:sz="6" w:space="0" w:color="000000"/>
              <w:left w:val="nil"/>
              <w:bottom w:val="single" w:sz="6" w:space="0" w:color="000000"/>
              <w:right w:val="nil"/>
            </w:tcBorders>
            <w:vAlign w:val="center"/>
          </w:tcPr>
          <w:p w14:paraId="0C6DA68A" w14:textId="77777777" w:rsidR="00113E80" w:rsidRPr="0054775B" w:rsidRDefault="00113E80" w:rsidP="00D73AB3">
            <w:pPr>
              <w:pStyle w:val="2024TABLETEXT"/>
              <w:framePr w:hSpace="0" w:wrap="auto" w:vAnchor="margin" w:yAlign="inline"/>
              <w:suppressOverlap w:val="0"/>
            </w:pPr>
            <w:r w:rsidRPr="0054775B">
              <w:t>9</w:t>
            </w:r>
          </w:p>
        </w:tc>
        <w:tc>
          <w:tcPr>
            <w:tcW w:w="1616" w:type="pct"/>
            <w:tcBorders>
              <w:top w:val="single" w:sz="6" w:space="0" w:color="000000"/>
              <w:left w:val="nil"/>
              <w:bottom w:val="single" w:sz="6" w:space="0" w:color="000000"/>
              <w:right w:val="nil"/>
            </w:tcBorders>
            <w:vAlign w:val="center"/>
          </w:tcPr>
          <w:p w14:paraId="659AC32A" w14:textId="2BD7BB68" w:rsidR="00113E80" w:rsidRPr="0054775B" w:rsidRDefault="00113E80" w:rsidP="00D73AB3">
            <w:pPr>
              <w:pStyle w:val="2024TABLETEXT"/>
              <w:framePr w:hSpace="0" w:wrap="auto" w:vAnchor="margin" w:yAlign="inline"/>
              <w:suppressOverlap w:val="0"/>
            </w:pPr>
            <w:r w:rsidRPr="0054775B">
              <w:t>Self-perceived change in overall health</w:t>
            </w:r>
          </w:p>
        </w:tc>
        <w:tc>
          <w:tcPr>
            <w:tcW w:w="455" w:type="pct"/>
            <w:tcBorders>
              <w:top w:val="single" w:sz="6" w:space="0" w:color="000000"/>
              <w:left w:val="nil"/>
              <w:bottom w:val="single" w:sz="6" w:space="0" w:color="000000"/>
              <w:right w:val="nil"/>
            </w:tcBorders>
            <w:vAlign w:val="center"/>
          </w:tcPr>
          <w:p w14:paraId="7D3E0396" w14:textId="5E9582C9" w:rsidR="00113E80" w:rsidRPr="0054775B" w:rsidRDefault="00113E80" w:rsidP="00D73AB3">
            <w:pPr>
              <w:pStyle w:val="2024TABLETEXT"/>
              <w:framePr w:hSpace="0" w:wrap="auto" w:vAnchor="margin" w:yAlign="inline"/>
              <w:suppressOverlap w:val="0"/>
            </w:pPr>
            <w:r w:rsidRPr="0054775B">
              <w:t>-</w:t>
            </w:r>
          </w:p>
        </w:tc>
        <w:tc>
          <w:tcPr>
            <w:tcW w:w="455" w:type="pct"/>
            <w:tcBorders>
              <w:top w:val="single" w:sz="6" w:space="0" w:color="000000"/>
              <w:left w:val="nil"/>
              <w:bottom w:val="single" w:sz="6" w:space="0" w:color="000000"/>
              <w:right w:val="nil"/>
            </w:tcBorders>
            <w:shd w:val="clear" w:color="auto" w:fill="auto"/>
            <w:vAlign w:val="center"/>
          </w:tcPr>
          <w:p w14:paraId="4F1C8FD2" w14:textId="7CC335EB" w:rsidR="00113E80" w:rsidRPr="0054775B" w:rsidRDefault="00113E80" w:rsidP="00D73AB3">
            <w:pPr>
              <w:pStyle w:val="2024TABLETEXT"/>
              <w:framePr w:hSpace="0" w:wrap="auto" w:vAnchor="margin" w:yAlign="inline"/>
              <w:suppressOverlap w:val="0"/>
            </w:pPr>
            <w:r w:rsidRPr="0054775B">
              <w:t>-</w:t>
            </w:r>
          </w:p>
        </w:tc>
        <w:tc>
          <w:tcPr>
            <w:tcW w:w="454" w:type="pct"/>
            <w:tcBorders>
              <w:top w:val="single" w:sz="6" w:space="0" w:color="000000"/>
              <w:left w:val="nil"/>
              <w:bottom w:val="single" w:sz="6" w:space="0" w:color="000000"/>
              <w:right w:val="nil"/>
            </w:tcBorders>
            <w:vAlign w:val="center"/>
          </w:tcPr>
          <w:p w14:paraId="15C64E92" w14:textId="4E6C776E" w:rsidR="00113E80" w:rsidRPr="0054775B" w:rsidRDefault="00113E80" w:rsidP="00D73AB3">
            <w:pPr>
              <w:pStyle w:val="2024TABLETEXT"/>
              <w:framePr w:hSpace="0" w:wrap="auto" w:vAnchor="margin" w:yAlign="inline"/>
              <w:suppressOverlap w:val="0"/>
            </w:pPr>
            <w:r w:rsidRPr="0054775B">
              <w:t>-</w:t>
            </w:r>
          </w:p>
        </w:tc>
        <w:tc>
          <w:tcPr>
            <w:tcW w:w="455" w:type="pct"/>
            <w:tcBorders>
              <w:top w:val="single" w:sz="6" w:space="0" w:color="000000"/>
              <w:left w:val="nil"/>
              <w:bottom w:val="single" w:sz="6" w:space="0" w:color="000000"/>
              <w:right w:val="nil"/>
            </w:tcBorders>
            <w:vAlign w:val="center"/>
          </w:tcPr>
          <w:p w14:paraId="73C1045D" w14:textId="322E8663" w:rsidR="00113E80" w:rsidRPr="0054775B" w:rsidRDefault="00113E80" w:rsidP="00D73AB3">
            <w:pPr>
              <w:pStyle w:val="2024TABLETEXT"/>
              <w:framePr w:hSpace="0" w:wrap="auto" w:vAnchor="margin" w:yAlign="inline"/>
              <w:suppressOverlap w:val="0"/>
            </w:pPr>
            <w:r w:rsidRPr="0054775B">
              <w:t>-</w:t>
            </w:r>
          </w:p>
        </w:tc>
        <w:tc>
          <w:tcPr>
            <w:tcW w:w="1262" w:type="pct"/>
            <w:tcBorders>
              <w:top w:val="single" w:sz="6" w:space="0" w:color="000000"/>
              <w:left w:val="nil"/>
              <w:bottom w:val="single" w:sz="6" w:space="0" w:color="000000"/>
              <w:right w:val="nil"/>
            </w:tcBorders>
          </w:tcPr>
          <w:p w14:paraId="4ED14F02" w14:textId="25F07B22" w:rsidR="00113E80" w:rsidRPr="0054775B" w:rsidRDefault="00113E80" w:rsidP="00D73AB3">
            <w:pPr>
              <w:pStyle w:val="2024TABLETEXT"/>
              <w:framePr w:hSpace="0" w:wrap="auto" w:vAnchor="margin" w:yAlign="inline"/>
              <w:suppressOverlap w:val="0"/>
            </w:pPr>
            <w:r w:rsidRPr="0054775B">
              <w:t xml:space="preserve">No </w:t>
            </w:r>
            <w:r w:rsidR="0029059B">
              <w:t>reviews</w:t>
            </w:r>
            <w:r w:rsidR="0029059B" w:rsidRPr="0054775B">
              <w:t xml:space="preserve"> </w:t>
            </w:r>
            <w:r w:rsidRPr="0054775B">
              <w:t>found. The effect of antioxidants on self-perceived change in overall health in fatigue is unknown.</w:t>
            </w:r>
          </w:p>
        </w:tc>
      </w:tr>
      <w:tr w:rsidR="00113E80" w:rsidRPr="0054775B" w14:paraId="53E088F6" w14:textId="77777777" w:rsidTr="00A05DC3">
        <w:trPr>
          <w:cantSplit/>
        </w:trPr>
        <w:tc>
          <w:tcPr>
            <w:tcW w:w="303" w:type="pct"/>
            <w:tcBorders>
              <w:top w:val="single" w:sz="6" w:space="0" w:color="000000"/>
              <w:left w:val="nil"/>
              <w:bottom w:val="single" w:sz="6" w:space="0" w:color="000000"/>
              <w:right w:val="nil"/>
            </w:tcBorders>
            <w:vAlign w:val="center"/>
          </w:tcPr>
          <w:p w14:paraId="3CCFE601" w14:textId="77777777" w:rsidR="00113E80" w:rsidRPr="0054775B" w:rsidRDefault="00113E80" w:rsidP="00D73AB3">
            <w:pPr>
              <w:pStyle w:val="2024TABLETEXT"/>
              <w:framePr w:hSpace="0" w:wrap="auto" w:vAnchor="margin" w:yAlign="inline"/>
              <w:suppressOverlap w:val="0"/>
            </w:pPr>
            <w:r w:rsidRPr="0054775B">
              <w:t>8</w:t>
            </w:r>
          </w:p>
        </w:tc>
        <w:tc>
          <w:tcPr>
            <w:tcW w:w="1616" w:type="pct"/>
            <w:tcBorders>
              <w:top w:val="single" w:sz="6" w:space="0" w:color="000000"/>
              <w:left w:val="nil"/>
              <w:bottom w:val="single" w:sz="6" w:space="0" w:color="000000"/>
              <w:right w:val="nil"/>
            </w:tcBorders>
            <w:vAlign w:val="center"/>
          </w:tcPr>
          <w:p w14:paraId="37A8739D" w14:textId="50657FA9" w:rsidR="00113E80" w:rsidRPr="0054775B" w:rsidRDefault="00113E80" w:rsidP="00D73AB3">
            <w:pPr>
              <w:pStyle w:val="2024TABLETEXT"/>
              <w:framePr w:hSpace="0" w:wrap="auto" w:vAnchor="margin" w:yAlign="inline"/>
              <w:suppressOverlap w:val="0"/>
            </w:pPr>
            <w:r w:rsidRPr="0054775B">
              <w:t>Physical function burden from fatigue</w:t>
            </w:r>
          </w:p>
        </w:tc>
        <w:tc>
          <w:tcPr>
            <w:tcW w:w="455" w:type="pct"/>
            <w:tcBorders>
              <w:top w:val="single" w:sz="6" w:space="0" w:color="000000"/>
              <w:left w:val="nil"/>
              <w:bottom w:val="single" w:sz="6" w:space="0" w:color="000000"/>
              <w:right w:val="nil"/>
            </w:tcBorders>
            <w:vAlign w:val="center"/>
          </w:tcPr>
          <w:p w14:paraId="546811D8" w14:textId="0639BBE5" w:rsidR="00113E80" w:rsidRPr="0054775B" w:rsidRDefault="00113E80" w:rsidP="00D73AB3">
            <w:pPr>
              <w:pStyle w:val="2024TABLETEXT"/>
              <w:framePr w:hSpace="0" w:wrap="auto" w:vAnchor="margin" w:yAlign="inline"/>
              <w:suppressOverlap w:val="0"/>
            </w:pPr>
            <w:r w:rsidRPr="0054775B">
              <w:t>-</w:t>
            </w:r>
          </w:p>
        </w:tc>
        <w:tc>
          <w:tcPr>
            <w:tcW w:w="455" w:type="pct"/>
            <w:tcBorders>
              <w:top w:val="single" w:sz="6" w:space="0" w:color="000000"/>
              <w:left w:val="nil"/>
              <w:bottom w:val="single" w:sz="6" w:space="0" w:color="000000"/>
              <w:right w:val="nil"/>
            </w:tcBorders>
            <w:shd w:val="clear" w:color="auto" w:fill="auto"/>
            <w:vAlign w:val="center"/>
          </w:tcPr>
          <w:p w14:paraId="37817412" w14:textId="7F801E68" w:rsidR="00113E80" w:rsidRPr="0054775B" w:rsidRDefault="00113E80" w:rsidP="00D73AB3">
            <w:pPr>
              <w:pStyle w:val="2024TABLETEXT"/>
              <w:framePr w:hSpace="0" w:wrap="auto" w:vAnchor="margin" w:yAlign="inline"/>
              <w:suppressOverlap w:val="0"/>
            </w:pPr>
            <w:r w:rsidRPr="0054775B">
              <w:t>-</w:t>
            </w:r>
          </w:p>
        </w:tc>
        <w:tc>
          <w:tcPr>
            <w:tcW w:w="454" w:type="pct"/>
            <w:tcBorders>
              <w:top w:val="single" w:sz="6" w:space="0" w:color="000000"/>
              <w:left w:val="nil"/>
              <w:bottom w:val="single" w:sz="6" w:space="0" w:color="000000"/>
              <w:right w:val="nil"/>
            </w:tcBorders>
            <w:vAlign w:val="center"/>
          </w:tcPr>
          <w:p w14:paraId="7C4E9FE4" w14:textId="5CBDAB6B" w:rsidR="00113E80" w:rsidRPr="0054775B" w:rsidRDefault="00113E80" w:rsidP="00D73AB3">
            <w:pPr>
              <w:pStyle w:val="2024TABLETEXT"/>
              <w:framePr w:hSpace="0" w:wrap="auto" w:vAnchor="margin" w:yAlign="inline"/>
              <w:suppressOverlap w:val="0"/>
            </w:pPr>
            <w:r w:rsidRPr="0054775B">
              <w:t>-</w:t>
            </w:r>
          </w:p>
        </w:tc>
        <w:tc>
          <w:tcPr>
            <w:tcW w:w="455" w:type="pct"/>
            <w:tcBorders>
              <w:top w:val="single" w:sz="6" w:space="0" w:color="000000"/>
              <w:left w:val="nil"/>
              <w:bottom w:val="single" w:sz="6" w:space="0" w:color="000000"/>
              <w:right w:val="nil"/>
            </w:tcBorders>
            <w:vAlign w:val="center"/>
          </w:tcPr>
          <w:p w14:paraId="6F58E75C" w14:textId="736610C5" w:rsidR="00113E80" w:rsidRPr="0054775B" w:rsidRDefault="00113E80" w:rsidP="00D73AB3">
            <w:pPr>
              <w:pStyle w:val="2024TABLETEXT"/>
              <w:framePr w:hSpace="0" w:wrap="auto" w:vAnchor="margin" w:yAlign="inline"/>
              <w:suppressOverlap w:val="0"/>
            </w:pPr>
            <w:r w:rsidRPr="0054775B">
              <w:t>-</w:t>
            </w:r>
          </w:p>
        </w:tc>
        <w:tc>
          <w:tcPr>
            <w:tcW w:w="1262" w:type="pct"/>
            <w:tcBorders>
              <w:top w:val="single" w:sz="6" w:space="0" w:color="000000"/>
              <w:left w:val="nil"/>
              <w:bottom w:val="single" w:sz="6" w:space="0" w:color="000000"/>
              <w:right w:val="nil"/>
            </w:tcBorders>
          </w:tcPr>
          <w:p w14:paraId="40B0A617" w14:textId="15DC0070" w:rsidR="00113E80" w:rsidRPr="0054775B" w:rsidRDefault="00113E80" w:rsidP="00D73AB3">
            <w:pPr>
              <w:pStyle w:val="2024TABLETEXT"/>
              <w:framePr w:hSpace="0" w:wrap="auto" w:vAnchor="margin" w:yAlign="inline"/>
              <w:suppressOverlap w:val="0"/>
            </w:pPr>
            <w:r w:rsidRPr="0054775B">
              <w:t xml:space="preserve">No </w:t>
            </w:r>
            <w:r w:rsidR="0029059B">
              <w:t>reviews</w:t>
            </w:r>
            <w:r w:rsidR="0029059B" w:rsidRPr="0054775B">
              <w:t xml:space="preserve"> </w:t>
            </w:r>
            <w:r w:rsidRPr="0054775B">
              <w:t>found. The effect of antioxidants on physical function burden from fatigue in fatigue is unknown.</w:t>
            </w:r>
          </w:p>
        </w:tc>
      </w:tr>
      <w:tr w:rsidR="001A5532" w:rsidRPr="0054775B" w14:paraId="7651785E" w14:textId="77777777" w:rsidTr="00B02F6A">
        <w:trPr>
          <w:cantSplit/>
        </w:trPr>
        <w:tc>
          <w:tcPr>
            <w:tcW w:w="303" w:type="pct"/>
            <w:tcBorders>
              <w:top w:val="single" w:sz="6" w:space="0" w:color="000000"/>
              <w:left w:val="nil"/>
              <w:bottom w:val="single" w:sz="6" w:space="0" w:color="000000"/>
              <w:right w:val="nil"/>
            </w:tcBorders>
            <w:vAlign w:val="center"/>
          </w:tcPr>
          <w:p w14:paraId="67F31F94" w14:textId="2FCB76C6" w:rsidR="001A5532" w:rsidRPr="0054775B" w:rsidRDefault="001A5532" w:rsidP="001A5532">
            <w:pPr>
              <w:pStyle w:val="2024TABLETEXT"/>
              <w:framePr w:hSpace="0" w:wrap="auto" w:vAnchor="margin" w:yAlign="inline"/>
              <w:spacing w:after="120"/>
              <w:ind w:left="87"/>
              <w:suppressOverlap w:val="0"/>
              <w:rPr>
                <w:b/>
                <w:bCs/>
              </w:rPr>
            </w:pPr>
            <w:r w:rsidRPr="0054775B">
              <w:lastRenderedPageBreak/>
              <w:t>8</w:t>
            </w:r>
          </w:p>
        </w:tc>
        <w:tc>
          <w:tcPr>
            <w:tcW w:w="1616" w:type="pct"/>
            <w:tcBorders>
              <w:top w:val="single" w:sz="6" w:space="0" w:color="000000"/>
              <w:left w:val="nil"/>
              <w:bottom w:val="single" w:sz="6" w:space="0" w:color="000000"/>
              <w:right w:val="nil"/>
            </w:tcBorders>
            <w:vAlign w:val="center"/>
          </w:tcPr>
          <w:p w14:paraId="1E26E1B8" w14:textId="77777777" w:rsidR="001A5532" w:rsidRPr="0054775B" w:rsidRDefault="001A5532" w:rsidP="001A5532">
            <w:pPr>
              <w:pStyle w:val="2024TABLETEXT"/>
              <w:framePr w:hSpace="0" w:wrap="auto" w:vAnchor="margin" w:yAlign="inline"/>
              <w:spacing w:after="120"/>
              <w:ind w:left="87"/>
              <w:suppressOverlap w:val="0"/>
              <w:rPr>
                <w:b/>
                <w:bCs/>
              </w:rPr>
            </w:pPr>
            <w:r w:rsidRPr="0054775B">
              <w:rPr>
                <w:b/>
                <w:bCs/>
              </w:rPr>
              <w:t>HRQoL</w:t>
            </w:r>
          </w:p>
          <w:p w14:paraId="54AE09FD" w14:textId="62C28881" w:rsidR="001A5532" w:rsidRPr="0054775B" w:rsidRDefault="001A5532" w:rsidP="001A5532">
            <w:pPr>
              <w:pStyle w:val="2024TABLETEXT"/>
              <w:framePr w:hSpace="0" w:wrap="auto" w:vAnchor="margin" w:yAlign="inline"/>
              <w:ind w:left="370"/>
              <w:suppressOverlap w:val="0"/>
            </w:pPr>
            <w:r w:rsidRPr="0054775B">
              <w:rPr>
                <w:b/>
                <w:bCs/>
              </w:rPr>
              <w:t>Conditions:</w:t>
            </w:r>
            <w:r w:rsidRPr="0054775B">
              <w:t xml:space="preserve"> Secondary progressive </w:t>
            </w:r>
            <w:r w:rsidR="00F771FF" w:rsidRPr="0054775B">
              <w:t>multiple sclerosis</w:t>
            </w:r>
          </w:p>
          <w:p w14:paraId="33C206F4" w14:textId="533E8E82" w:rsidR="001A5532" w:rsidRPr="0054775B" w:rsidRDefault="001A5532" w:rsidP="001A5532">
            <w:pPr>
              <w:pStyle w:val="2024TABLETEXT"/>
              <w:framePr w:hSpace="0" w:wrap="auto" w:vAnchor="margin" w:yAlign="inline"/>
              <w:ind w:left="370"/>
              <w:suppressOverlap w:val="0"/>
            </w:pPr>
            <w:r w:rsidRPr="0054775B">
              <w:rPr>
                <w:b/>
                <w:bCs/>
              </w:rPr>
              <w:t>Dose:</w:t>
            </w:r>
            <w:r w:rsidRPr="0054775B">
              <w:t xml:space="preserve"> ALA 1200 mg per day</w:t>
            </w:r>
          </w:p>
          <w:p w14:paraId="54B82324" w14:textId="651BCA90" w:rsidR="001A5532" w:rsidRPr="0054775B" w:rsidRDefault="001A5532" w:rsidP="001A5532">
            <w:pPr>
              <w:pStyle w:val="2024TABLETEXT"/>
              <w:framePr w:hSpace="0" w:wrap="auto" w:vAnchor="margin" w:yAlign="inline"/>
              <w:ind w:left="370"/>
              <w:suppressOverlap w:val="0"/>
            </w:pPr>
            <w:r w:rsidRPr="0054775B">
              <w:rPr>
                <w:b/>
                <w:bCs/>
              </w:rPr>
              <w:t>Assessed with:</w:t>
            </w:r>
            <w:r w:rsidRPr="0054775B">
              <w:t xml:space="preserve"> </w:t>
            </w:r>
            <w:r w:rsidR="00B0559D" w:rsidRPr="0054775B">
              <w:t>SF-36</w:t>
            </w:r>
          </w:p>
          <w:p w14:paraId="750F6547" w14:textId="634D598D" w:rsidR="001A5532" w:rsidRPr="0054775B" w:rsidRDefault="001A5532" w:rsidP="001A5532">
            <w:pPr>
              <w:pStyle w:val="2024TABLETEXT"/>
              <w:framePr w:hSpace="0" w:wrap="auto" w:vAnchor="margin" w:yAlign="inline"/>
              <w:ind w:left="370"/>
              <w:suppressOverlap w:val="0"/>
              <w:rPr>
                <w:b/>
                <w:bCs/>
              </w:rPr>
            </w:pPr>
            <w:r w:rsidRPr="0054775B">
              <w:rPr>
                <w:b/>
                <w:bCs/>
              </w:rPr>
              <w:t xml:space="preserve">Follow up: </w:t>
            </w:r>
            <w:r w:rsidRPr="0054775B">
              <w:t>2 years</w:t>
            </w:r>
          </w:p>
        </w:tc>
        <w:tc>
          <w:tcPr>
            <w:tcW w:w="455" w:type="pct"/>
            <w:tcBorders>
              <w:top w:val="single" w:sz="6" w:space="0" w:color="000000"/>
              <w:left w:val="nil"/>
              <w:bottom w:val="single" w:sz="6" w:space="0" w:color="000000"/>
              <w:right w:val="nil"/>
            </w:tcBorders>
            <w:vAlign w:val="center"/>
          </w:tcPr>
          <w:p w14:paraId="6AAD3FF0" w14:textId="56E5E27C" w:rsidR="001A5532" w:rsidRPr="0054775B" w:rsidRDefault="001A5532" w:rsidP="001A5532">
            <w:pPr>
              <w:pStyle w:val="2024TABLETEXT"/>
              <w:framePr w:hSpace="0" w:wrap="auto" w:vAnchor="margin" w:yAlign="inline"/>
              <w:suppressOverlap w:val="0"/>
            </w:pPr>
            <w:r w:rsidRPr="0054775B">
              <w:t>Marx 2019</w:t>
            </w:r>
          </w:p>
        </w:tc>
        <w:tc>
          <w:tcPr>
            <w:tcW w:w="455" w:type="pct"/>
            <w:tcBorders>
              <w:top w:val="single" w:sz="6" w:space="0" w:color="000000"/>
              <w:left w:val="nil"/>
              <w:bottom w:val="single" w:sz="6" w:space="0" w:color="000000"/>
              <w:right w:val="nil"/>
            </w:tcBorders>
            <w:shd w:val="clear" w:color="auto" w:fill="auto"/>
            <w:vAlign w:val="center"/>
          </w:tcPr>
          <w:p w14:paraId="7A1BBA49" w14:textId="209EBDFD" w:rsidR="003942CB" w:rsidRDefault="003942CB" w:rsidP="00417625">
            <w:pPr>
              <w:pStyle w:val="2024TABLETEXT"/>
              <w:framePr w:hSpace="0" w:wrap="auto" w:vAnchor="margin" w:yAlign="inline"/>
              <w:suppressOverlap w:val="0"/>
            </w:pPr>
            <w:r w:rsidRPr="003942CB">
              <w:t>Fatigue was decreased in participants receiving the intervention compared to placebo</w:t>
            </w:r>
            <w:r>
              <w:t>.</w:t>
            </w:r>
          </w:p>
          <w:p w14:paraId="1DE54CB7" w14:textId="77777777" w:rsidR="003942CB" w:rsidRPr="0054775B" w:rsidRDefault="003942CB" w:rsidP="00417625">
            <w:pPr>
              <w:pStyle w:val="2024TABLETEXT"/>
              <w:framePr w:hSpace="0" w:wrap="auto" w:vAnchor="margin" w:yAlign="inline"/>
              <w:suppressOverlap w:val="0"/>
            </w:pPr>
          </w:p>
          <w:p w14:paraId="137AD0A7" w14:textId="76A5554F" w:rsidR="001A5532" w:rsidRPr="0054775B" w:rsidRDefault="007A1B00" w:rsidP="00417625">
            <w:pPr>
              <w:pStyle w:val="2024TABLETEXT"/>
              <w:framePr w:hSpace="0" w:wrap="auto" w:vAnchor="margin" w:yAlign="inline"/>
              <w:suppressOverlap w:val="0"/>
            </w:pPr>
            <w:r>
              <w:t>Effect</w:t>
            </w:r>
            <w:r w:rsidR="00417625" w:rsidRPr="0054775B">
              <w:t xml:space="preserve"> sizes NR</w:t>
            </w:r>
            <w:r w:rsidR="009919FB">
              <w:t>#</w:t>
            </w:r>
            <w:r w:rsidR="00C74FCF">
              <w:t>§</w:t>
            </w:r>
          </w:p>
        </w:tc>
        <w:tc>
          <w:tcPr>
            <w:tcW w:w="454" w:type="pct"/>
            <w:tcBorders>
              <w:top w:val="single" w:sz="6" w:space="0" w:color="000000"/>
              <w:left w:val="nil"/>
              <w:bottom w:val="single" w:sz="6" w:space="0" w:color="000000"/>
              <w:right w:val="nil"/>
            </w:tcBorders>
            <w:vAlign w:val="center"/>
          </w:tcPr>
          <w:p w14:paraId="69A350CF" w14:textId="0D4848D4" w:rsidR="001A5532" w:rsidRPr="0054775B" w:rsidRDefault="001A5532" w:rsidP="001A5532">
            <w:pPr>
              <w:pStyle w:val="2024TABLETEXT"/>
              <w:framePr w:hSpace="0" w:wrap="auto" w:vAnchor="margin" w:yAlign="inline"/>
              <w:suppressOverlap w:val="0"/>
            </w:pPr>
            <w:r w:rsidRPr="0054775B">
              <w:t>54 (1)</w:t>
            </w:r>
          </w:p>
        </w:tc>
        <w:tc>
          <w:tcPr>
            <w:tcW w:w="455" w:type="pct"/>
            <w:tcBorders>
              <w:top w:val="single" w:sz="6" w:space="0" w:color="000000"/>
              <w:left w:val="nil"/>
              <w:bottom w:val="single" w:sz="6" w:space="0" w:color="000000"/>
              <w:right w:val="nil"/>
            </w:tcBorders>
            <w:vAlign w:val="center"/>
          </w:tcPr>
          <w:p w14:paraId="3960139B" w14:textId="29031536" w:rsidR="001A5532" w:rsidRPr="0054775B" w:rsidRDefault="001A5532" w:rsidP="001A5532">
            <w:pPr>
              <w:pStyle w:val="2024TABLETEXT"/>
              <w:framePr w:hSpace="0" w:wrap="auto" w:vAnchor="margin" w:yAlign="inline"/>
              <w:suppressOverlap w:val="0"/>
            </w:pPr>
            <w:r w:rsidRPr="0054775B">
              <w:rPr>
                <w:rFonts w:ascii="Cambria Math" w:hAnsi="Cambria Math" w:cs="Cambria Math"/>
                <w:sz w:val="22"/>
                <w:szCs w:val="22"/>
              </w:rPr>
              <w:t>⨁</w:t>
            </w:r>
            <w:r w:rsidRPr="0054775B">
              <w:rPr>
                <w:rFonts w:ascii="Segoe UI Symbol" w:hAnsi="Segoe UI Symbol" w:cs="Segoe UI Symbol"/>
              </w:rPr>
              <w:t>◯◯◯</w:t>
            </w:r>
            <w:r w:rsidRPr="0054775B">
              <w:br/>
              <w:t>VERY LOW</w:t>
            </w:r>
            <w:r w:rsidRPr="0054775B">
              <w:rPr>
                <w:rStyle w:val="FootnoteReference"/>
              </w:rPr>
              <w:t xml:space="preserve"> </w:t>
            </w:r>
            <w:r w:rsidRPr="0054775B">
              <w:rPr>
                <w:vertAlign w:val="superscript"/>
              </w:rPr>
              <w:t>b</w:t>
            </w:r>
          </w:p>
        </w:tc>
        <w:tc>
          <w:tcPr>
            <w:tcW w:w="1262" w:type="pct"/>
            <w:tcBorders>
              <w:top w:val="single" w:sz="6" w:space="0" w:color="000000"/>
              <w:left w:val="nil"/>
              <w:bottom w:val="single" w:sz="6" w:space="0" w:color="000000"/>
              <w:right w:val="nil"/>
            </w:tcBorders>
            <w:vAlign w:val="center"/>
          </w:tcPr>
          <w:p w14:paraId="35DCE532" w14:textId="01A20194" w:rsidR="001A5532" w:rsidRPr="0054775B" w:rsidRDefault="001A5532" w:rsidP="001A5532">
            <w:pPr>
              <w:pStyle w:val="2024TABLETEXT"/>
              <w:framePr w:hSpace="0" w:wrap="auto" w:vAnchor="margin" w:yAlign="inline"/>
              <w:suppressOverlap w:val="0"/>
            </w:pPr>
            <w:r w:rsidRPr="0054775B">
              <w:t xml:space="preserve">The evidence is very uncertain about the effect of </w:t>
            </w:r>
            <w:r w:rsidR="0023605F" w:rsidRPr="0054775B">
              <w:t>antioxidants</w:t>
            </w:r>
            <w:r w:rsidRPr="0054775B">
              <w:t xml:space="preserve"> on </w:t>
            </w:r>
            <w:r w:rsidR="0023605F" w:rsidRPr="0054775B">
              <w:t>HRQoL for fatigue</w:t>
            </w:r>
            <w:r w:rsidRPr="0054775B">
              <w:t>.</w:t>
            </w:r>
          </w:p>
        </w:tc>
      </w:tr>
      <w:tr w:rsidR="00EB5C19" w:rsidRPr="0054775B" w14:paraId="4828B64F" w14:textId="77777777" w:rsidTr="00A05DC3">
        <w:trPr>
          <w:cantSplit/>
        </w:trPr>
        <w:tc>
          <w:tcPr>
            <w:tcW w:w="303" w:type="pct"/>
            <w:tcBorders>
              <w:top w:val="single" w:sz="6" w:space="0" w:color="000000"/>
              <w:left w:val="nil"/>
              <w:bottom w:val="single" w:sz="6" w:space="0" w:color="000000"/>
              <w:right w:val="nil"/>
            </w:tcBorders>
            <w:vAlign w:val="center"/>
          </w:tcPr>
          <w:p w14:paraId="2E8399BF" w14:textId="77777777" w:rsidR="00EB5C19" w:rsidRPr="0054775B" w:rsidRDefault="00EB5C19" w:rsidP="00D73AB3">
            <w:pPr>
              <w:pStyle w:val="2024TABLETEXT"/>
              <w:framePr w:hSpace="0" w:wrap="auto" w:vAnchor="margin" w:yAlign="inline"/>
              <w:suppressOverlap w:val="0"/>
            </w:pPr>
            <w:r w:rsidRPr="0054775B">
              <w:t>8</w:t>
            </w:r>
          </w:p>
        </w:tc>
        <w:tc>
          <w:tcPr>
            <w:tcW w:w="1616" w:type="pct"/>
            <w:tcBorders>
              <w:top w:val="single" w:sz="6" w:space="0" w:color="000000"/>
              <w:left w:val="nil"/>
              <w:bottom w:val="single" w:sz="6" w:space="0" w:color="000000"/>
              <w:right w:val="nil"/>
            </w:tcBorders>
            <w:vAlign w:val="center"/>
          </w:tcPr>
          <w:p w14:paraId="09AE07EF" w14:textId="60BF9D47" w:rsidR="00EB5C19" w:rsidRPr="0054775B" w:rsidRDefault="00EB5C19" w:rsidP="00D73AB3">
            <w:pPr>
              <w:pStyle w:val="2024TABLETEXT"/>
              <w:framePr w:hSpace="0" w:wrap="auto" w:vAnchor="margin" w:yAlign="inline"/>
              <w:suppressOverlap w:val="0"/>
            </w:pPr>
            <w:r w:rsidRPr="0054775B">
              <w:t>Cognitive function burden from fatigue</w:t>
            </w:r>
          </w:p>
        </w:tc>
        <w:tc>
          <w:tcPr>
            <w:tcW w:w="455" w:type="pct"/>
            <w:tcBorders>
              <w:top w:val="single" w:sz="6" w:space="0" w:color="000000"/>
              <w:left w:val="nil"/>
              <w:bottom w:val="single" w:sz="6" w:space="0" w:color="000000"/>
              <w:right w:val="nil"/>
            </w:tcBorders>
            <w:vAlign w:val="center"/>
          </w:tcPr>
          <w:p w14:paraId="7473239A" w14:textId="498F4793" w:rsidR="00EB5C19" w:rsidRPr="0054775B" w:rsidRDefault="00EB5C19" w:rsidP="00D73AB3">
            <w:pPr>
              <w:pStyle w:val="2024TABLETEXT"/>
              <w:framePr w:hSpace="0" w:wrap="auto" w:vAnchor="margin" w:yAlign="inline"/>
              <w:suppressOverlap w:val="0"/>
            </w:pPr>
            <w:r w:rsidRPr="0054775B">
              <w:t>-</w:t>
            </w:r>
          </w:p>
        </w:tc>
        <w:tc>
          <w:tcPr>
            <w:tcW w:w="455" w:type="pct"/>
            <w:tcBorders>
              <w:top w:val="single" w:sz="6" w:space="0" w:color="000000"/>
              <w:left w:val="nil"/>
              <w:bottom w:val="single" w:sz="6" w:space="0" w:color="000000"/>
              <w:right w:val="nil"/>
            </w:tcBorders>
            <w:shd w:val="clear" w:color="auto" w:fill="auto"/>
            <w:vAlign w:val="center"/>
          </w:tcPr>
          <w:p w14:paraId="0029CB9A" w14:textId="278FE6FF" w:rsidR="00EB5C19" w:rsidRPr="0054775B" w:rsidRDefault="00EB5C19" w:rsidP="00D73AB3">
            <w:pPr>
              <w:pStyle w:val="2024TABLETEXT"/>
              <w:framePr w:hSpace="0" w:wrap="auto" w:vAnchor="margin" w:yAlign="inline"/>
              <w:suppressOverlap w:val="0"/>
            </w:pPr>
            <w:r w:rsidRPr="0054775B">
              <w:t>-</w:t>
            </w:r>
          </w:p>
        </w:tc>
        <w:tc>
          <w:tcPr>
            <w:tcW w:w="454" w:type="pct"/>
            <w:tcBorders>
              <w:top w:val="single" w:sz="6" w:space="0" w:color="000000"/>
              <w:left w:val="nil"/>
              <w:bottom w:val="single" w:sz="6" w:space="0" w:color="000000"/>
              <w:right w:val="nil"/>
            </w:tcBorders>
            <w:vAlign w:val="center"/>
          </w:tcPr>
          <w:p w14:paraId="5E7481C6" w14:textId="761DB3C7" w:rsidR="00EB5C19" w:rsidRPr="0054775B" w:rsidRDefault="00EB5C19" w:rsidP="00D73AB3">
            <w:pPr>
              <w:pStyle w:val="2024TABLETEXT"/>
              <w:framePr w:hSpace="0" w:wrap="auto" w:vAnchor="margin" w:yAlign="inline"/>
              <w:suppressOverlap w:val="0"/>
            </w:pPr>
            <w:r w:rsidRPr="0054775B">
              <w:t>-</w:t>
            </w:r>
          </w:p>
        </w:tc>
        <w:tc>
          <w:tcPr>
            <w:tcW w:w="455" w:type="pct"/>
            <w:tcBorders>
              <w:top w:val="single" w:sz="6" w:space="0" w:color="000000"/>
              <w:left w:val="nil"/>
              <w:bottom w:val="single" w:sz="6" w:space="0" w:color="000000"/>
              <w:right w:val="nil"/>
            </w:tcBorders>
            <w:vAlign w:val="center"/>
          </w:tcPr>
          <w:p w14:paraId="36A376ED" w14:textId="6CAA924E" w:rsidR="00EB5C19" w:rsidRPr="0054775B" w:rsidRDefault="00EB5C19" w:rsidP="00D73AB3">
            <w:pPr>
              <w:pStyle w:val="2024TABLETEXT"/>
              <w:framePr w:hSpace="0" w:wrap="auto" w:vAnchor="margin" w:yAlign="inline"/>
              <w:suppressOverlap w:val="0"/>
            </w:pPr>
            <w:r w:rsidRPr="0054775B">
              <w:t>-</w:t>
            </w:r>
          </w:p>
        </w:tc>
        <w:tc>
          <w:tcPr>
            <w:tcW w:w="1262" w:type="pct"/>
            <w:tcBorders>
              <w:top w:val="single" w:sz="6" w:space="0" w:color="000000"/>
              <w:left w:val="nil"/>
              <w:bottom w:val="single" w:sz="6" w:space="0" w:color="000000"/>
              <w:right w:val="nil"/>
            </w:tcBorders>
          </w:tcPr>
          <w:p w14:paraId="38163CD6" w14:textId="23A4CFA3" w:rsidR="00EB5C19" w:rsidRPr="0054775B" w:rsidRDefault="00EB5C19" w:rsidP="00D73AB3">
            <w:pPr>
              <w:pStyle w:val="2024TABLETEXT"/>
              <w:framePr w:hSpace="0" w:wrap="auto" w:vAnchor="margin" w:yAlign="inline"/>
              <w:suppressOverlap w:val="0"/>
            </w:pPr>
            <w:r w:rsidRPr="0054775B">
              <w:t xml:space="preserve">No </w:t>
            </w:r>
            <w:r w:rsidR="0029059B">
              <w:t>reviews</w:t>
            </w:r>
            <w:r w:rsidR="0029059B" w:rsidRPr="0054775B">
              <w:t xml:space="preserve"> </w:t>
            </w:r>
            <w:r w:rsidRPr="0054775B">
              <w:t>found. The effect of antioxidants on cognitive function burden from fatigue in fatigue is unknown.</w:t>
            </w:r>
          </w:p>
        </w:tc>
      </w:tr>
      <w:tr w:rsidR="00EB5C19" w:rsidRPr="0054775B" w14:paraId="6A2DAE91" w14:textId="77777777" w:rsidTr="00A05DC3">
        <w:trPr>
          <w:cantSplit/>
        </w:trPr>
        <w:tc>
          <w:tcPr>
            <w:tcW w:w="303" w:type="pct"/>
            <w:tcBorders>
              <w:top w:val="single" w:sz="6" w:space="0" w:color="000000"/>
              <w:left w:val="nil"/>
              <w:bottom w:val="single" w:sz="6" w:space="0" w:color="000000"/>
              <w:right w:val="nil"/>
            </w:tcBorders>
            <w:vAlign w:val="center"/>
          </w:tcPr>
          <w:p w14:paraId="5CE6C2FF" w14:textId="77777777" w:rsidR="00EB5C19" w:rsidRPr="0054775B" w:rsidRDefault="00EB5C19" w:rsidP="00D73AB3">
            <w:pPr>
              <w:pStyle w:val="2024TABLETEXT"/>
              <w:framePr w:hSpace="0" w:wrap="auto" w:vAnchor="margin" w:yAlign="inline"/>
              <w:suppressOverlap w:val="0"/>
            </w:pPr>
            <w:r w:rsidRPr="0054775B">
              <w:t>8</w:t>
            </w:r>
          </w:p>
        </w:tc>
        <w:tc>
          <w:tcPr>
            <w:tcW w:w="1616" w:type="pct"/>
            <w:tcBorders>
              <w:top w:val="single" w:sz="6" w:space="0" w:color="000000"/>
              <w:left w:val="nil"/>
              <w:bottom w:val="single" w:sz="6" w:space="0" w:color="000000"/>
              <w:right w:val="nil"/>
            </w:tcBorders>
          </w:tcPr>
          <w:p w14:paraId="1BD3A9B9" w14:textId="43B5D8EA" w:rsidR="00EB5C19" w:rsidRPr="0054775B" w:rsidRDefault="00EB5C19" w:rsidP="00D73AB3">
            <w:pPr>
              <w:pStyle w:val="2024TABLETEXT"/>
              <w:framePr w:hSpace="0" w:wrap="auto" w:vAnchor="margin" w:yAlign="inline"/>
              <w:suppressOverlap w:val="0"/>
            </w:pPr>
            <w:r w:rsidRPr="0054775B">
              <w:t>Sleep quality/quantity</w:t>
            </w:r>
          </w:p>
        </w:tc>
        <w:tc>
          <w:tcPr>
            <w:tcW w:w="455" w:type="pct"/>
            <w:tcBorders>
              <w:top w:val="single" w:sz="6" w:space="0" w:color="000000"/>
              <w:left w:val="nil"/>
              <w:bottom w:val="single" w:sz="6" w:space="0" w:color="000000"/>
              <w:right w:val="nil"/>
            </w:tcBorders>
            <w:vAlign w:val="center"/>
          </w:tcPr>
          <w:p w14:paraId="2222E611" w14:textId="27F22EA3" w:rsidR="00EB5C19" w:rsidRPr="0054775B" w:rsidRDefault="00EB5C19" w:rsidP="00D73AB3">
            <w:pPr>
              <w:pStyle w:val="2024TABLETEXT"/>
              <w:framePr w:hSpace="0" w:wrap="auto" w:vAnchor="margin" w:yAlign="inline"/>
              <w:suppressOverlap w:val="0"/>
            </w:pPr>
            <w:r w:rsidRPr="0054775B">
              <w:t>-</w:t>
            </w:r>
          </w:p>
        </w:tc>
        <w:tc>
          <w:tcPr>
            <w:tcW w:w="455" w:type="pct"/>
            <w:tcBorders>
              <w:top w:val="single" w:sz="6" w:space="0" w:color="000000"/>
              <w:left w:val="nil"/>
              <w:bottom w:val="single" w:sz="6" w:space="0" w:color="000000"/>
              <w:right w:val="nil"/>
            </w:tcBorders>
            <w:shd w:val="clear" w:color="auto" w:fill="auto"/>
            <w:vAlign w:val="center"/>
          </w:tcPr>
          <w:p w14:paraId="2FE0D512" w14:textId="7B59B297" w:rsidR="00EB5C19" w:rsidRPr="0054775B" w:rsidRDefault="00EB5C19" w:rsidP="00D73AB3">
            <w:pPr>
              <w:pStyle w:val="2024TABLETEXT"/>
              <w:framePr w:hSpace="0" w:wrap="auto" w:vAnchor="margin" w:yAlign="inline"/>
              <w:suppressOverlap w:val="0"/>
            </w:pPr>
            <w:r w:rsidRPr="0054775B">
              <w:t>-</w:t>
            </w:r>
          </w:p>
        </w:tc>
        <w:tc>
          <w:tcPr>
            <w:tcW w:w="454" w:type="pct"/>
            <w:tcBorders>
              <w:top w:val="single" w:sz="6" w:space="0" w:color="000000"/>
              <w:left w:val="nil"/>
              <w:bottom w:val="single" w:sz="6" w:space="0" w:color="000000"/>
              <w:right w:val="nil"/>
            </w:tcBorders>
            <w:vAlign w:val="center"/>
          </w:tcPr>
          <w:p w14:paraId="5F5AE489" w14:textId="20DCEEB3" w:rsidR="00EB5C19" w:rsidRPr="0054775B" w:rsidRDefault="00EB5C19" w:rsidP="00D73AB3">
            <w:pPr>
              <w:pStyle w:val="2024TABLETEXT"/>
              <w:framePr w:hSpace="0" w:wrap="auto" w:vAnchor="margin" w:yAlign="inline"/>
              <w:suppressOverlap w:val="0"/>
            </w:pPr>
            <w:r w:rsidRPr="0054775B">
              <w:t>-</w:t>
            </w:r>
          </w:p>
        </w:tc>
        <w:tc>
          <w:tcPr>
            <w:tcW w:w="455" w:type="pct"/>
            <w:tcBorders>
              <w:top w:val="single" w:sz="6" w:space="0" w:color="000000"/>
              <w:left w:val="nil"/>
              <w:bottom w:val="single" w:sz="6" w:space="0" w:color="000000"/>
              <w:right w:val="nil"/>
            </w:tcBorders>
            <w:vAlign w:val="center"/>
          </w:tcPr>
          <w:p w14:paraId="3CFE432C" w14:textId="66BBA615" w:rsidR="00EB5C19" w:rsidRPr="0054775B" w:rsidRDefault="00EB5C19" w:rsidP="00D73AB3">
            <w:pPr>
              <w:pStyle w:val="2024TABLETEXT"/>
              <w:framePr w:hSpace="0" w:wrap="auto" w:vAnchor="margin" w:yAlign="inline"/>
              <w:suppressOverlap w:val="0"/>
            </w:pPr>
            <w:r w:rsidRPr="0054775B">
              <w:t>-</w:t>
            </w:r>
          </w:p>
        </w:tc>
        <w:tc>
          <w:tcPr>
            <w:tcW w:w="1262" w:type="pct"/>
            <w:tcBorders>
              <w:top w:val="single" w:sz="6" w:space="0" w:color="000000"/>
              <w:left w:val="nil"/>
              <w:bottom w:val="single" w:sz="6" w:space="0" w:color="000000"/>
              <w:right w:val="nil"/>
            </w:tcBorders>
          </w:tcPr>
          <w:p w14:paraId="0163BBF1" w14:textId="489B3FDE" w:rsidR="00EB5C19" w:rsidRPr="0054775B" w:rsidRDefault="00EB5C19" w:rsidP="00D73AB3">
            <w:pPr>
              <w:pStyle w:val="2024TABLETEXT"/>
              <w:framePr w:hSpace="0" w:wrap="auto" w:vAnchor="margin" w:yAlign="inline"/>
              <w:suppressOverlap w:val="0"/>
            </w:pPr>
            <w:r w:rsidRPr="0054775B">
              <w:t xml:space="preserve">No </w:t>
            </w:r>
            <w:r w:rsidR="0029059B">
              <w:t>reviews</w:t>
            </w:r>
            <w:r w:rsidR="0029059B" w:rsidRPr="0054775B">
              <w:t xml:space="preserve"> </w:t>
            </w:r>
            <w:r w:rsidRPr="0054775B">
              <w:t>found. The effect of antioxidants on sleep quality/quantity in fatigue is unknown.</w:t>
            </w:r>
          </w:p>
        </w:tc>
      </w:tr>
      <w:tr w:rsidR="00EB5C19" w:rsidRPr="0054775B" w14:paraId="421F40C8" w14:textId="77777777">
        <w:trPr>
          <w:cantSplit/>
          <w:trHeight w:val="50"/>
        </w:trPr>
        <w:tc>
          <w:tcPr>
            <w:tcW w:w="5000" w:type="pct"/>
            <w:gridSpan w:val="7"/>
            <w:tcBorders>
              <w:top w:val="single" w:sz="6" w:space="0" w:color="000000"/>
              <w:left w:val="nil"/>
              <w:bottom w:val="single" w:sz="6" w:space="0" w:color="000000"/>
              <w:right w:val="nil"/>
            </w:tcBorders>
          </w:tcPr>
          <w:p w14:paraId="6DE32F7D" w14:textId="77777777" w:rsidR="00704844" w:rsidRPr="0054775B" w:rsidRDefault="00704844" w:rsidP="00704844">
            <w:pPr>
              <w:pStyle w:val="2024TABLEFOOTER"/>
            </w:pPr>
            <w:r w:rsidRPr="0054775B">
              <w:t>*Ratings 1-3 = of limited importance to decision making; 4-6 = important, but not critical, to decision making; 7-9 = critical for decision-making</w:t>
            </w:r>
          </w:p>
          <w:p w14:paraId="013FC159" w14:textId="3B8D95A3" w:rsidR="00EB5C19" w:rsidRDefault="00EB5C19" w:rsidP="00D73AB3">
            <w:pPr>
              <w:pStyle w:val="2024TABLEFOOTER"/>
            </w:pPr>
            <w:r w:rsidRPr="0054775B">
              <w:t xml:space="preserve">^Hedges’ g values of 0.2, 0.5, and 0.8 were considered small, moderate, and large effect sizes, respectively </w:t>
            </w:r>
            <w:r w:rsidR="00F54937">
              <w:rPr>
                <w:noProof/>
              </w:rPr>
              <w:t>(22)</w:t>
            </w:r>
            <w:r w:rsidR="00A23BD0">
              <w:t>.</w:t>
            </w:r>
          </w:p>
          <w:p w14:paraId="3372DC34" w14:textId="651DF6B8" w:rsidR="009919FB" w:rsidRPr="0054775B" w:rsidRDefault="009919FB" w:rsidP="00D73AB3">
            <w:pPr>
              <w:pStyle w:val="2024TABLEFOOTER"/>
            </w:pPr>
            <w:r>
              <w:t>#Absolute risk differences or relative effect sizes not reported. Unable to make judgements about MCID.</w:t>
            </w:r>
          </w:p>
          <w:p w14:paraId="0BC84D0E" w14:textId="77777777" w:rsidR="007C6EE4" w:rsidRDefault="007C6EE4" w:rsidP="007C6EE4">
            <w:pPr>
              <w:pStyle w:val="2024TABLEFOOTER"/>
            </w:pPr>
            <w:r>
              <w:t>§Results were incorrectly reported in text (wrong primary study and results were referenced under the intervention).</w:t>
            </w:r>
          </w:p>
          <w:p w14:paraId="1A3DC242" w14:textId="77777777" w:rsidR="00C74FCF" w:rsidRDefault="00C74FCF" w:rsidP="00D73AB3">
            <w:pPr>
              <w:pStyle w:val="2024TABLEFOOTER"/>
            </w:pPr>
          </w:p>
          <w:p w14:paraId="04A82850" w14:textId="136F08DF" w:rsidR="00EB5C19" w:rsidRPr="0054775B" w:rsidRDefault="00EB5C19" w:rsidP="00D73AB3">
            <w:pPr>
              <w:pStyle w:val="2024TABLEFOOTER"/>
            </w:pPr>
            <w:r w:rsidRPr="0054775B">
              <w:t>Abbreviations:</w:t>
            </w:r>
            <w:r w:rsidR="00B43FA3" w:rsidRPr="0054775B">
              <w:t xml:space="preserve"> </w:t>
            </w:r>
            <w:r w:rsidR="00F771FF" w:rsidRPr="0054775B">
              <w:t>ALA= alpha-li</w:t>
            </w:r>
            <w:r w:rsidR="000C4EE3">
              <w:t>poic</w:t>
            </w:r>
            <w:r w:rsidR="00F771FF" w:rsidRPr="0054775B">
              <w:t xml:space="preserve"> acid, CoQ10= Coenzyme Q10, </w:t>
            </w:r>
            <w:r w:rsidR="00B43FA3" w:rsidRPr="0054775B">
              <w:t>CFS=Chronic fatigue syndrome; CI=Confidence interval, MD=Mean difference, NR=Not reported</w:t>
            </w:r>
            <w:r w:rsidR="00B0559D" w:rsidRPr="0054775B">
              <w:t>, SF-36=RAND 36-Item Short Form Survey Instrument, ME=</w:t>
            </w:r>
            <w:r w:rsidR="002C75E2" w:rsidRPr="0054775B">
              <w:t xml:space="preserve"> Myalgic Encephalomyelitis</w:t>
            </w:r>
            <w:r w:rsidR="001507DD" w:rsidRPr="0054775B">
              <w:t>, HRQoL=health-related quality of life</w:t>
            </w:r>
          </w:p>
        </w:tc>
      </w:tr>
      <w:tr w:rsidR="00EB5C19" w:rsidRPr="0054775B" w14:paraId="104D5334" w14:textId="77777777">
        <w:trPr>
          <w:cantSplit/>
          <w:trHeight w:val="236"/>
        </w:trPr>
        <w:tc>
          <w:tcPr>
            <w:tcW w:w="5000" w:type="pct"/>
            <w:gridSpan w:val="7"/>
            <w:tcBorders>
              <w:top w:val="single" w:sz="6" w:space="0" w:color="000000"/>
              <w:left w:val="nil"/>
              <w:bottom w:val="single" w:sz="6" w:space="0" w:color="000000"/>
              <w:right w:val="nil"/>
            </w:tcBorders>
          </w:tcPr>
          <w:p w14:paraId="44050994" w14:textId="77777777" w:rsidR="00EB5C19" w:rsidRPr="0054775B" w:rsidRDefault="00EB5C19" w:rsidP="00D73AB3">
            <w:pPr>
              <w:pStyle w:val="2024TABLEFOOTER"/>
            </w:pPr>
            <w:r w:rsidRPr="0054775B">
              <w:rPr>
                <w:rStyle w:val="Strong"/>
              </w:rPr>
              <w:t>GRADE Working Group grades of evidence</w:t>
            </w:r>
            <w:r w:rsidRPr="0054775B">
              <w:br/>
            </w:r>
            <w:r w:rsidRPr="0054775B">
              <w:rPr>
                <w:rStyle w:val="Strong"/>
                <w:b w:val="0"/>
                <w:bCs w:val="0"/>
              </w:rPr>
              <w:t>High certainty:</w:t>
            </w:r>
            <w:r w:rsidRPr="0054775B">
              <w:t xml:space="preserve"> we are very confident that the true effect lies close to that of the estimate of the effect.</w:t>
            </w:r>
            <w:r w:rsidRPr="0054775B">
              <w:br/>
            </w:r>
            <w:r w:rsidRPr="0054775B">
              <w:rPr>
                <w:rStyle w:val="Strong"/>
                <w:b w:val="0"/>
                <w:bCs w:val="0"/>
              </w:rPr>
              <w:t>Moderate certainty:</w:t>
            </w:r>
            <w:r w:rsidRPr="0054775B">
              <w:t xml:space="preserve"> we are moderately confident in the effect estimate: the true effect is likely to be close to the estimate of the effect, but there is a possibility that it is substantially different.</w:t>
            </w:r>
            <w:r w:rsidRPr="0054775B">
              <w:br/>
            </w:r>
            <w:r w:rsidRPr="0054775B">
              <w:rPr>
                <w:rStyle w:val="Strong"/>
                <w:b w:val="0"/>
                <w:bCs w:val="0"/>
              </w:rPr>
              <w:t>Low certainty:</w:t>
            </w:r>
            <w:r w:rsidRPr="0054775B">
              <w:t xml:space="preserve"> our confidence in the effect estimate is limited: the true effect may be substantially different from the estimate of the effect.</w:t>
            </w:r>
            <w:r w:rsidRPr="0054775B">
              <w:br/>
            </w:r>
            <w:r w:rsidRPr="0054775B">
              <w:rPr>
                <w:rStyle w:val="Strong"/>
                <w:b w:val="0"/>
                <w:bCs w:val="0"/>
              </w:rPr>
              <w:t>Very low certainty:</w:t>
            </w:r>
            <w:r w:rsidRPr="0054775B">
              <w:t xml:space="preserve"> we have very little confidence in the effect estimate: the true effect is likely to be substantially different from the estimate of effect.</w:t>
            </w:r>
          </w:p>
        </w:tc>
      </w:tr>
      <w:tr w:rsidR="00EB5C19" w:rsidRPr="0054775B" w14:paraId="716AAB60" w14:textId="77777777">
        <w:trPr>
          <w:cantSplit/>
          <w:trHeight w:val="236"/>
        </w:trPr>
        <w:tc>
          <w:tcPr>
            <w:tcW w:w="5000" w:type="pct"/>
            <w:gridSpan w:val="7"/>
            <w:tcBorders>
              <w:top w:val="single" w:sz="6" w:space="0" w:color="000000"/>
              <w:left w:val="nil"/>
              <w:bottom w:val="single" w:sz="6" w:space="0" w:color="000000"/>
              <w:right w:val="nil"/>
            </w:tcBorders>
          </w:tcPr>
          <w:p w14:paraId="017D9C9B" w14:textId="77777777" w:rsidR="00EB5C19" w:rsidRPr="0054775B" w:rsidRDefault="00EB5C19" w:rsidP="00D73AB3">
            <w:pPr>
              <w:pStyle w:val="2024TABLEFOOTER"/>
            </w:pPr>
            <w:r w:rsidRPr="0054775B">
              <w:t>Explanations</w:t>
            </w:r>
          </w:p>
          <w:p w14:paraId="00861EA3" w14:textId="6A31719A" w:rsidR="00902443" w:rsidRPr="0054775B" w:rsidRDefault="00EB5C19" w:rsidP="00902443">
            <w:pPr>
              <w:pStyle w:val="2024TABLEFOOTER"/>
            </w:pPr>
            <w:r w:rsidRPr="0054775B">
              <w:t xml:space="preserve">a. </w:t>
            </w:r>
            <w:r w:rsidR="0065375A">
              <w:t xml:space="preserve">Generally low risk of bias in included studies, </w:t>
            </w:r>
            <w:r w:rsidR="00DD1BCE">
              <w:t xml:space="preserve">some unclear risks of bias </w:t>
            </w:r>
            <w:r w:rsidR="0065375A">
              <w:t>primarily related to allocation concealment.</w:t>
            </w:r>
            <w:r w:rsidR="00DD1BCE">
              <w:t xml:space="preserve"> On balance, this should not impact findings (no change for risk of bias).</w:t>
            </w:r>
            <w:r w:rsidR="0065375A">
              <w:t xml:space="preserve"> </w:t>
            </w:r>
            <w:r w:rsidR="00833CD6">
              <w:t xml:space="preserve">Point estimates consistently favoured the intervention with overlapping </w:t>
            </w:r>
            <w:r w:rsidR="0070531B">
              <w:t>CIs</w:t>
            </w:r>
            <w:r w:rsidR="00833CD6">
              <w:t xml:space="preserve">; no statistical measures of heterogeneity provided </w:t>
            </w:r>
            <w:r w:rsidR="005D2A9A">
              <w:t>(no change for inconsistency).</w:t>
            </w:r>
            <w:r w:rsidR="00DC7808">
              <w:t xml:space="preserve"> </w:t>
            </w:r>
            <w:r w:rsidR="006046E2" w:rsidRPr="001428E8">
              <w:t>CI boundaries suggest different inferences about the magnitude of benefit based on MCID (SMD = 0.2), however lower boundary still falls about the MCID threshold (</w:t>
            </w:r>
            <w:r w:rsidR="009E5E4D">
              <w:t xml:space="preserve">where </w:t>
            </w:r>
            <w:r w:rsidR="00005743">
              <w:t>Hedges’ g = 0.2</w:t>
            </w:r>
            <w:r w:rsidR="00911E4F">
              <w:t>)</w:t>
            </w:r>
            <w:r w:rsidR="00005743">
              <w:t xml:space="preserve"> (</w:t>
            </w:r>
            <w:r w:rsidR="009E5E4D">
              <w:t>no change</w:t>
            </w:r>
            <w:r w:rsidR="00005743">
              <w:t xml:space="preserve"> for imprecision)</w:t>
            </w:r>
            <w:r w:rsidR="00905809">
              <w:t xml:space="preserve">. </w:t>
            </w:r>
            <w:r w:rsidR="00633AAB" w:rsidRPr="00633AAB">
              <w:t>Possible publication bias supported by visual inspection of funnel plot (downgraded one for publication bias).</w:t>
            </w:r>
          </w:p>
          <w:p w14:paraId="195BCA40" w14:textId="16776CA2" w:rsidR="00D57A3E" w:rsidRPr="0054775B" w:rsidRDefault="00D57A3E" w:rsidP="00902443">
            <w:pPr>
              <w:pStyle w:val="2024TABLEFOOTER"/>
              <w:rPr>
                <w:highlight w:val="yellow"/>
              </w:rPr>
            </w:pPr>
            <w:r w:rsidRPr="0054775B">
              <w:t xml:space="preserve">b. </w:t>
            </w:r>
            <w:r w:rsidR="00FA2DC8">
              <w:t xml:space="preserve">Risk of bias in included primary study (downgraded one for risk of bias). </w:t>
            </w:r>
            <w:r w:rsidR="00D12907" w:rsidRPr="0054775B">
              <w:t xml:space="preserve">Population in </w:t>
            </w:r>
            <w:r w:rsidRPr="0054775B">
              <w:t xml:space="preserve">the included review was restricted to people with </w:t>
            </w:r>
            <w:r w:rsidR="00001F49" w:rsidRPr="0054775B">
              <w:t xml:space="preserve">secondary progressive </w:t>
            </w:r>
            <w:r w:rsidR="00D12907" w:rsidRPr="0054775B">
              <w:t>multiple sclerosis</w:t>
            </w:r>
            <w:r w:rsidR="00001F49" w:rsidRPr="0054775B">
              <w:t xml:space="preserve"> only </w:t>
            </w:r>
            <w:r w:rsidRPr="0054775B">
              <w:t>(downgraded one for indirectness).</w:t>
            </w:r>
            <w:r w:rsidR="00001F49" w:rsidRPr="0054775B">
              <w:t xml:space="preserve"> </w:t>
            </w:r>
            <w:r w:rsidR="002F646D">
              <w:t>N</w:t>
            </w:r>
            <w:r w:rsidR="00001F49" w:rsidRPr="0054775B">
              <w:t>o effect estimate</w:t>
            </w:r>
            <w:r w:rsidR="00D12907" w:rsidRPr="0054775B">
              <w:t>s</w:t>
            </w:r>
            <w:r w:rsidR="00001F49" w:rsidRPr="0054775B">
              <w:t xml:space="preserve"> provided </w:t>
            </w:r>
            <w:r w:rsidR="00C615FE">
              <w:t xml:space="preserve">to assess </w:t>
            </w:r>
            <w:r w:rsidR="00C615FE" w:rsidDel="002F646D">
              <w:t>precision</w:t>
            </w:r>
            <w:r w:rsidR="002F646D">
              <w:t>;</w:t>
            </w:r>
            <w:r w:rsidR="000559C8">
              <w:t xml:space="preserve"> results only presented in terms of statistical significance</w:t>
            </w:r>
            <w:r w:rsidR="002F646D">
              <w:t>. Additionally, very small sample size raising concerns about optimal information size</w:t>
            </w:r>
            <w:r w:rsidR="00C615FE">
              <w:t xml:space="preserve"> </w:t>
            </w:r>
            <w:r w:rsidR="00001F49" w:rsidRPr="0054775B">
              <w:t xml:space="preserve">(downgraded </w:t>
            </w:r>
            <w:r w:rsidR="00C05B8E">
              <w:t>3</w:t>
            </w:r>
            <w:r w:rsidR="00DD1BCE" w:rsidRPr="0054775B">
              <w:t xml:space="preserve"> </w:t>
            </w:r>
            <w:r w:rsidR="00001F49" w:rsidRPr="0054775B">
              <w:t>for imprecision).</w:t>
            </w:r>
            <w:r w:rsidR="00494572">
              <w:t xml:space="preserve"> </w:t>
            </w:r>
            <w:r w:rsidR="00916534" w:rsidRPr="00916534">
              <w:t>No inconsistency due to singular study (no change for inconsistency).</w:t>
            </w:r>
            <w:r w:rsidR="0099573D" w:rsidRPr="00E2342A">
              <w:rPr>
                <w:lang w:val="en-GB"/>
              </w:rPr>
              <w:t xml:space="preserve"> Publication bias not assessed </w:t>
            </w:r>
            <w:r w:rsidR="00804B03">
              <w:rPr>
                <w:lang w:val="en-GB"/>
              </w:rPr>
              <w:t xml:space="preserve">likely </w:t>
            </w:r>
            <w:r w:rsidR="0099573D" w:rsidRPr="00E2342A">
              <w:rPr>
                <w:lang w:val="en-GB"/>
              </w:rPr>
              <w:t>due to insufficient number of studies (no change for publication bias).</w:t>
            </w:r>
          </w:p>
        </w:tc>
      </w:tr>
    </w:tbl>
    <w:p w14:paraId="63EB1AAE" w14:textId="4D6B7275" w:rsidR="001F6C84" w:rsidRPr="0054775B" w:rsidRDefault="001F6C84" w:rsidP="009E6F7F">
      <w:pPr>
        <w:sectPr w:rsidR="001F6C84" w:rsidRPr="0054775B" w:rsidSect="006A72DC">
          <w:pgSz w:w="16840" w:h="11910" w:orient="landscape"/>
          <w:pgMar w:top="1340" w:right="280" w:bottom="1340" w:left="1356" w:header="720" w:footer="720" w:gutter="0"/>
          <w:cols w:space="720"/>
          <w:docGrid w:linePitch="299"/>
        </w:sectPr>
      </w:pPr>
    </w:p>
    <w:p w14:paraId="1D784AFF" w14:textId="6D4DB393" w:rsidR="00764746" w:rsidRPr="0054775B" w:rsidRDefault="00980972" w:rsidP="00F9201F">
      <w:pPr>
        <w:pStyle w:val="2024HEADER2"/>
      </w:pPr>
      <w:bookmarkStart w:id="107" w:name="_Toc179379625"/>
      <w:r w:rsidRPr="0054775B">
        <w:lastRenderedPageBreak/>
        <w:t>Headache and migraine</w:t>
      </w:r>
      <w:r w:rsidR="00764746" w:rsidRPr="0054775B">
        <w:t xml:space="preserve">, </w:t>
      </w:r>
      <w:r w:rsidR="00B23B3F" w:rsidRPr="0054775B">
        <w:t>m</w:t>
      </w:r>
      <w:r w:rsidRPr="0054775B">
        <w:t>agnesium</w:t>
      </w:r>
      <w:bookmarkEnd w:id="107"/>
    </w:p>
    <w:p w14:paraId="3E2FE334" w14:textId="77777777" w:rsidR="008308E9" w:rsidRPr="0054775B" w:rsidRDefault="008308E9" w:rsidP="009E6F7F">
      <w:pPr>
        <w:pStyle w:val="2024HEADER3"/>
        <w:rPr>
          <w:rFonts w:ascii="Aptos" w:hAnsi="Aptos"/>
        </w:rPr>
      </w:pPr>
      <w:r w:rsidRPr="0054775B">
        <w:rPr>
          <w:rFonts w:ascii="Aptos" w:hAnsi="Aptos"/>
        </w:rPr>
        <w:t>Description of condition</w:t>
      </w:r>
    </w:p>
    <w:p w14:paraId="1B6E1B70" w14:textId="75F81F9D" w:rsidR="0055570A" w:rsidRPr="0054775B" w:rsidRDefault="00137E02" w:rsidP="009E6F7F">
      <w:r w:rsidRPr="0054775B">
        <w:t>Headache</w:t>
      </w:r>
      <w:r w:rsidR="0036620A" w:rsidRPr="0054775B">
        <w:t>s are a common neurological complaint, consisting of pressure, tension or pain</w:t>
      </w:r>
      <w:r w:rsidR="001D411D" w:rsidRPr="0054775B">
        <w:t xml:space="preserve"> </w:t>
      </w:r>
      <w:r w:rsidR="00942014" w:rsidRPr="0054775B">
        <w:t xml:space="preserve">in the head or face. </w:t>
      </w:r>
      <w:r w:rsidR="005D5629" w:rsidRPr="0054775B">
        <w:t>Primary h</w:t>
      </w:r>
      <w:r w:rsidR="005B4876" w:rsidRPr="0054775B">
        <w:t xml:space="preserve">eadache disorders are </w:t>
      </w:r>
      <w:r w:rsidR="001F1956" w:rsidRPr="0054775B">
        <w:t>characterised by recurrent headaches</w:t>
      </w:r>
      <w:r w:rsidR="005D5629" w:rsidRPr="0054775B">
        <w:t xml:space="preserve"> not due to an underlying medical condition. </w:t>
      </w:r>
      <w:r w:rsidR="005F2ABD" w:rsidRPr="0054775B">
        <w:t>Categorisations</w:t>
      </w:r>
      <w:r w:rsidR="005D5629" w:rsidRPr="0054775B">
        <w:t xml:space="preserve"> of headache disorders</w:t>
      </w:r>
      <w:r w:rsidR="00FE103A" w:rsidRPr="0054775B">
        <w:t xml:space="preserve"> include migraines, tension-type headaches</w:t>
      </w:r>
      <w:r w:rsidR="005B4876" w:rsidRPr="0054775B">
        <w:t xml:space="preserve">, cluster headaches and medication overuse headaches. With varying estimates, a recent review estimated the global prevalence of active headache disorders to be nearly one in two people, with migraines affecting around 1 in 7 people </w:t>
      </w:r>
      <w:r w:rsidR="00F54937">
        <w:rPr>
          <w:noProof/>
        </w:rPr>
        <w:t>(150)</w:t>
      </w:r>
      <w:r w:rsidR="005B4876" w:rsidRPr="0054775B">
        <w:t>.</w:t>
      </w:r>
      <w:r w:rsidR="0055222F" w:rsidRPr="0054775B">
        <w:t xml:space="preserve"> </w:t>
      </w:r>
      <w:r w:rsidR="00DA6ECF" w:rsidRPr="0054775B">
        <w:t>While migraines share common features with other primary headache disorders like tension-type headaches, they generally present with a distinct clinical profile. Migraine attacks typically involve throbbing or pulsating head pain, often unilateral, worsened by activity, and accompanied by nausea, vomiting, and sensitivity to light and sound.</w:t>
      </w:r>
    </w:p>
    <w:p w14:paraId="5B6FA557" w14:textId="539C91F5" w:rsidR="00DA6ECF" w:rsidRPr="0054775B" w:rsidRDefault="00DA6ECF" w:rsidP="009E6F7F">
      <w:r w:rsidRPr="0054775B">
        <w:t xml:space="preserve">Both migraines and other types of headache disorders can significantly impact daily functioning, affecting work, school, and social life. </w:t>
      </w:r>
      <w:r w:rsidR="00D629D2" w:rsidRPr="0054775B">
        <w:t xml:space="preserve">Comorbidities are common with headache disorders (particularly migraines) and include </w:t>
      </w:r>
      <w:r w:rsidR="003A4D6F" w:rsidRPr="0054775B">
        <w:t>psychiatric conditions</w:t>
      </w:r>
      <w:r w:rsidR="00D629D2" w:rsidRPr="0054775B">
        <w:t xml:space="preserve">, sleep </w:t>
      </w:r>
      <w:r w:rsidR="00AD00FE" w:rsidRPr="0054775B">
        <w:t>disorders</w:t>
      </w:r>
      <w:r w:rsidR="00D629D2" w:rsidRPr="0054775B">
        <w:t xml:space="preserve">, and other chronic pain conditions </w:t>
      </w:r>
      <w:r w:rsidR="00F54937">
        <w:rPr>
          <w:noProof/>
        </w:rPr>
        <w:t>(151)</w:t>
      </w:r>
      <w:r w:rsidR="003A4D6F" w:rsidRPr="0054775B">
        <w:t>.</w:t>
      </w:r>
    </w:p>
    <w:p w14:paraId="5D961653" w14:textId="44D9AA02" w:rsidR="007A7DB8" w:rsidRPr="0054775B" w:rsidRDefault="006A6663" w:rsidP="009E6F7F">
      <w:r w:rsidRPr="0054775B">
        <w:t xml:space="preserve">Criteria established by the International Headache Society (IHS) guide classification and diagnosis of headache disorders </w:t>
      </w:r>
      <w:r w:rsidR="00F54937">
        <w:rPr>
          <w:noProof/>
        </w:rPr>
        <w:t>(152)</w:t>
      </w:r>
      <w:r w:rsidR="005D5629" w:rsidRPr="0054775B">
        <w:t xml:space="preserve">. </w:t>
      </w:r>
      <w:r w:rsidR="004A5884" w:rsidRPr="0054775B">
        <w:t>Treatment involves a range of options, primarily related to pain relief</w:t>
      </w:r>
      <w:r w:rsidR="007A7DB8" w:rsidRPr="0054775B">
        <w:t xml:space="preserve"> (either over the counter or prescription medications). For migraines, rest in a quiet, dark room is also usually prescribed due to light and sound sensitivities. Preventive medications are also available via prescription</w:t>
      </w:r>
      <w:r w:rsidR="00F960D6" w:rsidRPr="0054775B">
        <w:t xml:space="preserve">, and complementary or alternative therapies are also </w:t>
      </w:r>
      <w:r w:rsidR="00A62304" w:rsidRPr="0054775B">
        <w:t>common (such as acupuncture or massage therapy).</w:t>
      </w:r>
    </w:p>
    <w:p w14:paraId="1A911358" w14:textId="3909CA44" w:rsidR="00D17C36" w:rsidRPr="0054775B" w:rsidRDefault="008308E9" w:rsidP="009E6F7F">
      <w:pPr>
        <w:pStyle w:val="2024HEADER3"/>
        <w:rPr>
          <w:rFonts w:ascii="Aptos" w:hAnsi="Aptos"/>
        </w:rPr>
      </w:pPr>
      <w:r w:rsidRPr="0054775B">
        <w:rPr>
          <w:rFonts w:ascii="Aptos" w:hAnsi="Aptos"/>
        </w:rPr>
        <w:t>Description of the intervention</w:t>
      </w:r>
    </w:p>
    <w:p w14:paraId="132A6CFE" w14:textId="074749FA" w:rsidR="00A62304" w:rsidRPr="0054775B" w:rsidRDefault="00A62304" w:rsidP="009E6F7F">
      <w:r w:rsidRPr="0054775B">
        <w:t xml:space="preserve">Magnesium (often abbreviated as its chemical symbol: Mg) is a naturally occurring mineral in the human body. It is an essential mineral playing numerous crucial roles in the human body, including enzymatic reactions, energy production, muscle function, and bone health </w:t>
      </w:r>
      <w:r w:rsidR="00A61385">
        <w:rPr>
          <w:noProof/>
        </w:rPr>
        <w:t>(16, 17)</w:t>
      </w:r>
      <w:r w:rsidRPr="0054775B">
        <w:t xml:space="preserve">. Recent evidence suggests that magnesium levels in the body may be associated with some health conditions, including Diabetes Mellitus (Type II), cardiovascular disease, osteoporosis, and migraines </w:t>
      </w:r>
      <w:r w:rsidR="00A61385">
        <w:rPr>
          <w:noProof/>
        </w:rPr>
        <w:t>(17)</w:t>
      </w:r>
      <w:r w:rsidRPr="0054775B">
        <w:t>.</w:t>
      </w:r>
    </w:p>
    <w:p w14:paraId="2C6CB027" w14:textId="09F0550C" w:rsidR="00795348" w:rsidRPr="0054775B" w:rsidRDefault="00795348" w:rsidP="00795348">
      <w:r w:rsidRPr="0054775B">
        <w:t xml:space="preserve">It is thought that Magnesium may have multifaceted actions, including preventing cortical Spreading Depression (CSD), regulating neurotransmitters, and relaxing muscles. Cortical spreading depression (CSD) is a wave of abnormal brain signalling associated with migraines, particularly the visual and sensory changes seen in aura, as above Mg can </w:t>
      </w:r>
      <w:r w:rsidR="001909D9">
        <w:rPr>
          <w:lang w:val="en-GB"/>
        </w:rPr>
        <w:t>p</w:t>
      </w:r>
      <w:r w:rsidR="001909D9" w:rsidRPr="001909D9">
        <w:rPr>
          <w:lang w:val="en-GB"/>
        </w:rPr>
        <w:t>lay a role in lowering abnormally/supraphysiological levels of cortisol</w:t>
      </w:r>
      <w:r w:rsidR="001909D9">
        <w:rPr>
          <w:lang w:val="en-GB"/>
        </w:rPr>
        <w:t xml:space="preserve"> </w:t>
      </w:r>
      <w:r w:rsidRPr="0054775B">
        <w:t xml:space="preserve">and may reduce CSD. Proper neurotransmitter balance may contribute to reducing the frequency and severity of migraines and Mg helps regulate neurotransmitters (such as serotonin and dopamine) in the brain hance possibly alleviating the symptoms of headache </w:t>
      </w:r>
      <w:r w:rsidR="00A61385">
        <w:rPr>
          <w:noProof/>
        </w:rPr>
        <w:t>(18)</w:t>
      </w:r>
      <w:r w:rsidRPr="0054775B">
        <w:t xml:space="preserve">. In addition, Mg may act to relax muscles, potentially shortening the duration of a migraine attack and promoting a calmer state </w:t>
      </w:r>
      <w:r w:rsidR="00F54937">
        <w:rPr>
          <w:noProof/>
        </w:rPr>
        <w:t>(153)</w:t>
      </w:r>
      <w:r w:rsidRPr="0054775B">
        <w:t>.</w:t>
      </w:r>
    </w:p>
    <w:p w14:paraId="5DA40EBC" w14:textId="6F523911" w:rsidR="00A62304" w:rsidRPr="0054775B" w:rsidRDefault="00A62304" w:rsidP="009E6F7F">
      <w:r w:rsidRPr="0054775B">
        <w:t xml:space="preserve">The recommended dietary </w:t>
      </w:r>
      <w:r w:rsidR="00873A90">
        <w:t>intake</w:t>
      </w:r>
      <w:r w:rsidRPr="0054775B">
        <w:t xml:space="preserve"> for magnesium varies depending on age and sex, typically ranging from 310-420 mg daily for adults </w:t>
      </w:r>
      <w:r w:rsidR="00A61385">
        <w:rPr>
          <w:noProof/>
        </w:rPr>
        <w:t>(</w:t>
      </w:r>
      <w:r w:rsidR="00035A3D">
        <w:rPr>
          <w:noProof/>
        </w:rPr>
        <w:t>19</w:t>
      </w:r>
      <w:r w:rsidR="00A61385">
        <w:rPr>
          <w:noProof/>
        </w:rPr>
        <w:t>)</w:t>
      </w:r>
      <w:r w:rsidRPr="0054775B">
        <w:t xml:space="preserve">. While it is a </w:t>
      </w:r>
      <w:r w:rsidRPr="0054775B">
        <w:rPr>
          <w:sz w:val="21"/>
          <w:szCs w:val="21"/>
        </w:rPr>
        <w:t>typical</w:t>
      </w:r>
      <w:r w:rsidRPr="0054775B">
        <w:t xml:space="preserve"> component of most diets, and is abundant in foods such as leafy vegetables, nuts, legumes, and grains, supplementation is available. Magnesium supplements come in several forms with varying bioavailability (absorption rates), including magnesium oxide, citrate, glycinate, or lactate </w:t>
      </w:r>
      <w:r w:rsidR="00A61385">
        <w:rPr>
          <w:noProof/>
        </w:rPr>
        <w:t>(17)</w:t>
      </w:r>
      <w:r w:rsidRPr="0054775B">
        <w:t xml:space="preserve">. </w:t>
      </w:r>
    </w:p>
    <w:p w14:paraId="79D6208E" w14:textId="43C860FF" w:rsidR="00A62304" w:rsidRPr="0054775B" w:rsidRDefault="00A62304" w:rsidP="009E6F7F">
      <w:r w:rsidRPr="0054775B">
        <w:lastRenderedPageBreak/>
        <w:t>Oral magnesium supplements are readily available without prescription and are sometimes sold in tandem with one or multiple other nutritional supplements. Magnesium supplements are generally safe for most people when taken at appropriate doses</w:t>
      </w:r>
      <w:r w:rsidR="00577A9E">
        <w:rPr>
          <w:rStyle w:val="FootnoteReference"/>
        </w:rPr>
        <w:footnoteReference w:id="5"/>
      </w:r>
      <w:r w:rsidRPr="0054775B">
        <w:t xml:space="preserve">; though some medications may interact with magnesium (including antibiotics, diuretics and bisphosphonates) </w:t>
      </w:r>
      <w:r w:rsidR="00A61385">
        <w:rPr>
          <w:noProof/>
        </w:rPr>
        <w:t>(17)</w:t>
      </w:r>
      <w:r w:rsidRPr="0054775B">
        <w:t xml:space="preserve">. Excess magnesium is usually </w:t>
      </w:r>
      <w:r w:rsidR="001909D9">
        <w:t>excreted</w:t>
      </w:r>
      <w:r w:rsidR="001909D9" w:rsidRPr="0054775B">
        <w:t xml:space="preserve"> </w:t>
      </w:r>
      <w:r w:rsidRPr="0054775B">
        <w:t xml:space="preserve">by the kidneys as urine, though very high amounts of magnesium from dietary supplements can result in diarrhea, nausea and abdominal cramping </w:t>
      </w:r>
      <w:r w:rsidR="00A61385">
        <w:rPr>
          <w:noProof/>
        </w:rPr>
        <w:t>(17)</w:t>
      </w:r>
      <w:r w:rsidRPr="0054775B">
        <w:t>.</w:t>
      </w:r>
    </w:p>
    <w:p w14:paraId="0B8459E1" w14:textId="77777777" w:rsidR="008308E9" w:rsidRPr="0054775B" w:rsidRDefault="008308E9" w:rsidP="009E6F7F">
      <w:pPr>
        <w:pStyle w:val="2024HEADER3"/>
        <w:rPr>
          <w:rFonts w:ascii="Aptos" w:hAnsi="Aptos"/>
        </w:rPr>
      </w:pPr>
      <w:r w:rsidRPr="0054775B">
        <w:rPr>
          <w:rFonts w:ascii="Aptos" w:hAnsi="Aptos"/>
        </w:rPr>
        <w:t>Prioritised outcomes</w:t>
      </w:r>
    </w:p>
    <w:p w14:paraId="0A591ABD" w14:textId="52238537" w:rsidR="003D6D34" w:rsidRPr="0054775B" w:rsidRDefault="00930D0D" w:rsidP="009E6F7F">
      <w:r w:rsidRPr="0054775B">
        <w:t xml:space="preserve">Seven priority outcomes were </w:t>
      </w:r>
      <w:r w:rsidR="007F404D" w:rsidRPr="0054775B">
        <w:t xml:space="preserve">identified by NTWC as part of the Outcome Prioritisation Exercise. These are listed below by order of priority. </w:t>
      </w:r>
      <w:r w:rsidRPr="0054775B">
        <w:t>Outcomes were rated by their importance to decision-making, with those rated 7-9 being critical for decision-making</w:t>
      </w:r>
      <w:r w:rsidR="003D6D34" w:rsidRPr="0054775B">
        <w:t xml:space="preserve">. </w:t>
      </w:r>
    </w:p>
    <w:p w14:paraId="0B6DBD63" w14:textId="010B0C2D" w:rsidR="00764746" w:rsidRPr="0054775B" w:rsidRDefault="00930D0D" w:rsidP="006F63D3">
      <w:pPr>
        <w:pStyle w:val="2024TABLECAPTION"/>
        <w:rPr>
          <w:rFonts w:ascii="Aptos" w:hAnsi="Aptos"/>
        </w:rPr>
      </w:pPr>
      <w:bookmarkStart w:id="108" w:name="_Toc185261611"/>
      <w:r w:rsidRPr="0054775B">
        <w:rPr>
          <w:rFonts w:ascii="Aptos" w:hAnsi="Aptos"/>
        </w:rPr>
        <w:t xml:space="preserve">Table </w:t>
      </w:r>
      <w:r w:rsidR="002F1F6C" w:rsidRPr="0054775B">
        <w:rPr>
          <w:rFonts w:ascii="Aptos" w:hAnsi="Aptos"/>
        </w:rPr>
        <w:fldChar w:fldCharType="begin"/>
      </w:r>
      <w:r w:rsidR="002F1F6C" w:rsidRPr="0054775B">
        <w:rPr>
          <w:rFonts w:ascii="Aptos" w:hAnsi="Aptos"/>
        </w:rPr>
        <w:instrText xml:space="preserve"> SEQ Table \* ARABIC </w:instrText>
      </w:r>
      <w:r w:rsidR="002F1F6C" w:rsidRPr="0054775B">
        <w:rPr>
          <w:rFonts w:ascii="Aptos" w:hAnsi="Aptos"/>
        </w:rPr>
        <w:fldChar w:fldCharType="separate"/>
      </w:r>
      <w:r w:rsidR="00CB3AAD" w:rsidRPr="0054775B" w:rsidDel="004E7C54">
        <w:rPr>
          <w:rFonts w:ascii="Aptos" w:hAnsi="Aptos"/>
          <w:noProof/>
        </w:rPr>
        <w:t>33</w:t>
      </w:r>
      <w:r w:rsidR="002F1F6C" w:rsidRPr="0054775B">
        <w:rPr>
          <w:rFonts w:ascii="Aptos" w:hAnsi="Aptos"/>
          <w:noProof/>
        </w:rPr>
        <w:fldChar w:fldCharType="end"/>
      </w:r>
      <w:r w:rsidRPr="0054775B">
        <w:rPr>
          <w:rFonts w:ascii="Aptos" w:hAnsi="Aptos"/>
        </w:rPr>
        <w:t xml:space="preserve">. </w:t>
      </w:r>
      <w:r w:rsidR="00764746" w:rsidRPr="0054775B">
        <w:rPr>
          <w:rFonts w:ascii="Aptos" w:hAnsi="Aptos"/>
        </w:rPr>
        <w:t xml:space="preserve">List of prioritised outcomes – </w:t>
      </w:r>
      <w:r w:rsidR="0012437F" w:rsidRPr="0054775B">
        <w:rPr>
          <w:rFonts w:ascii="Aptos" w:hAnsi="Aptos"/>
        </w:rPr>
        <w:t xml:space="preserve">Headache and migraine, </w:t>
      </w:r>
      <w:r w:rsidR="003D6D34" w:rsidRPr="0054775B">
        <w:rPr>
          <w:rFonts w:ascii="Aptos" w:hAnsi="Aptos"/>
        </w:rPr>
        <w:t>m</w:t>
      </w:r>
      <w:r w:rsidR="0012437F" w:rsidRPr="0054775B">
        <w:rPr>
          <w:rFonts w:ascii="Aptos" w:hAnsi="Aptos"/>
        </w:rPr>
        <w:t xml:space="preserve">agnesium </w:t>
      </w:r>
      <w:r w:rsidR="00764746" w:rsidRPr="0054775B">
        <w:rPr>
          <w:rFonts w:ascii="Aptos" w:hAnsi="Aptos"/>
        </w:rPr>
        <w:t>(as assessed as part of the Outcome Prioritisation Exercise by NTWC).</w:t>
      </w:r>
      <w:bookmarkEnd w:id="108"/>
      <w:r w:rsidR="00764746" w:rsidRPr="0054775B">
        <w:rPr>
          <w:rFonts w:ascii="Aptos" w:hAnsi="Aptos"/>
        </w:rPr>
        <w:t> </w:t>
      </w:r>
    </w:p>
    <w:tbl>
      <w:tblPr>
        <w:tblW w:w="9209" w:type="dxa"/>
        <w:tblCellMar>
          <w:top w:w="28" w:type="dxa"/>
          <w:left w:w="57" w:type="dxa"/>
          <w:bottom w:w="28" w:type="dxa"/>
          <w:right w:w="28" w:type="dxa"/>
        </w:tblCellMar>
        <w:tblLook w:val="04A0" w:firstRow="1" w:lastRow="0" w:firstColumn="1" w:lastColumn="0" w:noHBand="0" w:noVBand="1"/>
      </w:tblPr>
      <w:tblGrid>
        <w:gridCol w:w="399"/>
        <w:gridCol w:w="1266"/>
        <w:gridCol w:w="1229"/>
        <w:gridCol w:w="758"/>
        <w:gridCol w:w="5557"/>
      </w:tblGrid>
      <w:tr w:rsidR="00A70B1C" w:rsidRPr="0054775B" w14:paraId="1C45C795" w14:textId="77777777" w:rsidTr="00816677">
        <w:trPr>
          <w:trHeight w:val="95"/>
        </w:trPr>
        <w:tc>
          <w:tcPr>
            <w:tcW w:w="0" w:type="auto"/>
            <w:vMerge w:val="restart"/>
            <w:tcBorders>
              <w:top w:val="single" w:sz="4" w:space="0" w:color="auto"/>
              <w:left w:val="single" w:sz="4" w:space="0" w:color="auto"/>
              <w:right w:val="single" w:sz="4" w:space="0" w:color="auto"/>
            </w:tcBorders>
            <w:shd w:val="clear" w:color="auto" w:fill="D9D9D9" w:themeFill="background1" w:themeFillShade="D9"/>
            <w:vAlign w:val="center"/>
            <w:hideMark/>
          </w:tcPr>
          <w:p w14:paraId="0C0738AA" w14:textId="77777777" w:rsidR="00816677" w:rsidRPr="0054775B" w:rsidRDefault="00816677" w:rsidP="006F63D3">
            <w:pPr>
              <w:pStyle w:val="2024TABLEHEADER"/>
            </w:pPr>
            <w:r w:rsidRPr="0054775B">
              <w:t> #</w:t>
            </w:r>
          </w:p>
        </w:tc>
        <w:tc>
          <w:tcPr>
            <w:tcW w:w="1266" w:type="dxa"/>
            <w:vMerge w:val="restart"/>
            <w:tcBorders>
              <w:top w:val="single" w:sz="4" w:space="0" w:color="auto"/>
              <w:left w:val="nil"/>
              <w:right w:val="single" w:sz="4" w:space="0" w:color="auto"/>
            </w:tcBorders>
            <w:shd w:val="clear" w:color="auto" w:fill="D9D9D9" w:themeFill="background1" w:themeFillShade="D9"/>
            <w:vAlign w:val="center"/>
            <w:hideMark/>
          </w:tcPr>
          <w:p w14:paraId="0C157FFE" w14:textId="77777777" w:rsidR="00816677" w:rsidRPr="0054775B" w:rsidRDefault="00816677" w:rsidP="006F63D3">
            <w:pPr>
              <w:pStyle w:val="2024TABLEHEADER"/>
              <w:rPr>
                <w:color w:val="000000"/>
              </w:rPr>
            </w:pPr>
            <w:r w:rsidRPr="0054775B">
              <w:t>Priority population</w:t>
            </w:r>
          </w:p>
        </w:tc>
        <w:tc>
          <w:tcPr>
            <w:tcW w:w="1229" w:type="dxa"/>
            <w:vMerge w:val="restart"/>
            <w:tcBorders>
              <w:top w:val="single" w:sz="4" w:space="0" w:color="auto"/>
              <w:left w:val="nil"/>
              <w:right w:val="single" w:sz="4" w:space="0" w:color="auto"/>
            </w:tcBorders>
            <w:shd w:val="clear" w:color="auto" w:fill="D9D9D9" w:themeFill="background1" w:themeFillShade="D9"/>
            <w:vAlign w:val="center"/>
            <w:hideMark/>
          </w:tcPr>
          <w:p w14:paraId="2FDBE986" w14:textId="77777777" w:rsidR="00816677" w:rsidRPr="0054775B" w:rsidRDefault="00816677" w:rsidP="006F63D3">
            <w:pPr>
              <w:pStyle w:val="2024TABLEHEADER"/>
              <w:rPr>
                <w:color w:val="000000"/>
              </w:rPr>
            </w:pPr>
            <w:r w:rsidRPr="0054775B">
              <w:t xml:space="preserve">Priority intervention </w:t>
            </w:r>
          </w:p>
        </w:tc>
        <w:tc>
          <w:tcPr>
            <w:tcW w:w="6315" w:type="dxa"/>
            <w:gridSpan w:val="2"/>
            <w:tcBorders>
              <w:top w:val="single" w:sz="4" w:space="0" w:color="auto"/>
              <w:left w:val="nil"/>
              <w:bottom w:val="single" w:sz="4" w:space="0" w:color="auto"/>
              <w:right w:val="single" w:sz="4" w:space="0" w:color="auto"/>
            </w:tcBorders>
            <w:shd w:val="clear" w:color="auto" w:fill="D9D9D9" w:themeFill="background1" w:themeFillShade="D9"/>
            <w:vAlign w:val="center"/>
          </w:tcPr>
          <w:p w14:paraId="38C23140" w14:textId="77777777" w:rsidR="00816677" w:rsidRPr="0054775B" w:rsidRDefault="00816677" w:rsidP="006F63D3">
            <w:pPr>
              <w:pStyle w:val="2024TABLEHEADER"/>
            </w:pPr>
            <w:r w:rsidRPr="0054775B">
              <w:t>Priority outcomes</w:t>
            </w:r>
          </w:p>
        </w:tc>
      </w:tr>
      <w:tr w:rsidR="00A70B1C" w:rsidRPr="0054775B" w14:paraId="06848E05" w14:textId="77777777" w:rsidTr="00816677">
        <w:trPr>
          <w:trHeight w:val="95"/>
        </w:trPr>
        <w:tc>
          <w:tcPr>
            <w:tcW w:w="0" w:type="auto"/>
            <w:vMerge/>
            <w:tcBorders>
              <w:left w:val="single" w:sz="4" w:space="0" w:color="auto"/>
              <w:bottom w:val="single" w:sz="4" w:space="0" w:color="auto"/>
              <w:right w:val="single" w:sz="4" w:space="0" w:color="auto"/>
            </w:tcBorders>
            <w:shd w:val="clear" w:color="auto" w:fill="D9D9D9" w:themeFill="background1" w:themeFillShade="D9"/>
            <w:vAlign w:val="center"/>
          </w:tcPr>
          <w:p w14:paraId="3C0654DA" w14:textId="77777777" w:rsidR="00816677" w:rsidRPr="0054775B" w:rsidRDefault="00816677" w:rsidP="00816677">
            <w:pPr>
              <w:pStyle w:val="2024TABLEHEADER"/>
            </w:pPr>
          </w:p>
        </w:tc>
        <w:tc>
          <w:tcPr>
            <w:tcW w:w="1266" w:type="dxa"/>
            <w:vMerge/>
            <w:tcBorders>
              <w:left w:val="nil"/>
              <w:bottom w:val="single" w:sz="4" w:space="0" w:color="auto"/>
              <w:right w:val="single" w:sz="4" w:space="0" w:color="auto"/>
            </w:tcBorders>
            <w:shd w:val="clear" w:color="auto" w:fill="D9D9D9" w:themeFill="background1" w:themeFillShade="D9"/>
            <w:vAlign w:val="center"/>
          </w:tcPr>
          <w:p w14:paraId="59F21219" w14:textId="77777777" w:rsidR="00816677" w:rsidRPr="0054775B" w:rsidRDefault="00816677" w:rsidP="00816677">
            <w:pPr>
              <w:pStyle w:val="2024TABLEHEADER"/>
            </w:pPr>
          </w:p>
        </w:tc>
        <w:tc>
          <w:tcPr>
            <w:tcW w:w="1229" w:type="dxa"/>
            <w:vMerge/>
            <w:tcBorders>
              <w:left w:val="nil"/>
              <w:bottom w:val="single" w:sz="4" w:space="0" w:color="auto"/>
              <w:right w:val="single" w:sz="4" w:space="0" w:color="auto"/>
            </w:tcBorders>
            <w:shd w:val="clear" w:color="auto" w:fill="D9D9D9" w:themeFill="background1" w:themeFillShade="D9"/>
            <w:vAlign w:val="center"/>
          </w:tcPr>
          <w:p w14:paraId="36AD404B" w14:textId="77777777" w:rsidR="00816677" w:rsidRPr="0054775B" w:rsidRDefault="00816677" w:rsidP="00816677">
            <w:pPr>
              <w:pStyle w:val="2024TABLEHEADER"/>
            </w:pPr>
          </w:p>
        </w:tc>
        <w:tc>
          <w:tcPr>
            <w:tcW w:w="758" w:type="dxa"/>
            <w:tcBorders>
              <w:top w:val="nil"/>
              <w:left w:val="nil"/>
              <w:bottom w:val="single" w:sz="4" w:space="0" w:color="auto"/>
              <w:right w:val="single" w:sz="4" w:space="0" w:color="auto"/>
            </w:tcBorders>
            <w:shd w:val="clear" w:color="auto" w:fill="D9D9D9" w:themeFill="background1" w:themeFillShade="D9"/>
            <w:vAlign w:val="center"/>
          </w:tcPr>
          <w:p w14:paraId="2F8856B6" w14:textId="77777777" w:rsidR="00816677" w:rsidRPr="0054775B" w:rsidRDefault="00816677" w:rsidP="00816677">
            <w:pPr>
              <w:pStyle w:val="2024TABLEHEADER"/>
            </w:pPr>
            <w:r w:rsidRPr="0054775B">
              <w:t>NTWC Rating</w:t>
            </w:r>
          </w:p>
        </w:tc>
        <w:tc>
          <w:tcPr>
            <w:tcW w:w="5557" w:type="dxa"/>
            <w:tcBorders>
              <w:top w:val="nil"/>
              <w:left w:val="nil"/>
              <w:bottom w:val="single" w:sz="4" w:space="0" w:color="auto"/>
              <w:right w:val="single" w:sz="4" w:space="0" w:color="auto"/>
            </w:tcBorders>
            <w:shd w:val="clear" w:color="auto" w:fill="D9D9D9" w:themeFill="background1" w:themeFillShade="D9"/>
            <w:vAlign w:val="center"/>
          </w:tcPr>
          <w:p w14:paraId="1C735950" w14:textId="199AF71C" w:rsidR="00816677" w:rsidRPr="0054775B" w:rsidRDefault="00816677" w:rsidP="00816677">
            <w:pPr>
              <w:pStyle w:val="2024TABLEHEADER"/>
            </w:pPr>
            <w:r w:rsidRPr="0054775B">
              <w:t xml:space="preserve">Outcome </w:t>
            </w:r>
            <w:r w:rsidR="00A8448B">
              <w:t>d</w:t>
            </w:r>
            <w:r w:rsidRPr="0054775B">
              <w:t>omain</w:t>
            </w:r>
          </w:p>
        </w:tc>
      </w:tr>
      <w:tr w:rsidR="002B69D4" w:rsidRPr="0054775B" w14:paraId="5F917197" w14:textId="77777777" w:rsidTr="001428E8">
        <w:trPr>
          <w:trHeight w:val="95"/>
        </w:trPr>
        <w:tc>
          <w:tcPr>
            <w:tcW w:w="0" w:type="auto"/>
            <w:vMerge w:val="restart"/>
            <w:tcBorders>
              <w:top w:val="nil"/>
              <w:left w:val="single" w:sz="4" w:space="0" w:color="auto"/>
              <w:right w:val="single" w:sz="4" w:space="0" w:color="auto"/>
            </w:tcBorders>
            <w:shd w:val="clear" w:color="auto" w:fill="auto"/>
            <w:vAlign w:val="center"/>
          </w:tcPr>
          <w:p w14:paraId="26490CD1" w14:textId="30BD115A" w:rsidR="00816677" w:rsidRPr="0054775B" w:rsidRDefault="00816677" w:rsidP="00E1799C">
            <w:pPr>
              <w:pStyle w:val="2024TABLETEXT"/>
              <w:framePr w:hSpace="0" w:wrap="auto" w:vAnchor="margin" w:yAlign="inline"/>
              <w:suppressOverlap w:val="0"/>
            </w:pPr>
            <w:r w:rsidRPr="0054775B">
              <w:t>10</w:t>
            </w:r>
          </w:p>
        </w:tc>
        <w:tc>
          <w:tcPr>
            <w:tcW w:w="1266" w:type="dxa"/>
            <w:vMerge w:val="restart"/>
            <w:tcBorders>
              <w:top w:val="nil"/>
              <w:left w:val="nil"/>
              <w:right w:val="single" w:sz="4" w:space="0" w:color="auto"/>
            </w:tcBorders>
            <w:shd w:val="clear" w:color="auto" w:fill="auto"/>
            <w:vAlign w:val="center"/>
          </w:tcPr>
          <w:p w14:paraId="5B7D6DD7" w14:textId="604F6BB5" w:rsidR="00816677" w:rsidRPr="0054775B" w:rsidRDefault="00816677" w:rsidP="00E1799C">
            <w:pPr>
              <w:pStyle w:val="2024TABLETEXT"/>
              <w:framePr w:hSpace="0" w:wrap="auto" w:vAnchor="margin" w:yAlign="inline"/>
              <w:suppressOverlap w:val="0"/>
            </w:pPr>
            <w:r w:rsidRPr="0054775B">
              <w:t>Headache and migraine</w:t>
            </w:r>
          </w:p>
        </w:tc>
        <w:tc>
          <w:tcPr>
            <w:tcW w:w="1229" w:type="dxa"/>
            <w:vMerge w:val="restart"/>
            <w:tcBorders>
              <w:top w:val="nil"/>
              <w:left w:val="nil"/>
              <w:right w:val="single" w:sz="4" w:space="0" w:color="auto"/>
            </w:tcBorders>
            <w:shd w:val="clear" w:color="auto" w:fill="auto"/>
            <w:vAlign w:val="center"/>
          </w:tcPr>
          <w:p w14:paraId="75EBA89E" w14:textId="61E3D991" w:rsidR="00816677" w:rsidRPr="0054775B" w:rsidRDefault="00816677" w:rsidP="00E1799C">
            <w:pPr>
              <w:pStyle w:val="2024TABLETEXT"/>
              <w:framePr w:hSpace="0" w:wrap="auto" w:vAnchor="margin" w:yAlign="inline"/>
              <w:suppressOverlap w:val="0"/>
            </w:pPr>
            <w:r w:rsidRPr="0054775B">
              <w:t>Magnesium</w:t>
            </w:r>
          </w:p>
        </w:tc>
        <w:tc>
          <w:tcPr>
            <w:tcW w:w="758" w:type="dxa"/>
            <w:tcBorders>
              <w:top w:val="nil"/>
              <w:left w:val="nil"/>
              <w:bottom w:val="single" w:sz="4" w:space="0" w:color="auto"/>
              <w:right w:val="single" w:sz="4" w:space="0" w:color="auto"/>
            </w:tcBorders>
            <w:shd w:val="clear" w:color="auto" w:fill="auto"/>
            <w:vAlign w:val="center"/>
          </w:tcPr>
          <w:p w14:paraId="6CB0BB98" w14:textId="7D1E6F35" w:rsidR="00816677" w:rsidRPr="0054775B" w:rsidRDefault="00816677" w:rsidP="00E1799C">
            <w:pPr>
              <w:pStyle w:val="2024TABLETEXT"/>
              <w:framePr w:hSpace="0" w:wrap="auto" w:vAnchor="margin" w:yAlign="inline"/>
              <w:suppressOverlap w:val="0"/>
            </w:pPr>
            <w:r w:rsidRPr="0054775B">
              <w:t>9</w:t>
            </w:r>
          </w:p>
        </w:tc>
        <w:tc>
          <w:tcPr>
            <w:tcW w:w="5557" w:type="dxa"/>
            <w:tcBorders>
              <w:top w:val="nil"/>
              <w:left w:val="nil"/>
              <w:bottom w:val="single" w:sz="4" w:space="0" w:color="auto"/>
              <w:right w:val="single" w:sz="4" w:space="0" w:color="auto"/>
            </w:tcBorders>
            <w:shd w:val="clear" w:color="auto" w:fill="auto"/>
          </w:tcPr>
          <w:p w14:paraId="53199C58" w14:textId="139D34CD" w:rsidR="00816677" w:rsidRPr="0054775B" w:rsidRDefault="00816677" w:rsidP="00E1799C">
            <w:pPr>
              <w:pStyle w:val="2024TABLETEXT"/>
              <w:framePr w:hSpace="0" w:wrap="auto" w:vAnchor="margin" w:yAlign="inline"/>
              <w:suppressOverlap w:val="0"/>
            </w:pPr>
            <w:r w:rsidRPr="0054775B">
              <w:t>Global improvement in headache/migraine</w:t>
            </w:r>
          </w:p>
        </w:tc>
      </w:tr>
      <w:tr w:rsidR="002B69D4" w:rsidRPr="0054775B" w14:paraId="167FC7F9" w14:textId="77777777" w:rsidTr="001428E8">
        <w:trPr>
          <w:trHeight w:val="95"/>
        </w:trPr>
        <w:tc>
          <w:tcPr>
            <w:tcW w:w="0" w:type="auto"/>
            <w:vMerge/>
            <w:tcBorders>
              <w:left w:val="single" w:sz="4" w:space="0" w:color="auto"/>
              <w:right w:val="single" w:sz="4" w:space="0" w:color="auto"/>
            </w:tcBorders>
            <w:shd w:val="clear" w:color="auto" w:fill="auto"/>
            <w:vAlign w:val="center"/>
          </w:tcPr>
          <w:p w14:paraId="69BF8F09" w14:textId="77777777" w:rsidR="00816677" w:rsidRPr="0054775B" w:rsidRDefault="00816677" w:rsidP="00E1799C">
            <w:pPr>
              <w:pStyle w:val="2024TABLETEXT"/>
              <w:framePr w:hSpace="0" w:wrap="auto" w:vAnchor="margin" w:yAlign="inline"/>
              <w:suppressOverlap w:val="0"/>
            </w:pPr>
          </w:p>
        </w:tc>
        <w:tc>
          <w:tcPr>
            <w:tcW w:w="1266" w:type="dxa"/>
            <w:vMerge/>
            <w:tcBorders>
              <w:left w:val="nil"/>
              <w:right w:val="single" w:sz="4" w:space="0" w:color="auto"/>
            </w:tcBorders>
            <w:shd w:val="clear" w:color="auto" w:fill="auto"/>
            <w:vAlign w:val="center"/>
          </w:tcPr>
          <w:p w14:paraId="74DF3CA9" w14:textId="77777777" w:rsidR="00816677" w:rsidRPr="0054775B" w:rsidRDefault="00816677" w:rsidP="00E1799C">
            <w:pPr>
              <w:pStyle w:val="2024TABLETEXT"/>
              <w:framePr w:hSpace="0" w:wrap="auto" w:vAnchor="margin" w:yAlign="inline"/>
              <w:suppressOverlap w:val="0"/>
            </w:pPr>
          </w:p>
        </w:tc>
        <w:tc>
          <w:tcPr>
            <w:tcW w:w="1229" w:type="dxa"/>
            <w:vMerge/>
            <w:tcBorders>
              <w:left w:val="nil"/>
              <w:right w:val="single" w:sz="4" w:space="0" w:color="auto"/>
            </w:tcBorders>
            <w:shd w:val="clear" w:color="auto" w:fill="auto"/>
            <w:vAlign w:val="center"/>
          </w:tcPr>
          <w:p w14:paraId="33270AEB" w14:textId="77777777" w:rsidR="00816677" w:rsidRPr="0054775B" w:rsidRDefault="00816677" w:rsidP="00E1799C">
            <w:pPr>
              <w:pStyle w:val="2024TABLETEXT"/>
              <w:framePr w:hSpace="0" w:wrap="auto" w:vAnchor="margin" w:yAlign="inline"/>
              <w:suppressOverlap w:val="0"/>
            </w:pPr>
          </w:p>
        </w:tc>
        <w:tc>
          <w:tcPr>
            <w:tcW w:w="758" w:type="dxa"/>
            <w:tcBorders>
              <w:top w:val="nil"/>
              <w:left w:val="nil"/>
              <w:bottom w:val="single" w:sz="4" w:space="0" w:color="auto"/>
              <w:right w:val="single" w:sz="4" w:space="0" w:color="auto"/>
            </w:tcBorders>
            <w:shd w:val="clear" w:color="auto" w:fill="auto"/>
            <w:vAlign w:val="center"/>
          </w:tcPr>
          <w:p w14:paraId="7BDAA605" w14:textId="10FF4935" w:rsidR="00816677" w:rsidRPr="0054775B" w:rsidRDefault="00816677" w:rsidP="00E1799C">
            <w:pPr>
              <w:pStyle w:val="2024TABLETEXT"/>
              <w:framePr w:hSpace="0" w:wrap="auto" w:vAnchor="margin" w:yAlign="inline"/>
              <w:suppressOverlap w:val="0"/>
            </w:pPr>
            <w:r w:rsidRPr="0054775B">
              <w:t>8</w:t>
            </w:r>
          </w:p>
        </w:tc>
        <w:tc>
          <w:tcPr>
            <w:tcW w:w="5557" w:type="dxa"/>
            <w:tcBorders>
              <w:top w:val="nil"/>
              <w:left w:val="nil"/>
              <w:bottom w:val="single" w:sz="4" w:space="0" w:color="auto"/>
              <w:right w:val="single" w:sz="4" w:space="0" w:color="auto"/>
            </w:tcBorders>
            <w:shd w:val="clear" w:color="auto" w:fill="auto"/>
          </w:tcPr>
          <w:p w14:paraId="0E20070E" w14:textId="2CA83A97" w:rsidR="00816677" w:rsidRPr="0054775B" w:rsidRDefault="00816677" w:rsidP="00E1799C">
            <w:pPr>
              <w:pStyle w:val="2024TABLETEXT"/>
              <w:framePr w:hSpace="0" w:wrap="auto" w:vAnchor="margin" w:yAlign="inline"/>
              <w:suppressOverlap w:val="0"/>
            </w:pPr>
            <w:r w:rsidRPr="0054775B">
              <w:t>Headache pain intensity</w:t>
            </w:r>
          </w:p>
        </w:tc>
      </w:tr>
      <w:tr w:rsidR="002B69D4" w:rsidRPr="0054775B" w14:paraId="5035DCE7" w14:textId="77777777" w:rsidTr="001428E8">
        <w:trPr>
          <w:trHeight w:val="95"/>
        </w:trPr>
        <w:tc>
          <w:tcPr>
            <w:tcW w:w="0" w:type="auto"/>
            <w:vMerge/>
            <w:tcBorders>
              <w:left w:val="single" w:sz="4" w:space="0" w:color="auto"/>
              <w:right w:val="single" w:sz="4" w:space="0" w:color="auto"/>
            </w:tcBorders>
            <w:shd w:val="clear" w:color="auto" w:fill="auto"/>
            <w:vAlign w:val="center"/>
          </w:tcPr>
          <w:p w14:paraId="3F2746D7" w14:textId="77777777" w:rsidR="00816677" w:rsidRPr="0054775B" w:rsidRDefault="00816677" w:rsidP="00E1799C">
            <w:pPr>
              <w:pStyle w:val="2024TABLETEXT"/>
              <w:framePr w:hSpace="0" w:wrap="auto" w:vAnchor="margin" w:yAlign="inline"/>
              <w:suppressOverlap w:val="0"/>
            </w:pPr>
          </w:p>
        </w:tc>
        <w:tc>
          <w:tcPr>
            <w:tcW w:w="1266" w:type="dxa"/>
            <w:vMerge/>
            <w:tcBorders>
              <w:left w:val="nil"/>
              <w:right w:val="single" w:sz="4" w:space="0" w:color="auto"/>
            </w:tcBorders>
            <w:shd w:val="clear" w:color="auto" w:fill="auto"/>
            <w:vAlign w:val="center"/>
          </w:tcPr>
          <w:p w14:paraId="60D58676" w14:textId="77777777" w:rsidR="00816677" w:rsidRPr="0054775B" w:rsidRDefault="00816677" w:rsidP="00E1799C">
            <w:pPr>
              <w:pStyle w:val="2024TABLETEXT"/>
              <w:framePr w:hSpace="0" w:wrap="auto" w:vAnchor="margin" w:yAlign="inline"/>
              <w:suppressOverlap w:val="0"/>
            </w:pPr>
          </w:p>
        </w:tc>
        <w:tc>
          <w:tcPr>
            <w:tcW w:w="1229" w:type="dxa"/>
            <w:vMerge/>
            <w:tcBorders>
              <w:left w:val="nil"/>
              <w:right w:val="single" w:sz="4" w:space="0" w:color="auto"/>
            </w:tcBorders>
            <w:shd w:val="clear" w:color="auto" w:fill="auto"/>
            <w:vAlign w:val="center"/>
          </w:tcPr>
          <w:p w14:paraId="7A944D55" w14:textId="77777777" w:rsidR="00816677" w:rsidRPr="0054775B" w:rsidRDefault="00816677" w:rsidP="00E1799C">
            <w:pPr>
              <w:pStyle w:val="2024TABLETEXT"/>
              <w:framePr w:hSpace="0" w:wrap="auto" w:vAnchor="margin" w:yAlign="inline"/>
              <w:suppressOverlap w:val="0"/>
            </w:pPr>
          </w:p>
        </w:tc>
        <w:tc>
          <w:tcPr>
            <w:tcW w:w="758" w:type="dxa"/>
            <w:tcBorders>
              <w:top w:val="nil"/>
              <w:left w:val="nil"/>
              <w:bottom w:val="single" w:sz="4" w:space="0" w:color="auto"/>
              <w:right w:val="single" w:sz="4" w:space="0" w:color="auto"/>
            </w:tcBorders>
            <w:shd w:val="clear" w:color="auto" w:fill="auto"/>
            <w:vAlign w:val="center"/>
          </w:tcPr>
          <w:p w14:paraId="2667A85F" w14:textId="4CDC7F82" w:rsidR="00816677" w:rsidRPr="0054775B" w:rsidRDefault="00816677" w:rsidP="00E1799C">
            <w:pPr>
              <w:pStyle w:val="2024TABLETEXT"/>
              <w:framePr w:hSpace="0" w:wrap="auto" w:vAnchor="margin" w:yAlign="inline"/>
              <w:suppressOverlap w:val="0"/>
            </w:pPr>
            <w:r w:rsidRPr="0054775B">
              <w:t>8</w:t>
            </w:r>
          </w:p>
        </w:tc>
        <w:tc>
          <w:tcPr>
            <w:tcW w:w="5557" w:type="dxa"/>
            <w:tcBorders>
              <w:top w:val="nil"/>
              <w:left w:val="nil"/>
              <w:bottom w:val="single" w:sz="4" w:space="0" w:color="auto"/>
              <w:right w:val="single" w:sz="4" w:space="0" w:color="auto"/>
            </w:tcBorders>
            <w:shd w:val="clear" w:color="auto" w:fill="auto"/>
          </w:tcPr>
          <w:p w14:paraId="71B30CF7" w14:textId="42147119" w:rsidR="00816677" w:rsidRPr="0054775B" w:rsidRDefault="00816677" w:rsidP="00E1799C">
            <w:pPr>
              <w:pStyle w:val="2024TABLETEXT"/>
              <w:framePr w:hSpace="0" w:wrap="auto" w:vAnchor="margin" w:yAlign="inline"/>
              <w:suppressOverlap w:val="0"/>
            </w:pPr>
            <w:r w:rsidRPr="0054775B">
              <w:t>Headache pain frequency</w:t>
            </w:r>
          </w:p>
        </w:tc>
      </w:tr>
      <w:tr w:rsidR="002B69D4" w:rsidRPr="0054775B" w14:paraId="156DC294" w14:textId="77777777" w:rsidTr="001428E8">
        <w:trPr>
          <w:trHeight w:val="95"/>
        </w:trPr>
        <w:tc>
          <w:tcPr>
            <w:tcW w:w="0" w:type="auto"/>
            <w:vMerge/>
            <w:tcBorders>
              <w:left w:val="single" w:sz="4" w:space="0" w:color="auto"/>
              <w:right w:val="single" w:sz="4" w:space="0" w:color="auto"/>
            </w:tcBorders>
            <w:shd w:val="clear" w:color="auto" w:fill="auto"/>
            <w:vAlign w:val="center"/>
          </w:tcPr>
          <w:p w14:paraId="3D687464" w14:textId="77777777" w:rsidR="00816677" w:rsidRPr="0054775B" w:rsidRDefault="00816677" w:rsidP="00E1799C">
            <w:pPr>
              <w:pStyle w:val="2024TABLETEXT"/>
              <w:framePr w:hSpace="0" w:wrap="auto" w:vAnchor="margin" w:yAlign="inline"/>
              <w:suppressOverlap w:val="0"/>
            </w:pPr>
          </w:p>
        </w:tc>
        <w:tc>
          <w:tcPr>
            <w:tcW w:w="1266" w:type="dxa"/>
            <w:vMerge/>
            <w:tcBorders>
              <w:left w:val="nil"/>
              <w:right w:val="single" w:sz="4" w:space="0" w:color="auto"/>
            </w:tcBorders>
            <w:shd w:val="clear" w:color="auto" w:fill="auto"/>
            <w:vAlign w:val="center"/>
          </w:tcPr>
          <w:p w14:paraId="6B45FE70" w14:textId="77777777" w:rsidR="00816677" w:rsidRPr="0054775B" w:rsidRDefault="00816677" w:rsidP="00E1799C">
            <w:pPr>
              <w:pStyle w:val="2024TABLETEXT"/>
              <w:framePr w:hSpace="0" w:wrap="auto" w:vAnchor="margin" w:yAlign="inline"/>
              <w:suppressOverlap w:val="0"/>
            </w:pPr>
          </w:p>
        </w:tc>
        <w:tc>
          <w:tcPr>
            <w:tcW w:w="1229" w:type="dxa"/>
            <w:vMerge/>
            <w:tcBorders>
              <w:left w:val="nil"/>
              <w:right w:val="single" w:sz="4" w:space="0" w:color="auto"/>
            </w:tcBorders>
            <w:shd w:val="clear" w:color="auto" w:fill="auto"/>
            <w:vAlign w:val="center"/>
          </w:tcPr>
          <w:p w14:paraId="773EEDEB" w14:textId="77777777" w:rsidR="00816677" w:rsidRPr="0054775B" w:rsidRDefault="00816677" w:rsidP="00E1799C">
            <w:pPr>
              <w:pStyle w:val="2024TABLETEXT"/>
              <w:framePr w:hSpace="0" w:wrap="auto" w:vAnchor="margin" w:yAlign="inline"/>
              <w:suppressOverlap w:val="0"/>
            </w:pPr>
          </w:p>
        </w:tc>
        <w:tc>
          <w:tcPr>
            <w:tcW w:w="758" w:type="dxa"/>
            <w:tcBorders>
              <w:top w:val="nil"/>
              <w:left w:val="nil"/>
              <w:bottom w:val="single" w:sz="4" w:space="0" w:color="auto"/>
              <w:right w:val="single" w:sz="4" w:space="0" w:color="auto"/>
            </w:tcBorders>
            <w:shd w:val="clear" w:color="auto" w:fill="auto"/>
            <w:vAlign w:val="center"/>
          </w:tcPr>
          <w:p w14:paraId="443A4B7A" w14:textId="2543A1E0" w:rsidR="00816677" w:rsidRPr="0054775B" w:rsidRDefault="00816677" w:rsidP="00E1799C">
            <w:pPr>
              <w:pStyle w:val="2024TABLETEXT"/>
              <w:framePr w:hSpace="0" w:wrap="auto" w:vAnchor="margin" w:yAlign="inline"/>
              <w:suppressOverlap w:val="0"/>
            </w:pPr>
            <w:r w:rsidRPr="0054775B">
              <w:t>8</w:t>
            </w:r>
          </w:p>
        </w:tc>
        <w:tc>
          <w:tcPr>
            <w:tcW w:w="5557" w:type="dxa"/>
            <w:tcBorders>
              <w:top w:val="nil"/>
              <w:left w:val="nil"/>
              <w:bottom w:val="single" w:sz="4" w:space="0" w:color="auto"/>
              <w:right w:val="single" w:sz="4" w:space="0" w:color="auto"/>
            </w:tcBorders>
            <w:shd w:val="clear" w:color="auto" w:fill="auto"/>
          </w:tcPr>
          <w:p w14:paraId="0B6E71F2" w14:textId="2EA5E764" w:rsidR="00816677" w:rsidRPr="0054775B" w:rsidRDefault="00816677" w:rsidP="00E1799C">
            <w:pPr>
              <w:pStyle w:val="2024TABLETEXT"/>
              <w:framePr w:hSpace="0" w:wrap="auto" w:vAnchor="margin" w:yAlign="inline"/>
              <w:suppressOverlap w:val="0"/>
            </w:pPr>
            <w:r w:rsidRPr="0054775B">
              <w:t>Headache/migraine</w:t>
            </w:r>
            <w:r w:rsidRPr="0054775B">
              <w:rPr>
                <w:rFonts w:ascii="Cambria Math" w:hAnsi="Cambria Math" w:cs="Cambria Math"/>
              </w:rPr>
              <w:t>‐</w:t>
            </w:r>
            <w:r w:rsidRPr="0054775B">
              <w:t>associated symptoms (nausea and vomiting, photophobia and phonophobia, visual aura)</w:t>
            </w:r>
          </w:p>
        </w:tc>
      </w:tr>
      <w:tr w:rsidR="002B69D4" w:rsidRPr="0054775B" w14:paraId="598A0830" w14:textId="77777777" w:rsidTr="001428E8">
        <w:trPr>
          <w:trHeight w:val="95"/>
        </w:trPr>
        <w:tc>
          <w:tcPr>
            <w:tcW w:w="0" w:type="auto"/>
            <w:vMerge/>
            <w:tcBorders>
              <w:left w:val="single" w:sz="4" w:space="0" w:color="auto"/>
              <w:right w:val="single" w:sz="4" w:space="0" w:color="auto"/>
            </w:tcBorders>
            <w:shd w:val="clear" w:color="auto" w:fill="auto"/>
            <w:vAlign w:val="center"/>
          </w:tcPr>
          <w:p w14:paraId="2ECE56D2" w14:textId="77777777" w:rsidR="00816677" w:rsidRPr="0054775B" w:rsidRDefault="00816677" w:rsidP="00E1799C">
            <w:pPr>
              <w:pStyle w:val="2024TABLETEXT"/>
              <w:framePr w:hSpace="0" w:wrap="auto" w:vAnchor="margin" w:yAlign="inline"/>
              <w:suppressOverlap w:val="0"/>
            </w:pPr>
          </w:p>
        </w:tc>
        <w:tc>
          <w:tcPr>
            <w:tcW w:w="1266" w:type="dxa"/>
            <w:vMerge/>
            <w:tcBorders>
              <w:left w:val="nil"/>
              <w:right w:val="single" w:sz="4" w:space="0" w:color="auto"/>
            </w:tcBorders>
            <w:shd w:val="clear" w:color="auto" w:fill="auto"/>
            <w:vAlign w:val="center"/>
          </w:tcPr>
          <w:p w14:paraId="3CE592D3" w14:textId="77777777" w:rsidR="00816677" w:rsidRPr="0054775B" w:rsidRDefault="00816677" w:rsidP="00E1799C">
            <w:pPr>
              <w:pStyle w:val="2024TABLETEXT"/>
              <w:framePr w:hSpace="0" w:wrap="auto" w:vAnchor="margin" w:yAlign="inline"/>
              <w:suppressOverlap w:val="0"/>
            </w:pPr>
          </w:p>
        </w:tc>
        <w:tc>
          <w:tcPr>
            <w:tcW w:w="1229" w:type="dxa"/>
            <w:vMerge/>
            <w:tcBorders>
              <w:left w:val="nil"/>
              <w:right w:val="single" w:sz="4" w:space="0" w:color="auto"/>
            </w:tcBorders>
            <w:shd w:val="clear" w:color="auto" w:fill="auto"/>
            <w:vAlign w:val="center"/>
          </w:tcPr>
          <w:p w14:paraId="4E3E8F01" w14:textId="77777777" w:rsidR="00816677" w:rsidRPr="0054775B" w:rsidRDefault="00816677" w:rsidP="00E1799C">
            <w:pPr>
              <w:pStyle w:val="2024TABLETEXT"/>
              <w:framePr w:hSpace="0" w:wrap="auto" w:vAnchor="margin" w:yAlign="inline"/>
              <w:suppressOverlap w:val="0"/>
            </w:pPr>
          </w:p>
        </w:tc>
        <w:tc>
          <w:tcPr>
            <w:tcW w:w="758" w:type="dxa"/>
            <w:tcBorders>
              <w:top w:val="nil"/>
              <w:left w:val="nil"/>
              <w:bottom w:val="single" w:sz="4" w:space="0" w:color="auto"/>
              <w:right w:val="single" w:sz="4" w:space="0" w:color="auto"/>
            </w:tcBorders>
            <w:shd w:val="clear" w:color="auto" w:fill="auto"/>
            <w:vAlign w:val="center"/>
          </w:tcPr>
          <w:p w14:paraId="5100F7D9" w14:textId="2DAAB914" w:rsidR="00816677" w:rsidRPr="0054775B" w:rsidRDefault="00816677" w:rsidP="00E1799C">
            <w:pPr>
              <w:pStyle w:val="2024TABLETEXT"/>
              <w:framePr w:hSpace="0" w:wrap="auto" w:vAnchor="margin" w:yAlign="inline"/>
              <w:suppressOverlap w:val="0"/>
            </w:pPr>
            <w:r w:rsidRPr="0054775B">
              <w:t>8</w:t>
            </w:r>
          </w:p>
        </w:tc>
        <w:tc>
          <w:tcPr>
            <w:tcW w:w="5557" w:type="dxa"/>
            <w:tcBorders>
              <w:top w:val="nil"/>
              <w:left w:val="nil"/>
              <w:bottom w:val="single" w:sz="4" w:space="0" w:color="auto"/>
              <w:right w:val="single" w:sz="4" w:space="0" w:color="auto"/>
            </w:tcBorders>
            <w:shd w:val="clear" w:color="auto" w:fill="auto"/>
          </w:tcPr>
          <w:p w14:paraId="2D311B8C" w14:textId="098AEE44" w:rsidR="00816677" w:rsidRPr="0054775B" w:rsidRDefault="00816677" w:rsidP="00E1799C">
            <w:pPr>
              <w:pStyle w:val="2024TABLETEXT"/>
              <w:framePr w:hSpace="0" w:wrap="auto" w:vAnchor="margin" w:yAlign="inline"/>
              <w:suppressOverlap w:val="0"/>
            </w:pPr>
            <w:r w:rsidRPr="0054775B">
              <w:t>QoL</w:t>
            </w:r>
          </w:p>
        </w:tc>
      </w:tr>
      <w:tr w:rsidR="002B69D4" w:rsidRPr="0054775B" w14:paraId="0E30F58C" w14:textId="77777777" w:rsidTr="001428E8">
        <w:trPr>
          <w:trHeight w:val="95"/>
        </w:trPr>
        <w:tc>
          <w:tcPr>
            <w:tcW w:w="0" w:type="auto"/>
            <w:vMerge/>
            <w:tcBorders>
              <w:left w:val="single" w:sz="4" w:space="0" w:color="auto"/>
              <w:right w:val="single" w:sz="4" w:space="0" w:color="auto"/>
            </w:tcBorders>
            <w:shd w:val="clear" w:color="auto" w:fill="auto"/>
            <w:vAlign w:val="center"/>
          </w:tcPr>
          <w:p w14:paraId="1F68F108" w14:textId="77777777" w:rsidR="00816677" w:rsidRPr="0054775B" w:rsidRDefault="00816677" w:rsidP="00E1799C">
            <w:pPr>
              <w:pStyle w:val="2024TABLETEXT"/>
              <w:framePr w:hSpace="0" w:wrap="auto" w:vAnchor="margin" w:yAlign="inline"/>
              <w:suppressOverlap w:val="0"/>
            </w:pPr>
          </w:p>
        </w:tc>
        <w:tc>
          <w:tcPr>
            <w:tcW w:w="1266" w:type="dxa"/>
            <w:vMerge/>
            <w:tcBorders>
              <w:left w:val="nil"/>
              <w:right w:val="single" w:sz="4" w:space="0" w:color="auto"/>
            </w:tcBorders>
            <w:shd w:val="clear" w:color="auto" w:fill="auto"/>
            <w:vAlign w:val="center"/>
          </w:tcPr>
          <w:p w14:paraId="17F38059" w14:textId="77777777" w:rsidR="00816677" w:rsidRPr="0054775B" w:rsidRDefault="00816677" w:rsidP="00E1799C">
            <w:pPr>
              <w:pStyle w:val="2024TABLETEXT"/>
              <w:framePr w:hSpace="0" w:wrap="auto" w:vAnchor="margin" w:yAlign="inline"/>
              <w:suppressOverlap w:val="0"/>
            </w:pPr>
          </w:p>
        </w:tc>
        <w:tc>
          <w:tcPr>
            <w:tcW w:w="1229" w:type="dxa"/>
            <w:vMerge/>
            <w:tcBorders>
              <w:left w:val="nil"/>
              <w:right w:val="single" w:sz="4" w:space="0" w:color="auto"/>
            </w:tcBorders>
            <w:shd w:val="clear" w:color="auto" w:fill="auto"/>
            <w:vAlign w:val="center"/>
          </w:tcPr>
          <w:p w14:paraId="738F91E6" w14:textId="77777777" w:rsidR="00816677" w:rsidRPr="0054775B" w:rsidRDefault="00816677" w:rsidP="00E1799C">
            <w:pPr>
              <w:pStyle w:val="2024TABLETEXT"/>
              <w:framePr w:hSpace="0" w:wrap="auto" w:vAnchor="margin" w:yAlign="inline"/>
              <w:suppressOverlap w:val="0"/>
            </w:pPr>
          </w:p>
        </w:tc>
        <w:tc>
          <w:tcPr>
            <w:tcW w:w="758" w:type="dxa"/>
            <w:tcBorders>
              <w:top w:val="nil"/>
              <w:left w:val="nil"/>
              <w:bottom w:val="single" w:sz="4" w:space="0" w:color="auto"/>
              <w:right w:val="single" w:sz="4" w:space="0" w:color="auto"/>
            </w:tcBorders>
            <w:shd w:val="clear" w:color="auto" w:fill="auto"/>
            <w:vAlign w:val="center"/>
          </w:tcPr>
          <w:p w14:paraId="65DD0DE7" w14:textId="31E34A72" w:rsidR="00816677" w:rsidRPr="0054775B" w:rsidRDefault="00816677" w:rsidP="00E1799C">
            <w:pPr>
              <w:pStyle w:val="2024TABLETEXT"/>
              <w:framePr w:hSpace="0" w:wrap="auto" w:vAnchor="margin" w:yAlign="inline"/>
              <w:suppressOverlap w:val="0"/>
            </w:pPr>
            <w:r w:rsidRPr="0054775B">
              <w:t>7</w:t>
            </w:r>
          </w:p>
        </w:tc>
        <w:tc>
          <w:tcPr>
            <w:tcW w:w="5557" w:type="dxa"/>
            <w:tcBorders>
              <w:top w:val="nil"/>
              <w:left w:val="nil"/>
              <w:bottom w:val="single" w:sz="4" w:space="0" w:color="auto"/>
              <w:right w:val="single" w:sz="4" w:space="0" w:color="auto"/>
            </w:tcBorders>
            <w:shd w:val="clear" w:color="auto" w:fill="auto"/>
          </w:tcPr>
          <w:p w14:paraId="6C6B3F97" w14:textId="77ABC38A" w:rsidR="00816677" w:rsidRPr="0054775B" w:rsidRDefault="00816677" w:rsidP="00E1799C">
            <w:pPr>
              <w:pStyle w:val="2024TABLETEXT"/>
              <w:framePr w:hSpace="0" w:wrap="auto" w:vAnchor="margin" w:yAlign="inline"/>
              <w:suppressOverlap w:val="0"/>
            </w:pPr>
            <w:r w:rsidRPr="0054775B">
              <w:t>Cognitive function burden</w:t>
            </w:r>
          </w:p>
        </w:tc>
      </w:tr>
      <w:tr w:rsidR="00CA696B" w:rsidRPr="0054775B" w14:paraId="5B3E7988" w14:textId="77777777" w:rsidTr="001428E8">
        <w:trPr>
          <w:trHeight w:val="95"/>
        </w:trPr>
        <w:tc>
          <w:tcPr>
            <w:tcW w:w="0" w:type="auto"/>
            <w:vMerge/>
            <w:tcBorders>
              <w:left w:val="single" w:sz="4" w:space="0" w:color="auto"/>
              <w:bottom w:val="single" w:sz="4" w:space="0" w:color="auto"/>
              <w:right w:val="single" w:sz="4" w:space="0" w:color="auto"/>
            </w:tcBorders>
            <w:shd w:val="clear" w:color="auto" w:fill="auto"/>
            <w:vAlign w:val="center"/>
          </w:tcPr>
          <w:p w14:paraId="0748C78A" w14:textId="77777777" w:rsidR="00816677" w:rsidRPr="0054775B" w:rsidRDefault="00816677" w:rsidP="00E1799C">
            <w:pPr>
              <w:pStyle w:val="2024TABLETEXT"/>
              <w:framePr w:hSpace="0" w:wrap="auto" w:vAnchor="margin" w:yAlign="inline"/>
              <w:suppressOverlap w:val="0"/>
            </w:pPr>
          </w:p>
        </w:tc>
        <w:tc>
          <w:tcPr>
            <w:tcW w:w="1266" w:type="dxa"/>
            <w:vMerge/>
            <w:tcBorders>
              <w:left w:val="nil"/>
              <w:bottom w:val="single" w:sz="4" w:space="0" w:color="auto"/>
              <w:right w:val="single" w:sz="4" w:space="0" w:color="auto"/>
            </w:tcBorders>
            <w:shd w:val="clear" w:color="auto" w:fill="auto"/>
            <w:vAlign w:val="center"/>
          </w:tcPr>
          <w:p w14:paraId="0E1BBE25" w14:textId="77777777" w:rsidR="00816677" w:rsidRPr="0054775B" w:rsidRDefault="00816677" w:rsidP="00E1799C">
            <w:pPr>
              <w:pStyle w:val="2024TABLETEXT"/>
              <w:framePr w:hSpace="0" w:wrap="auto" w:vAnchor="margin" w:yAlign="inline"/>
              <w:suppressOverlap w:val="0"/>
            </w:pPr>
          </w:p>
        </w:tc>
        <w:tc>
          <w:tcPr>
            <w:tcW w:w="1229" w:type="dxa"/>
            <w:vMerge/>
            <w:tcBorders>
              <w:left w:val="nil"/>
              <w:bottom w:val="single" w:sz="4" w:space="0" w:color="auto"/>
              <w:right w:val="single" w:sz="4" w:space="0" w:color="auto"/>
            </w:tcBorders>
            <w:shd w:val="clear" w:color="auto" w:fill="auto"/>
            <w:vAlign w:val="center"/>
          </w:tcPr>
          <w:p w14:paraId="595A5015" w14:textId="77777777" w:rsidR="00816677" w:rsidRPr="0054775B" w:rsidRDefault="00816677" w:rsidP="00E1799C">
            <w:pPr>
              <w:pStyle w:val="2024TABLETEXT"/>
              <w:framePr w:hSpace="0" w:wrap="auto" w:vAnchor="margin" w:yAlign="inline"/>
              <w:suppressOverlap w:val="0"/>
            </w:pPr>
          </w:p>
        </w:tc>
        <w:tc>
          <w:tcPr>
            <w:tcW w:w="758" w:type="dxa"/>
            <w:tcBorders>
              <w:top w:val="nil"/>
              <w:left w:val="nil"/>
              <w:bottom w:val="single" w:sz="4" w:space="0" w:color="auto"/>
              <w:right w:val="single" w:sz="4" w:space="0" w:color="auto"/>
            </w:tcBorders>
            <w:shd w:val="clear" w:color="auto" w:fill="auto"/>
            <w:vAlign w:val="center"/>
          </w:tcPr>
          <w:p w14:paraId="78BF09C5" w14:textId="137973F4" w:rsidR="00816677" w:rsidRPr="0054775B" w:rsidRDefault="00816677" w:rsidP="00E1799C">
            <w:pPr>
              <w:pStyle w:val="2024TABLETEXT"/>
              <w:framePr w:hSpace="0" w:wrap="auto" w:vAnchor="margin" w:yAlign="inline"/>
              <w:suppressOverlap w:val="0"/>
            </w:pPr>
            <w:r w:rsidRPr="0054775B">
              <w:t>7</w:t>
            </w:r>
          </w:p>
        </w:tc>
        <w:tc>
          <w:tcPr>
            <w:tcW w:w="5557" w:type="dxa"/>
            <w:tcBorders>
              <w:top w:val="nil"/>
              <w:left w:val="nil"/>
              <w:bottom w:val="single" w:sz="4" w:space="0" w:color="auto"/>
              <w:right w:val="single" w:sz="4" w:space="0" w:color="auto"/>
            </w:tcBorders>
            <w:shd w:val="clear" w:color="auto" w:fill="auto"/>
          </w:tcPr>
          <w:p w14:paraId="53E6CA18" w14:textId="356223FE" w:rsidR="00816677" w:rsidRPr="0054775B" w:rsidRDefault="00816677" w:rsidP="00E1799C">
            <w:pPr>
              <w:pStyle w:val="2024TABLETEXT"/>
              <w:framePr w:hSpace="0" w:wrap="auto" w:vAnchor="margin" w:yAlign="inline"/>
              <w:suppressOverlap w:val="0"/>
            </w:pPr>
            <w:r w:rsidRPr="0054775B">
              <w:t>Medication use</w:t>
            </w:r>
          </w:p>
        </w:tc>
      </w:tr>
    </w:tbl>
    <w:p w14:paraId="5E5F2F52" w14:textId="77777777" w:rsidR="009B3010" w:rsidRPr="0054775B" w:rsidRDefault="009B3010" w:rsidP="006F63D3">
      <w:pPr>
        <w:pStyle w:val="2024TABLEFOOTER"/>
      </w:pPr>
      <w:r w:rsidRPr="0054775B">
        <w:t>Abbreviations: BP=blood pressure; HRQoL=health-related quality of life; NTWC=Natural Therapies Working Group</w:t>
      </w:r>
    </w:p>
    <w:p w14:paraId="06C947A0" w14:textId="3BCB5717" w:rsidR="00764746" w:rsidRPr="0054775B" w:rsidRDefault="009B3010" w:rsidP="006F63D3">
      <w:pPr>
        <w:pStyle w:val="2024TABLEFOOTER"/>
      </w:pPr>
      <w:r w:rsidRPr="0054775B">
        <w:t xml:space="preserve">*1-3 = of limited importance to decision making; 4-6 = important, but not critical, to decision making; 7-9 = critical for decision-making </w:t>
      </w:r>
    </w:p>
    <w:p w14:paraId="7F63C681" w14:textId="77777777" w:rsidR="003D6D34" w:rsidRPr="0054775B" w:rsidRDefault="003D6D34" w:rsidP="009E6F7F">
      <w:pPr>
        <w:pStyle w:val="2024HEADER3"/>
        <w:rPr>
          <w:rFonts w:ascii="Aptos" w:hAnsi="Aptos"/>
        </w:rPr>
      </w:pPr>
      <w:r w:rsidRPr="0054775B">
        <w:rPr>
          <w:rFonts w:ascii="Aptos" w:hAnsi="Aptos"/>
        </w:rPr>
        <w:t>Search findings</w:t>
      </w:r>
    </w:p>
    <w:p w14:paraId="747778AC" w14:textId="54A77AE3" w:rsidR="003D6D34" w:rsidRPr="0054775B" w:rsidRDefault="003D6D34" w:rsidP="009E6F7F">
      <w:r w:rsidRPr="0054775B">
        <w:t xml:space="preserve">In total, </w:t>
      </w:r>
      <w:r w:rsidR="00E3109A" w:rsidRPr="0054775B">
        <w:t>585</w:t>
      </w:r>
      <w:r w:rsidRPr="0054775B">
        <w:t xml:space="preserve"> </w:t>
      </w:r>
      <w:r w:rsidR="003C2AC9">
        <w:t>reviews</w:t>
      </w:r>
      <w:r w:rsidR="003C2AC9" w:rsidRPr="0054775B">
        <w:t xml:space="preserve"> </w:t>
      </w:r>
      <w:r w:rsidR="00D61298" w:rsidRPr="0054775B">
        <w:t>were screened following de-duplication. One</w:t>
      </w:r>
      <w:r w:rsidR="00D61298" w:rsidRPr="0054775B" w:rsidDel="003C2AC9">
        <w:t xml:space="preserve"> </w:t>
      </w:r>
      <w:r w:rsidR="003C2AC9">
        <w:t>review</w:t>
      </w:r>
      <w:r w:rsidR="003C2AC9" w:rsidRPr="0054775B">
        <w:t xml:space="preserve"> </w:t>
      </w:r>
      <w:r w:rsidR="00D61298" w:rsidRPr="0054775B">
        <w:t>provided by the Department’s call for evidence was relevant to this population-</w:t>
      </w:r>
      <w:r w:rsidR="0032560B">
        <w:t>supplement pair</w:t>
      </w:r>
      <w:r w:rsidR="00D61298" w:rsidRPr="0054775B">
        <w:t xml:space="preserve">, which was already identified in database searching and excluded as a duplicate </w:t>
      </w:r>
      <w:r w:rsidR="00CE4E9C" w:rsidRPr="0054775B">
        <w:t xml:space="preserve">(see Appendix </w:t>
      </w:r>
      <w:r w:rsidR="006736A9">
        <w:t>C</w:t>
      </w:r>
      <w:r w:rsidR="00BC6C8E">
        <w:t>2</w:t>
      </w:r>
      <w:r w:rsidR="00CE4E9C" w:rsidRPr="0054775B">
        <w:t>)</w:t>
      </w:r>
      <w:r w:rsidR="00351628" w:rsidRPr="0054775B">
        <w:t>.</w:t>
      </w:r>
      <w:r w:rsidRPr="0054775B">
        <w:t xml:space="preserve"> After title and abstract screening, 2</w:t>
      </w:r>
      <w:r w:rsidR="00B0060D" w:rsidRPr="0054775B">
        <w:t>4</w:t>
      </w:r>
      <w:r w:rsidRPr="0054775B">
        <w:t xml:space="preserve"> </w:t>
      </w:r>
      <w:r w:rsidR="0029059B">
        <w:t>reviews</w:t>
      </w:r>
      <w:r w:rsidR="0029059B" w:rsidRPr="0054775B">
        <w:t xml:space="preserve"> </w:t>
      </w:r>
      <w:r w:rsidRPr="0054775B">
        <w:t xml:space="preserve">were </w:t>
      </w:r>
      <w:r w:rsidR="00CE4E9C" w:rsidRPr="0054775B">
        <w:t>sought for retrieval for</w:t>
      </w:r>
      <w:r w:rsidRPr="0054775B">
        <w:t xml:space="preserve"> full-text screening: </w:t>
      </w:r>
    </w:p>
    <w:p w14:paraId="6596683C" w14:textId="1C0F097A" w:rsidR="003D6D34" w:rsidRPr="0054775B" w:rsidRDefault="00150F27" w:rsidP="00107BEE">
      <w:pPr>
        <w:pStyle w:val="ListParagraph"/>
        <w:numPr>
          <w:ilvl w:val="0"/>
          <w:numId w:val="6"/>
        </w:numPr>
      </w:pPr>
      <w:r w:rsidRPr="0054775B">
        <w:t>1</w:t>
      </w:r>
      <w:r w:rsidR="003D6D34" w:rsidRPr="0054775B">
        <w:t xml:space="preserve"> </w:t>
      </w:r>
      <w:r w:rsidR="003C2AC9">
        <w:t>review</w:t>
      </w:r>
      <w:r w:rsidR="003C2AC9" w:rsidRPr="0054775B">
        <w:t xml:space="preserve"> </w:t>
      </w:r>
      <w:r w:rsidR="003D6D34" w:rsidRPr="0054775B">
        <w:t>w</w:t>
      </w:r>
      <w:r w:rsidRPr="0054775B">
        <w:t>as</w:t>
      </w:r>
      <w:r w:rsidR="003D6D34" w:rsidRPr="0054775B">
        <w:t xml:space="preserve"> ongoing (</w:t>
      </w:r>
      <w:r w:rsidR="007D2E60" w:rsidRPr="0054775B">
        <w:t xml:space="preserve">citation details recorded in Appendix </w:t>
      </w:r>
      <w:r w:rsidR="00BC6C8E">
        <w:t>C4</w:t>
      </w:r>
      <w:r w:rsidR="003D6D34" w:rsidRPr="0054775B">
        <w:t>)</w:t>
      </w:r>
    </w:p>
    <w:p w14:paraId="2918D76E" w14:textId="29438140" w:rsidR="00150F27" w:rsidRPr="0054775B" w:rsidRDefault="00150F27" w:rsidP="00107BEE">
      <w:pPr>
        <w:pStyle w:val="ListParagraph"/>
        <w:numPr>
          <w:ilvl w:val="0"/>
          <w:numId w:val="6"/>
        </w:numPr>
      </w:pPr>
      <w:r w:rsidRPr="0054775B">
        <w:t xml:space="preserve">1 </w:t>
      </w:r>
      <w:r w:rsidR="003C2AC9">
        <w:t>review</w:t>
      </w:r>
      <w:r w:rsidRPr="0054775B" w:rsidDel="003C2AC9">
        <w:t xml:space="preserve"> </w:t>
      </w:r>
      <w:r w:rsidRPr="0054775B">
        <w:t xml:space="preserve">was published in languages other than English (citation details recorded in “Reviews awaiting classification” table in Appendix </w:t>
      </w:r>
      <w:r w:rsidR="00BC6C8E">
        <w:t>C3</w:t>
      </w:r>
      <w:r w:rsidRPr="0054775B">
        <w:t xml:space="preserve">) </w:t>
      </w:r>
    </w:p>
    <w:p w14:paraId="5F19177F" w14:textId="4E70C7A1" w:rsidR="00CE4E9C" w:rsidRPr="0054775B" w:rsidRDefault="00CE4E9C" w:rsidP="00107BEE">
      <w:pPr>
        <w:pStyle w:val="ListParagraph"/>
        <w:numPr>
          <w:ilvl w:val="0"/>
          <w:numId w:val="6"/>
        </w:numPr>
      </w:pPr>
      <w:r w:rsidRPr="0054775B">
        <w:t xml:space="preserve">16 </w:t>
      </w:r>
      <w:r w:rsidR="003C2AC9">
        <w:t>reviews</w:t>
      </w:r>
      <w:r w:rsidR="003C2AC9" w:rsidRPr="0054775B">
        <w:t xml:space="preserve"> </w:t>
      </w:r>
      <w:r w:rsidRPr="0054775B">
        <w:t xml:space="preserve">did not meet inclusion criteria (citation details and </w:t>
      </w:r>
      <w:r w:rsidR="001332AF" w:rsidRPr="0054775B">
        <w:t xml:space="preserve">reasons for exclusion recorded in Appendix </w:t>
      </w:r>
      <w:r w:rsidR="00BC6C8E">
        <w:t>C1</w:t>
      </w:r>
      <w:r w:rsidRPr="0054775B">
        <w:t xml:space="preserve">) </w:t>
      </w:r>
    </w:p>
    <w:p w14:paraId="0EF603C7" w14:textId="298D7148" w:rsidR="008308E9" w:rsidRPr="0054775B" w:rsidRDefault="003D6D34" w:rsidP="009E6F7F">
      <w:r w:rsidRPr="0054775B">
        <w:lastRenderedPageBreak/>
        <w:t>A final</w:t>
      </w:r>
      <w:r w:rsidR="00351628" w:rsidRPr="0054775B">
        <w:t xml:space="preserve"> </w:t>
      </w:r>
      <w:r w:rsidR="00806CD8" w:rsidRPr="0054775B">
        <w:t xml:space="preserve">6 </w:t>
      </w:r>
      <w:r w:rsidR="00104480" w:rsidRPr="0054775B">
        <w:t xml:space="preserve">reviews </w:t>
      </w:r>
      <w:r w:rsidRPr="0054775B">
        <w:t xml:space="preserve">met the inclusion criteria. Characteristics of included reviews are presented in </w:t>
      </w:r>
      <w:r w:rsidR="00FB0A70" w:rsidRPr="0054775B">
        <w:t xml:space="preserve">Appendix </w:t>
      </w:r>
      <w:r w:rsidR="00BC6C8E">
        <w:t>D</w:t>
      </w:r>
      <w:r w:rsidRPr="0054775B">
        <w:t>. A full PRISMA flowchart is presented below.</w:t>
      </w:r>
      <w:r w:rsidRPr="0054775B">
        <w:rPr>
          <w:highlight w:val="yellow"/>
        </w:rPr>
        <w:t xml:space="preserve"> </w:t>
      </w:r>
    </w:p>
    <w:p w14:paraId="66EBF8A4" w14:textId="5E28C379" w:rsidR="003D6D34" w:rsidRPr="0054775B" w:rsidRDefault="003D6D34" w:rsidP="006F63D3">
      <w:pPr>
        <w:pStyle w:val="2024TABLECAPTION"/>
        <w:rPr>
          <w:rFonts w:ascii="Aptos" w:hAnsi="Aptos"/>
        </w:rPr>
      </w:pPr>
      <w:bookmarkStart w:id="109" w:name="_Toc178348013"/>
      <w:r w:rsidRPr="0054775B">
        <w:rPr>
          <w:rFonts w:ascii="Aptos" w:hAnsi="Aptos"/>
        </w:rPr>
        <w:t xml:space="preserve">Figure </w:t>
      </w:r>
      <w:r w:rsidR="002F1F6C" w:rsidRPr="001428E8">
        <w:rPr>
          <w:b w:val="0"/>
          <w:i/>
        </w:rPr>
        <w:fldChar w:fldCharType="begin"/>
      </w:r>
      <w:r w:rsidR="002F1F6C" w:rsidRPr="0054775B">
        <w:rPr>
          <w:rFonts w:ascii="Aptos" w:hAnsi="Aptos"/>
        </w:rPr>
        <w:instrText xml:space="preserve"> SEQ Figure \* ARABIC </w:instrText>
      </w:r>
      <w:r w:rsidR="002F1F6C" w:rsidRPr="001428E8">
        <w:rPr>
          <w:b w:val="0"/>
          <w:i/>
        </w:rPr>
        <w:fldChar w:fldCharType="separate"/>
      </w:r>
      <w:r w:rsidR="002C256B">
        <w:rPr>
          <w:noProof/>
        </w:rPr>
        <w:t>10</w:t>
      </w:r>
      <w:r w:rsidR="002F1F6C" w:rsidRPr="001428E8">
        <w:rPr>
          <w:b w:val="0"/>
          <w:i/>
        </w:rPr>
        <w:fldChar w:fldCharType="end"/>
      </w:r>
      <w:r w:rsidRPr="0054775B">
        <w:rPr>
          <w:rFonts w:ascii="Aptos" w:hAnsi="Aptos"/>
        </w:rPr>
        <w:t xml:space="preserve">. PRISMA flowchart – </w:t>
      </w:r>
      <w:r w:rsidR="00995456" w:rsidRPr="0054775B">
        <w:rPr>
          <w:rFonts w:ascii="Aptos" w:hAnsi="Aptos"/>
        </w:rPr>
        <w:t>Headache and migraine, magnesium</w:t>
      </w:r>
      <w:bookmarkEnd w:id="109"/>
    </w:p>
    <w:p w14:paraId="05AE995A" w14:textId="77777777" w:rsidR="003D6D34" w:rsidRPr="0054775B" w:rsidRDefault="003D6D34" w:rsidP="009E6F7F">
      <w:r w:rsidRPr="0054775B">
        <w:rPr>
          <w:noProof/>
          <w:highlight w:val="yellow"/>
        </w:rPr>
        <mc:AlternateContent>
          <mc:Choice Requires="wpg">
            <w:drawing>
              <wp:anchor distT="0" distB="0" distL="114300" distR="114300" simplePos="0" relativeHeight="251658248" behindDoc="0" locked="0" layoutInCell="1" allowOverlap="1" wp14:anchorId="089FE8F6" wp14:editId="3DC1464C">
                <wp:simplePos x="0" y="0"/>
                <wp:positionH relativeFrom="column">
                  <wp:posOffset>10160</wp:posOffset>
                </wp:positionH>
                <wp:positionV relativeFrom="paragraph">
                  <wp:posOffset>153670</wp:posOffset>
                </wp:positionV>
                <wp:extent cx="5339080" cy="4646295"/>
                <wp:effectExtent l="0" t="0" r="7620" b="14605"/>
                <wp:wrapSquare wrapText="bothSides"/>
                <wp:docPr id="1324423648" name="Group 1324423648"/>
                <wp:cNvGraphicFramePr/>
                <a:graphic xmlns:a="http://schemas.openxmlformats.org/drawingml/2006/main">
                  <a:graphicData uri="http://schemas.microsoft.com/office/word/2010/wordprocessingGroup">
                    <wpg:wgp>
                      <wpg:cNvGrpSpPr/>
                      <wpg:grpSpPr>
                        <a:xfrm>
                          <a:off x="0" y="0"/>
                          <a:ext cx="5339080" cy="4646295"/>
                          <a:chOff x="0" y="0"/>
                          <a:chExt cx="5536496" cy="4725667"/>
                        </a:xfrm>
                      </wpg:grpSpPr>
                      <wps:wsp>
                        <wps:cNvPr id="298515193" name="Rectangle 298515193"/>
                        <wps:cNvSpPr/>
                        <wps:spPr>
                          <a:xfrm>
                            <a:off x="3180705" y="425302"/>
                            <a:ext cx="2355790" cy="83947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0262C6A" w14:textId="77777777" w:rsidR="003D6D34" w:rsidRPr="000A34EA" w:rsidRDefault="003D6D34" w:rsidP="006F63D3">
                              <w:pPr>
                                <w:pStyle w:val="2024-PRISMA"/>
                              </w:pPr>
                              <w:r w:rsidRPr="000A34EA">
                                <w:t>Records removed before screening:</w:t>
                              </w:r>
                            </w:p>
                            <w:p w14:paraId="1382C41D" w14:textId="0D512EF3" w:rsidR="003D6D34" w:rsidRPr="000A34EA" w:rsidRDefault="003D6D34" w:rsidP="006F63D3">
                              <w:pPr>
                                <w:pStyle w:val="2024-PRISMA"/>
                              </w:pPr>
                              <w:r w:rsidRPr="000A34EA">
                                <w:t xml:space="preserve">Duplicate records removed (n = </w:t>
                              </w:r>
                              <w:r w:rsidR="0099465A">
                                <w:t>2</w:t>
                              </w:r>
                              <w:r w:rsidR="00904459">
                                <w:t>5</w:t>
                              </w:r>
                              <w:r w:rsidRPr="000A34EA">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6756450" name="Rectangle 346756450"/>
                        <wps:cNvSpPr/>
                        <wps:spPr>
                          <a:xfrm>
                            <a:off x="2987749" y="1509823"/>
                            <a:ext cx="1887220" cy="52641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AE88D2B" w14:textId="048D1FD9" w:rsidR="003D6D34" w:rsidRPr="000A34EA" w:rsidRDefault="003D6D34" w:rsidP="006F63D3">
                              <w:pPr>
                                <w:pStyle w:val="2024-PRISMA"/>
                              </w:pPr>
                              <w:r w:rsidRPr="000A34EA">
                                <w:t>Records excluded</w:t>
                              </w:r>
                              <w:r w:rsidR="00A74704">
                                <w:t xml:space="preserve"> </w:t>
                              </w:r>
                              <w:r w:rsidRPr="000A34EA">
                                <w:t xml:space="preserve">(n = </w:t>
                              </w:r>
                              <w:r w:rsidR="0099465A">
                                <w:t>5</w:t>
                              </w:r>
                              <w:r w:rsidR="002C5BC1">
                                <w:t>6</w:t>
                              </w:r>
                              <w:r w:rsidR="00124892">
                                <w:t>1</w:t>
                              </w:r>
                              <w:r w:rsidRPr="000A34EA">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48197054" name="Rectangle 1048197054"/>
                        <wps:cNvSpPr/>
                        <wps:spPr>
                          <a:xfrm>
                            <a:off x="2987749" y="2243470"/>
                            <a:ext cx="2351878" cy="62899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CDD1EDC" w14:textId="77777777" w:rsidR="001D2614" w:rsidRDefault="001D2614" w:rsidP="001D2614">
                              <w:pPr>
                                <w:pStyle w:val="2024-PRISMA"/>
                              </w:pPr>
                              <w:r>
                                <w:t>Conference abstracts (n = 0)</w:t>
                              </w:r>
                            </w:p>
                            <w:p w14:paraId="7756312F" w14:textId="0E6174B1" w:rsidR="003D6D34" w:rsidRPr="000A34EA" w:rsidRDefault="003D6D34" w:rsidP="006F63D3">
                              <w:pPr>
                                <w:pStyle w:val="2024-PRISMA"/>
                              </w:pPr>
                              <w:r>
                                <w:t>Ongoing study</w:t>
                              </w:r>
                              <w:r w:rsidRPr="000A34EA">
                                <w:t xml:space="preserve"> (n</w:t>
                              </w:r>
                              <w:r>
                                <w:t xml:space="preserve"> = </w:t>
                              </w:r>
                              <w:r w:rsidR="00AB57F2">
                                <w:t>1</w:t>
                              </w:r>
                              <w:r w:rsidRPr="000A34EA">
                                <w:t>)</w:t>
                              </w:r>
                            </w:p>
                            <w:p w14:paraId="40A9D0A2" w14:textId="28B69754" w:rsidR="003D6D34" w:rsidRPr="000A34EA" w:rsidRDefault="0097733F" w:rsidP="006F63D3">
                              <w:pPr>
                                <w:pStyle w:val="2024-PRISMA"/>
                              </w:pPr>
                              <w:r>
                                <w:t>Reviews</w:t>
                              </w:r>
                              <w:r w:rsidRPr="008C6127">
                                <w:t xml:space="preserve"> </w:t>
                              </w:r>
                              <w:r w:rsidR="003D6D34" w:rsidRPr="000A34EA">
                                <w:t xml:space="preserve">Awaiting Classification (n = </w:t>
                              </w:r>
                              <w:r w:rsidR="00AB57F2">
                                <w:t>1</w:t>
                              </w:r>
                              <w:r w:rsidR="003D6D34" w:rsidRPr="000A34EA">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63022213" name="Rectangle 963022213"/>
                        <wps:cNvSpPr/>
                        <wps:spPr>
                          <a:xfrm>
                            <a:off x="2987749" y="2955850"/>
                            <a:ext cx="2179320" cy="1206221"/>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FC976A4" w14:textId="182686C8" w:rsidR="003D6D34" w:rsidRPr="000A34EA" w:rsidRDefault="003D6D34" w:rsidP="006F63D3">
                              <w:pPr>
                                <w:pStyle w:val="2024-PRISMA"/>
                              </w:pPr>
                              <w:r w:rsidRPr="000A34EA">
                                <w:t xml:space="preserve">Reports excluded (n = </w:t>
                              </w:r>
                              <w:r>
                                <w:t>1</w:t>
                              </w:r>
                              <w:r w:rsidR="00160C08">
                                <w:t>6</w:t>
                              </w:r>
                              <w:r w:rsidRPr="000A34EA">
                                <w:t>):</w:t>
                              </w:r>
                            </w:p>
                            <w:p w14:paraId="7ED96231" w14:textId="77777777" w:rsidR="003D6D34" w:rsidRPr="000A34EA" w:rsidRDefault="003D6D34" w:rsidP="006F63D3">
                              <w:pPr>
                                <w:pStyle w:val="2024-PRISMA"/>
                              </w:pPr>
                              <w:r w:rsidRPr="000A34EA">
                                <w:t xml:space="preserve">Wrong study type (n = </w:t>
                              </w:r>
                              <w:r>
                                <w:t>1</w:t>
                              </w:r>
                              <w:r w:rsidRPr="000A34EA">
                                <w:t>)</w:t>
                              </w:r>
                            </w:p>
                            <w:p w14:paraId="7498F23A" w14:textId="08FF7056" w:rsidR="003D6D34" w:rsidRDefault="003D6D34" w:rsidP="006F63D3">
                              <w:pPr>
                                <w:pStyle w:val="2024-PRISMA"/>
                              </w:pPr>
                              <w:r>
                                <w:t xml:space="preserve">Wrong population (n = </w:t>
                              </w:r>
                              <w:r w:rsidR="005F4AE9">
                                <w:t>2</w:t>
                              </w:r>
                              <w:r>
                                <w:t>)</w:t>
                              </w:r>
                            </w:p>
                            <w:p w14:paraId="2A9181A6" w14:textId="5DF84C0C" w:rsidR="003D6D34" w:rsidRDefault="003D6D34" w:rsidP="006F63D3">
                              <w:pPr>
                                <w:pStyle w:val="2024-PRISMA"/>
                              </w:pPr>
                              <w:r w:rsidRPr="000A34EA">
                                <w:t xml:space="preserve">Wrong intervention (n = </w:t>
                              </w:r>
                              <w:r w:rsidR="009F3060">
                                <w:t>4</w:t>
                              </w:r>
                              <w:r w:rsidRPr="000A34EA">
                                <w:t>)</w:t>
                              </w:r>
                            </w:p>
                            <w:p w14:paraId="20B56B93" w14:textId="5127A098" w:rsidR="009F3060" w:rsidRDefault="009F3060" w:rsidP="006F63D3">
                              <w:pPr>
                                <w:pStyle w:val="2024-PRISMA"/>
                              </w:pPr>
                              <w:r w:rsidRPr="000A34EA">
                                <w:t xml:space="preserve">Wrong </w:t>
                              </w:r>
                              <w:r>
                                <w:t>outcomes</w:t>
                              </w:r>
                              <w:r w:rsidRPr="000A34EA">
                                <w:t xml:space="preserve"> (n = </w:t>
                              </w:r>
                              <w:r>
                                <w:t>1</w:t>
                              </w:r>
                              <w:r w:rsidRPr="000A34EA">
                                <w:t>)</w:t>
                              </w:r>
                            </w:p>
                            <w:p w14:paraId="26F58E1A" w14:textId="39EAC40C" w:rsidR="003D6D34" w:rsidRPr="000A34EA" w:rsidRDefault="003D6D34" w:rsidP="006F63D3">
                              <w:pPr>
                                <w:pStyle w:val="2024-PRISMA"/>
                              </w:pPr>
                              <w:r>
                                <w:t xml:space="preserve">Does not meet minimum criteria for systematic review (n = </w:t>
                              </w:r>
                              <w:r w:rsidR="00AB57F2">
                                <w:t>8</w:t>
                              </w:r>
                              <w: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70030128" name="Straight Arrow Connector 670030128"/>
                        <wps:cNvCnPr/>
                        <wps:spPr>
                          <a:xfrm>
                            <a:off x="2424224" y="975833"/>
                            <a:ext cx="756482"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627468740" name="Straight Arrow Connector 1627468740"/>
                        <wps:cNvCnPr/>
                        <wps:spPr>
                          <a:xfrm>
                            <a:off x="2392326" y="1720112"/>
                            <a:ext cx="563245"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955867636" name="Straight Arrow Connector 1955867636"/>
                        <wps:cNvCnPr/>
                        <wps:spPr>
                          <a:xfrm>
                            <a:off x="2402958" y="2421861"/>
                            <a:ext cx="563245"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913963716" name="Straight Arrow Connector 1913963716"/>
                        <wps:cNvCnPr/>
                        <wps:spPr>
                          <a:xfrm>
                            <a:off x="2413591" y="3155507"/>
                            <a:ext cx="563245"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118358648" name="Flowchart: Alternate Process 31"/>
                        <wps:cNvSpPr/>
                        <wps:spPr>
                          <a:xfrm rot="16200000">
                            <a:off x="-294081" y="701927"/>
                            <a:ext cx="1009400" cy="355178"/>
                          </a:xfrm>
                          <a:prstGeom prst="flowChartAlternateProcess">
                            <a:avLst/>
                          </a:prstGeom>
                          <a:solidFill>
                            <a:schemeClr val="accent5">
                              <a:lumMod val="60000"/>
                              <a:lumOff val="40000"/>
                            </a:schemeClr>
                          </a:solidFill>
                          <a:ln>
                            <a:solidFill>
                              <a:schemeClr val="tx1"/>
                            </a:solidFill>
                          </a:ln>
                        </wps:spPr>
                        <wps:style>
                          <a:lnRef idx="2">
                            <a:schemeClr val="accent4">
                              <a:shade val="50000"/>
                            </a:schemeClr>
                          </a:lnRef>
                          <a:fillRef idx="1">
                            <a:schemeClr val="accent4"/>
                          </a:fillRef>
                          <a:effectRef idx="0">
                            <a:schemeClr val="accent4"/>
                          </a:effectRef>
                          <a:fontRef idx="minor">
                            <a:schemeClr val="lt1"/>
                          </a:fontRef>
                        </wps:style>
                        <wps:txbx>
                          <w:txbxContent>
                            <w:p w14:paraId="3AD9D4DA" w14:textId="77777777" w:rsidR="003D6D34" w:rsidRPr="00E729F7" w:rsidRDefault="003D6D34" w:rsidP="006F63D3">
                              <w:pPr>
                                <w:pStyle w:val="2024-PRISMA"/>
                                <w:rPr>
                                  <w:b/>
                                </w:rPr>
                              </w:pPr>
                              <w:r w:rsidRPr="00E729F7">
                                <w:rPr>
                                  <w:b/>
                                </w:rPr>
                                <w:t>Identification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69848125" name="Flowchart: Alternate Process 32"/>
                        <wps:cNvSpPr/>
                        <wps:spPr>
                          <a:xfrm rot="16200000">
                            <a:off x="-1011675" y="2506306"/>
                            <a:ext cx="2444743" cy="355175"/>
                          </a:xfrm>
                          <a:prstGeom prst="flowChartAlternateProcess">
                            <a:avLst/>
                          </a:prstGeom>
                          <a:solidFill>
                            <a:schemeClr val="accent5">
                              <a:lumMod val="60000"/>
                              <a:lumOff val="40000"/>
                            </a:schemeClr>
                          </a:solidFill>
                          <a:ln>
                            <a:solidFill>
                              <a:schemeClr val="tx1"/>
                            </a:solidFill>
                          </a:ln>
                        </wps:spPr>
                        <wps:style>
                          <a:lnRef idx="2">
                            <a:schemeClr val="accent4">
                              <a:shade val="50000"/>
                            </a:schemeClr>
                          </a:lnRef>
                          <a:fillRef idx="1">
                            <a:schemeClr val="accent4"/>
                          </a:fillRef>
                          <a:effectRef idx="0">
                            <a:schemeClr val="accent4"/>
                          </a:effectRef>
                          <a:fontRef idx="minor">
                            <a:schemeClr val="lt1"/>
                          </a:fontRef>
                        </wps:style>
                        <wps:txbx>
                          <w:txbxContent>
                            <w:p w14:paraId="703FA029" w14:textId="77777777" w:rsidR="003D6D34" w:rsidRPr="00E729F7" w:rsidRDefault="003D6D34" w:rsidP="00E729F7">
                              <w:pPr>
                                <w:pStyle w:val="2024-PRISMA"/>
                                <w:jc w:val="center"/>
                                <w:rPr>
                                  <w:b/>
                                </w:rPr>
                              </w:pPr>
                              <w:r w:rsidRPr="00E729F7">
                                <w:rPr>
                                  <w:b/>
                                </w:rPr>
                                <w:t>Screening</w:t>
                              </w:r>
                            </w:p>
                            <w:p w14:paraId="53F0409A" w14:textId="77777777" w:rsidR="003D6D34" w:rsidRPr="00E729F7" w:rsidRDefault="003D6D34" w:rsidP="00E729F7">
                              <w:pPr>
                                <w:pStyle w:val="2024-PRISMA"/>
                                <w:jc w:val="center"/>
                                <w:rPr>
                                  <w: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43290960" name="Flowchart: Alternate Process 33"/>
                        <wps:cNvSpPr/>
                        <wps:spPr>
                          <a:xfrm rot="16200000">
                            <a:off x="-149378" y="4196974"/>
                            <a:ext cx="711091" cy="346295"/>
                          </a:xfrm>
                          <a:prstGeom prst="flowChartAlternateProcess">
                            <a:avLst/>
                          </a:prstGeom>
                          <a:solidFill>
                            <a:schemeClr val="accent5">
                              <a:lumMod val="60000"/>
                              <a:lumOff val="40000"/>
                            </a:schemeClr>
                          </a:solidFill>
                          <a:ln>
                            <a:solidFill>
                              <a:schemeClr val="tx1"/>
                            </a:solidFill>
                          </a:ln>
                        </wps:spPr>
                        <wps:style>
                          <a:lnRef idx="2">
                            <a:schemeClr val="accent4">
                              <a:shade val="50000"/>
                            </a:schemeClr>
                          </a:lnRef>
                          <a:fillRef idx="1">
                            <a:schemeClr val="accent4"/>
                          </a:fillRef>
                          <a:effectRef idx="0">
                            <a:schemeClr val="accent4"/>
                          </a:effectRef>
                          <a:fontRef idx="minor">
                            <a:schemeClr val="lt1"/>
                          </a:fontRef>
                        </wps:style>
                        <wps:txbx>
                          <w:txbxContent>
                            <w:p w14:paraId="52A750EF" w14:textId="77777777" w:rsidR="003D6D34" w:rsidRPr="00E729F7" w:rsidRDefault="003D6D34" w:rsidP="006F63D3">
                              <w:pPr>
                                <w:pStyle w:val="2024-PRISMA"/>
                                <w:rPr>
                                  <w:b/>
                                </w:rPr>
                              </w:pPr>
                              <w:r w:rsidRPr="00E729F7">
                                <w:rPr>
                                  <w:b/>
                                </w:rPr>
                                <w:t>Included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69867025" name="Straight Arrow Connector 2069867025"/>
                        <wps:cNvCnPr/>
                        <wps:spPr>
                          <a:xfrm>
                            <a:off x="1339407" y="1233377"/>
                            <a:ext cx="0" cy="28130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902139453" name="Straight Arrow Connector 902139453"/>
                        <wps:cNvCnPr/>
                        <wps:spPr>
                          <a:xfrm>
                            <a:off x="1339407" y="1967023"/>
                            <a:ext cx="0" cy="28130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31471269" name="Straight Arrow Connector 231471269"/>
                        <wps:cNvCnPr/>
                        <wps:spPr>
                          <a:xfrm>
                            <a:off x="1350040" y="2690037"/>
                            <a:ext cx="0" cy="28130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759387185" name="Straight Arrow Connector 759387185"/>
                        <wps:cNvCnPr/>
                        <wps:spPr>
                          <a:xfrm>
                            <a:off x="1339407" y="3296093"/>
                            <a:ext cx="0" cy="74612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09023658" name="Flowchart: Alternate Process 29"/>
                        <wps:cNvSpPr/>
                        <wps:spPr>
                          <a:xfrm>
                            <a:off x="0" y="0"/>
                            <a:ext cx="5536496" cy="291848"/>
                          </a:xfrm>
                          <a:prstGeom prst="flowChartAlternateProcess">
                            <a:avLst/>
                          </a:prstGeom>
                        </wps:spPr>
                        <wps:style>
                          <a:lnRef idx="2">
                            <a:schemeClr val="accent4">
                              <a:shade val="50000"/>
                            </a:schemeClr>
                          </a:lnRef>
                          <a:fillRef idx="1">
                            <a:schemeClr val="accent4"/>
                          </a:fillRef>
                          <a:effectRef idx="0">
                            <a:schemeClr val="accent4"/>
                          </a:effectRef>
                          <a:fontRef idx="minor">
                            <a:schemeClr val="lt1"/>
                          </a:fontRef>
                        </wps:style>
                        <wps:txbx>
                          <w:txbxContent>
                            <w:p w14:paraId="50839D2C" w14:textId="673CD170" w:rsidR="003D6D34" w:rsidRPr="00E729F7" w:rsidRDefault="003D6D34" w:rsidP="00E729F7">
                              <w:pPr>
                                <w:pStyle w:val="2024-PRISMA"/>
                                <w:jc w:val="center"/>
                                <w:rPr>
                                  <w:b/>
                                </w:rPr>
                              </w:pPr>
                              <w:r w:rsidRPr="00E729F7">
                                <w:rPr>
                                  <w:b/>
                                </w:rPr>
                                <w:t xml:space="preserve">Identification of </w:t>
                              </w:r>
                              <w:r w:rsidR="00FF103F">
                                <w:rPr>
                                  <w:b/>
                                </w:rPr>
                                <w:t>reviews</w:t>
                              </w:r>
                              <w:r w:rsidR="00FF103F" w:rsidRPr="00E729F7">
                                <w:rPr>
                                  <w:b/>
                                </w:rPr>
                                <w:t xml:space="preserve"> </w:t>
                              </w:r>
                              <w:r w:rsidRPr="00E729F7">
                                <w:rPr>
                                  <w:b/>
                                </w:rPr>
                                <w:t>via databases and registers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45939448" name="Rectangle 945939448"/>
                        <wps:cNvSpPr/>
                        <wps:spPr>
                          <a:xfrm>
                            <a:off x="499730" y="425302"/>
                            <a:ext cx="2455839" cy="839972"/>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7F45153" w14:textId="0FF0D627" w:rsidR="003D6D34" w:rsidRPr="000A34EA" w:rsidRDefault="003D6D34" w:rsidP="006F63D3">
                              <w:pPr>
                                <w:pStyle w:val="2024-PRISMA"/>
                              </w:pPr>
                              <w:r w:rsidRPr="000A34EA">
                                <w:t>Records identified from:</w:t>
                              </w:r>
                            </w:p>
                            <w:p w14:paraId="52E0C839" w14:textId="3609272D" w:rsidR="003D6D34" w:rsidRPr="000A34EA" w:rsidRDefault="003D6D34" w:rsidP="006F63D3">
                              <w:pPr>
                                <w:pStyle w:val="2024-PRISMA"/>
                              </w:pPr>
                              <w:r w:rsidRPr="000A34EA">
                                <w:t xml:space="preserve">Databases and registers (n = </w:t>
                              </w:r>
                              <w:r w:rsidR="0099465A">
                                <w:t>609</w:t>
                              </w:r>
                              <w:r w:rsidRPr="000A34EA">
                                <w:t>)</w:t>
                              </w:r>
                            </w:p>
                            <w:p w14:paraId="146E2234" w14:textId="77777777" w:rsidR="003D6D34" w:rsidRDefault="003D6D34" w:rsidP="006F63D3">
                              <w:pPr>
                                <w:pStyle w:val="2024-PRISMA"/>
                              </w:pPr>
                              <w:r w:rsidRPr="000A34EA">
                                <w:t>Manual</w:t>
                              </w:r>
                              <w:r>
                                <w:t xml:space="preserve"> or </w:t>
                              </w:r>
                              <w:r w:rsidRPr="000A34EA">
                                <w:t xml:space="preserve">citation </w:t>
                              </w:r>
                              <w:r>
                                <w:t xml:space="preserve">searching </w:t>
                              </w:r>
                              <w:r w:rsidRPr="000A34EA">
                                <w:t xml:space="preserve">(n = </w:t>
                              </w:r>
                              <w:r>
                                <w:t>0</w:t>
                              </w:r>
                              <w:r w:rsidRPr="000A34EA">
                                <w:t>)</w:t>
                              </w:r>
                            </w:p>
                            <w:p w14:paraId="6022E328" w14:textId="48CA1F13" w:rsidR="003D6D34" w:rsidRPr="000A34EA" w:rsidRDefault="003D6D34" w:rsidP="006F63D3">
                              <w:pPr>
                                <w:pStyle w:val="2024-PRISMA"/>
                              </w:pPr>
                              <w:r>
                                <w:t>Department’s call for evidence</w:t>
                              </w:r>
                              <w:r w:rsidRPr="000A34EA">
                                <w:t xml:space="preserve"> (n = </w:t>
                              </w:r>
                              <w:r w:rsidR="00904459">
                                <w:t>1</w:t>
                              </w:r>
                              <w:r w:rsidRPr="000A34EA">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08805710" name="Rectangle 708805710"/>
                        <wps:cNvSpPr/>
                        <wps:spPr>
                          <a:xfrm>
                            <a:off x="499731" y="1520456"/>
                            <a:ext cx="1887220" cy="52641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6AB64EF" w14:textId="77777777" w:rsidR="003D6D34" w:rsidRPr="000A34EA" w:rsidRDefault="003D6D34" w:rsidP="006F63D3">
                              <w:pPr>
                                <w:pStyle w:val="2024-PRISMA"/>
                              </w:pPr>
                              <w:r w:rsidRPr="000A34EA">
                                <w:t>Records screened</w:t>
                              </w:r>
                            </w:p>
                            <w:p w14:paraId="084C02A3" w14:textId="47656BFB" w:rsidR="003D6D34" w:rsidRPr="000A34EA" w:rsidRDefault="003D6D34" w:rsidP="006F63D3">
                              <w:pPr>
                                <w:pStyle w:val="2024-PRISMA"/>
                              </w:pPr>
                              <w:r w:rsidRPr="000A34EA">
                                <w:t xml:space="preserve">(n = </w:t>
                              </w:r>
                              <w:r w:rsidR="0099465A">
                                <w:t>585</w:t>
                              </w:r>
                              <w:r w:rsidRPr="000A34EA">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4099593" name="Rectangle 364099593"/>
                        <wps:cNvSpPr/>
                        <wps:spPr>
                          <a:xfrm>
                            <a:off x="499731" y="2977116"/>
                            <a:ext cx="1887220" cy="52641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BECEE8F" w14:textId="77777777" w:rsidR="003D6D34" w:rsidRPr="000A34EA" w:rsidRDefault="003D6D34" w:rsidP="006F63D3">
                              <w:pPr>
                                <w:pStyle w:val="2024-PRISMA"/>
                              </w:pPr>
                              <w:r w:rsidRPr="000A34EA">
                                <w:t>Reports assessed for eligibility</w:t>
                              </w:r>
                            </w:p>
                            <w:p w14:paraId="6B889FAA" w14:textId="44F0EEEF" w:rsidR="003D6D34" w:rsidRPr="000A34EA" w:rsidRDefault="003D6D34" w:rsidP="006F63D3">
                              <w:pPr>
                                <w:pStyle w:val="2024-PRISMA"/>
                              </w:pPr>
                              <w:r w:rsidRPr="000A34EA">
                                <w:t xml:space="preserve">(n = </w:t>
                              </w:r>
                              <w:r>
                                <w:t>2</w:t>
                              </w:r>
                              <w:r w:rsidR="00DF1C98">
                                <w:t>2</w:t>
                              </w:r>
                              <w:r w:rsidRPr="000A34EA">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72045511" name="Rectangle 1872045511"/>
                        <wps:cNvSpPr/>
                        <wps:spPr>
                          <a:xfrm>
                            <a:off x="489098" y="4040372"/>
                            <a:ext cx="1887220" cy="511952"/>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9736A6E" w14:textId="66E32414" w:rsidR="003D6D34" w:rsidRPr="000A34EA" w:rsidRDefault="00FF103F" w:rsidP="006F63D3">
                              <w:pPr>
                                <w:pStyle w:val="2024-PRISMA"/>
                              </w:pPr>
                              <w:r>
                                <w:t>Reviews</w:t>
                              </w:r>
                              <w:r w:rsidRPr="000A34EA">
                                <w:t xml:space="preserve"> </w:t>
                              </w:r>
                              <w:r w:rsidR="003D6D34" w:rsidRPr="000A34EA">
                                <w:t xml:space="preserve">included in </w:t>
                              </w:r>
                              <w:r>
                                <w:t>over</w:t>
                              </w:r>
                              <w:r w:rsidR="003D6D34" w:rsidRPr="000A34EA">
                                <w:t>view</w:t>
                              </w:r>
                            </w:p>
                            <w:p w14:paraId="7BC6CF1B" w14:textId="5D6A9095" w:rsidR="003D6D34" w:rsidRPr="000A34EA" w:rsidRDefault="003D6D34" w:rsidP="006F63D3">
                              <w:pPr>
                                <w:pStyle w:val="2024-PRISMA"/>
                              </w:pPr>
                              <w:r w:rsidRPr="000A34EA">
                                <w:t xml:space="preserve">(n = </w:t>
                              </w:r>
                              <w:r w:rsidR="005F4AE9">
                                <w:t>6</w:t>
                              </w:r>
                              <w:r w:rsidRPr="000A34EA">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57445278" name="Rectangle 1057445278"/>
                        <wps:cNvSpPr/>
                        <wps:spPr>
                          <a:xfrm>
                            <a:off x="499731" y="2243470"/>
                            <a:ext cx="1887220" cy="52641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D515A83" w14:textId="77777777" w:rsidR="003D6D34" w:rsidRPr="000A34EA" w:rsidRDefault="003D6D34" w:rsidP="006F63D3">
                              <w:pPr>
                                <w:pStyle w:val="2024-PRISMA"/>
                              </w:pPr>
                              <w:r w:rsidRPr="000A34EA">
                                <w:t>Reports sought for retrieval</w:t>
                              </w:r>
                            </w:p>
                            <w:p w14:paraId="150A4316" w14:textId="18E43E83" w:rsidR="003D6D34" w:rsidRPr="000A34EA" w:rsidRDefault="003D6D34" w:rsidP="006F63D3">
                              <w:pPr>
                                <w:pStyle w:val="2024-PRISMA"/>
                              </w:pPr>
                              <w:r w:rsidRPr="000A34EA">
                                <w:t xml:space="preserve">(n = </w:t>
                              </w:r>
                              <w:r>
                                <w:t>2</w:t>
                              </w:r>
                              <w:r w:rsidR="00124892">
                                <w:t>4</w:t>
                              </w:r>
                              <w:r w:rsidRPr="000A34EA">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89FE8F6" id="Group 1324423648" o:spid="_x0000_s1224" style="position:absolute;margin-left:.8pt;margin-top:12.1pt;width:420.4pt;height:365.85pt;z-index:251658248;mso-width-relative:margin;mso-height-relative:margin" coordsize="55364,472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">
                <v:rect id="Rectangle 298515193" o:spid="_x0000_s1225" style="position:absolute;left:31807;top:4253;width:23557;height:83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" filled="f" strokecolor="black [3213]" strokeweight="1pt">
                  <v:textbox>
                    <w:txbxContent>
                      <w:p w14:paraId="40262C6A" w14:textId="77777777" w:rsidR="003D6D34" w:rsidRPr="000A34EA" w:rsidRDefault="003D6D34" w:rsidP="006F63D3">
                        <w:pPr>
                          <w:pStyle w:val="2024-PRISMA"/>
                        </w:pPr>
                        <w:r w:rsidRPr="000A34EA">
                          <w:t>Records removed before screening:</w:t>
                        </w:r>
                      </w:p>
                      <w:p w14:paraId="1382C41D" w14:textId="0D512EF3" w:rsidR="003D6D34" w:rsidRPr="000A34EA" w:rsidRDefault="003D6D34" w:rsidP="006F63D3">
                        <w:pPr>
                          <w:pStyle w:val="2024-PRISMA"/>
                        </w:pPr>
                        <w:r w:rsidRPr="000A34EA">
                          <w:t xml:space="preserve">Duplicate records removed (n = </w:t>
                        </w:r>
                        <w:r w:rsidR="0099465A">
                          <w:t>2</w:t>
                        </w:r>
                        <w:r w:rsidR="00904459">
                          <w:t>5</w:t>
                        </w:r>
                        <w:r w:rsidRPr="000A34EA">
                          <w:t>)</w:t>
                        </w:r>
                      </w:p>
                    </w:txbxContent>
                  </v:textbox>
                </v:rect>
                <v:rect id="Rectangle 346756450" o:spid="_x0000_s1226" style="position:absolute;left:29877;top:15098;width:18872;height:52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" filled="f" strokecolor="black [3213]" strokeweight="1pt">
                  <v:textbox>
                    <w:txbxContent>
                      <w:p w14:paraId="7AE88D2B" w14:textId="048D1FD9" w:rsidR="003D6D34" w:rsidRPr="000A34EA" w:rsidRDefault="003D6D34" w:rsidP="006F63D3">
                        <w:pPr>
                          <w:pStyle w:val="2024-PRISMA"/>
                        </w:pPr>
                        <w:r w:rsidRPr="000A34EA">
                          <w:t>Records excluded</w:t>
                        </w:r>
                        <w:r w:rsidR="00A74704">
                          <w:t xml:space="preserve"> </w:t>
                        </w:r>
                        <w:r w:rsidRPr="000A34EA">
                          <w:t xml:space="preserve">(n = </w:t>
                        </w:r>
                        <w:r w:rsidR="0099465A">
                          <w:t>5</w:t>
                        </w:r>
                        <w:r w:rsidR="002C5BC1">
                          <w:t>6</w:t>
                        </w:r>
                        <w:r w:rsidR="00124892">
                          <w:t>1</w:t>
                        </w:r>
                        <w:r w:rsidRPr="000A34EA">
                          <w:t>)</w:t>
                        </w:r>
                      </w:p>
                    </w:txbxContent>
                  </v:textbox>
                </v:rect>
                <v:rect id="Rectangle 1048197054" o:spid="_x0000_s1227" style="position:absolute;left:29877;top:22434;width:23519;height:62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" filled="f" strokecolor="black [3213]" strokeweight="1pt">
                  <v:textbox>
                    <w:txbxContent>
                      <w:p w14:paraId="2CDD1EDC" w14:textId="77777777" w:rsidR="001D2614" w:rsidRDefault="001D2614" w:rsidP="001D2614">
                        <w:pPr>
                          <w:pStyle w:val="2024-PRISMA"/>
                        </w:pPr>
                        <w:r>
                          <w:t>Conference abstracts (n = 0)</w:t>
                        </w:r>
                      </w:p>
                      <w:p w14:paraId="7756312F" w14:textId="0E6174B1" w:rsidR="003D6D34" w:rsidRPr="000A34EA" w:rsidRDefault="003D6D34" w:rsidP="006F63D3">
                        <w:pPr>
                          <w:pStyle w:val="2024-PRISMA"/>
                        </w:pPr>
                        <w:r>
                          <w:t>Ongoing study</w:t>
                        </w:r>
                        <w:r w:rsidRPr="000A34EA">
                          <w:t xml:space="preserve"> (n</w:t>
                        </w:r>
                        <w:r>
                          <w:t xml:space="preserve"> = </w:t>
                        </w:r>
                        <w:r w:rsidR="00AB57F2">
                          <w:t>1</w:t>
                        </w:r>
                        <w:r w:rsidRPr="000A34EA">
                          <w:t>)</w:t>
                        </w:r>
                      </w:p>
                      <w:p w14:paraId="40A9D0A2" w14:textId="28B69754" w:rsidR="003D6D34" w:rsidRPr="000A34EA" w:rsidRDefault="0097733F" w:rsidP="006F63D3">
                        <w:pPr>
                          <w:pStyle w:val="2024-PRISMA"/>
                        </w:pPr>
                        <w:r>
                          <w:t>Reviews</w:t>
                        </w:r>
                        <w:r w:rsidRPr="008C6127">
                          <w:t xml:space="preserve"> </w:t>
                        </w:r>
                        <w:r w:rsidR="003D6D34" w:rsidRPr="000A34EA">
                          <w:t xml:space="preserve">Awaiting Classification (n = </w:t>
                        </w:r>
                        <w:r w:rsidR="00AB57F2">
                          <w:t>1</w:t>
                        </w:r>
                        <w:r w:rsidR="003D6D34" w:rsidRPr="000A34EA">
                          <w:t>)</w:t>
                        </w:r>
                      </w:p>
                    </w:txbxContent>
                  </v:textbox>
                </v:rect>
                <v:rect id="Rectangle 963022213" o:spid="_x0000_s1228" style="position:absolute;left:29877;top:29558;width:21793;height:120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" filled="f" strokecolor="black [3213]" strokeweight="1pt">
                  <v:textbox>
                    <w:txbxContent>
                      <w:p w14:paraId="4FC976A4" w14:textId="182686C8" w:rsidR="003D6D34" w:rsidRPr="000A34EA" w:rsidRDefault="003D6D34" w:rsidP="006F63D3">
                        <w:pPr>
                          <w:pStyle w:val="2024-PRISMA"/>
                        </w:pPr>
                        <w:r w:rsidRPr="000A34EA">
                          <w:t xml:space="preserve">Reports excluded (n = </w:t>
                        </w:r>
                        <w:r>
                          <w:t>1</w:t>
                        </w:r>
                        <w:r w:rsidR="00160C08">
                          <w:t>6</w:t>
                        </w:r>
                        <w:r w:rsidRPr="000A34EA">
                          <w:t>):</w:t>
                        </w:r>
                      </w:p>
                      <w:p w14:paraId="7ED96231" w14:textId="77777777" w:rsidR="003D6D34" w:rsidRPr="000A34EA" w:rsidRDefault="003D6D34" w:rsidP="006F63D3">
                        <w:pPr>
                          <w:pStyle w:val="2024-PRISMA"/>
                        </w:pPr>
                        <w:r w:rsidRPr="000A34EA">
                          <w:t xml:space="preserve">Wrong study type (n = </w:t>
                        </w:r>
                        <w:r>
                          <w:t>1</w:t>
                        </w:r>
                        <w:r w:rsidRPr="000A34EA">
                          <w:t>)</w:t>
                        </w:r>
                      </w:p>
                      <w:p w14:paraId="7498F23A" w14:textId="08FF7056" w:rsidR="003D6D34" w:rsidRDefault="003D6D34" w:rsidP="006F63D3">
                        <w:pPr>
                          <w:pStyle w:val="2024-PRISMA"/>
                        </w:pPr>
                        <w:r>
                          <w:t xml:space="preserve">Wrong population (n = </w:t>
                        </w:r>
                        <w:r w:rsidR="005F4AE9">
                          <w:t>2</w:t>
                        </w:r>
                        <w:r>
                          <w:t>)</w:t>
                        </w:r>
                      </w:p>
                      <w:p w14:paraId="2A9181A6" w14:textId="5DF84C0C" w:rsidR="003D6D34" w:rsidRDefault="003D6D34" w:rsidP="006F63D3">
                        <w:pPr>
                          <w:pStyle w:val="2024-PRISMA"/>
                        </w:pPr>
                        <w:r w:rsidRPr="000A34EA">
                          <w:t xml:space="preserve">Wrong intervention (n = </w:t>
                        </w:r>
                        <w:r w:rsidR="009F3060">
                          <w:t>4</w:t>
                        </w:r>
                        <w:r w:rsidRPr="000A34EA">
                          <w:t>)</w:t>
                        </w:r>
                      </w:p>
                      <w:p w14:paraId="20B56B93" w14:textId="5127A098" w:rsidR="009F3060" w:rsidRDefault="009F3060" w:rsidP="006F63D3">
                        <w:pPr>
                          <w:pStyle w:val="2024-PRISMA"/>
                        </w:pPr>
                        <w:r w:rsidRPr="000A34EA">
                          <w:t xml:space="preserve">Wrong </w:t>
                        </w:r>
                        <w:r>
                          <w:t>outcomes</w:t>
                        </w:r>
                        <w:r w:rsidRPr="000A34EA">
                          <w:t xml:space="preserve"> (n = </w:t>
                        </w:r>
                        <w:r>
                          <w:t>1</w:t>
                        </w:r>
                        <w:r w:rsidRPr="000A34EA">
                          <w:t>)</w:t>
                        </w:r>
                      </w:p>
                      <w:p w14:paraId="26F58E1A" w14:textId="39EAC40C" w:rsidR="003D6D34" w:rsidRPr="000A34EA" w:rsidRDefault="003D6D34" w:rsidP="006F63D3">
                        <w:pPr>
                          <w:pStyle w:val="2024-PRISMA"/>
                        </w:pPr>
                        <w:r>
                          <w:t xml:space="preserve">Does not meet minimum criteria for systematic review (n = </w:t>
                        </w:r>
                        <w:r w:rsidR="00AB57F2">
                          <w:t>8</w:t>
                        </w:r>
                        <w:r>
                          <w:t>)</w:t>
                        </w:r>
                      </w:p>
                    </w:txbxContent>
                  </v:textbox>
                </v:rect>
                <v:shape id="Straight Arrow Connector 670030128" o:spid="_x0000_s1229" type="#_x0000_t32" style="position:absolute;left:24242;top:9758;width:756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" strokecolor="black [3213]" strokeweight=".5pt">
                  <v:stroke endarrow="block" joinstyle="miter"/>
                </v:shape>
                <v:shape id="Straight Arrow Connector 1627468740" o:spid="_x0000_s1230" type="#_x0000_t32" style="position:absolute;left:23923;top:17201;width:563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" strokecolor="black [3213]" strokeweight=".5pt">
                  <v:stroke endarrow="block" joinstyle="miter"/>
                </v:shape>
                <v:shape id="Straight Arrow Connector 1955867636" o:spid="_x0000_s1231" type="#_x0000_t32" style="position:absolute;left:24029;top:24218;width:563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" strokecolor="black [3213]" strokeweight=".5pt">
                  <v:stroke endarrow="block" joinstyle="miter"/>
                </v:shape>
                <v:shape id="Straight Arrow Connector 1913963716" o:spid="_x0000_s1232" type="#_x0000_t32" style="position:absolute;left:24135;top:31555;width:563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" strokecolor="black [3213]" strokeweight=".5pt">
                  <v:stroke endarrow="block" joinstyle="miter"/>
                </v:shape>
                <v:shape id="Flowchart: Alternate Process 31" o:spid="_x0000_s1233" type="#_x0000_t176" style="position:absolute;left:-2941;top:7019;width:10094;height:3552;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" fillcolor="#9cc2e5 [1944]" strokecolor="black [3213]" strokeweight="1pt">
                  <v:textbox>
                    <w:txbxContent>
                      <w:p w14:paraId="3AD9D4DA" w14:textId="77777777" w:rsidR="003D6D34" w:rsidRPr="00E729F7" w:rsidRDefault="003D6D34" w:rsidP="006F63D3">
                        <w:pPr>
                          <w:pStyle w:val="2024-PRISMA"/>
                          <w:rPr>
                            <w:b/>
                          </w:rPr>
                        </w:pPr>
                        <w:r w:rsidRPr="00E729F7">
                          <w:rPr>
                            <w:b/>
                          </w:rPr>
                          <w:t>Identification</w:t>
                        </w:r>
                      </w:p>
                    </w:txbxContent>
                  </v:textbox>
                </v:shape>
                <v:shape id="Flowchart: Alternate Process 32" o:spid="_x0000_s1234" type="#_x0000_t176" style="position:absolute;left:-10117;top:25063;width:24447;height:3551;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" fillcolor="#9cc2e5 [1944]" strokecolor="black [3213]" strokeweight="1pt">
                  <v:textbox>
                    <w:txbxContent>
                      <w:p w14:paraId="703FA029" w14:textId="77777777" w:rsidR="003D6D34" w:rsidRPr="00E729F7" w:rsidRDefault="003D6D34" w:rsidP="00E729F7">
                        <w:pPr>
                          <w:pStyle w:val="2024-PRISMA"/>
                          <w:jc w:val="center"/>
                          <w:rPr>
                            <w:b/>
                          </w:rPr>
                        </w:pPr>
                        <w:r w:rsidRPr="00E729F7">
                          <w:rPr>
                            <w:b/>
                          </w:rPr>
                          <w:t>Screening</w:t>
                        </w:r>
                      </w:p>
                      <w:p w14:paraId="53F0409A" w14:textId="77777777" w:rsidR="003D6D34" w:rsidRPr="00E729F7" w:rsidRDefault="003D6D34" w:rsidP="00E729F7">
                        <w:pPr>
                          <w:pStyle w:val="2024-PRISMA"/>
                          <w:jc w:val="center"/>
                          <w:rPr>
                            <w:b/>
                          </w:rPr>
                        </w:pPr>
                      </w:p>
                    </w:txbxContent>
                  </v:textbox>
                </v:shape>
                <v:shape id="Flowchart: Alternate Process 33" o:spid="_x0000_s1235" type="#_x0000_t176" style="position:absolute;left:-1494;top:41969;width:7111;height:3463;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" fillcolor="#9cc2e5 [1944]" strokecolor="black [3213]" strokeweight="1pt">
                  <v:textbox>
                    <w:txbxContent>
                      <w:p w14:paraId="52A750EF" w14:textId="77777777" w:rsidR="003D6D34" w:rsidRPr="00E729F7" w:rsidRDefault="003D6D34" w:rsidP="006F63D3">
                        <w:pPr>
                          <w:pStyle w:val="2024-PRISMA"/>
                          <w:rPr>
                            <w:b/>
                          </w:rPr>
                        </w:pPr>
                        <w:r w:rsidRPr="00E729F7">
                          <w:rPr>
                            <w:b/>
                          </w:rPr>
                          <w:t>Included</w:t>
                        </w:r>
                      </w:p>
                    </w:txbxContent>
                  </v:textbox>
                </v:shape>
                <v:shape id="Straight Arrow Connector 2069867025" o:spid="_x0000_s1236" type="#_x0000_t32" style="position:absolute;left:13394;top:12333;width:0;height:281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" strokecolor="black [3213]" strokeweight=".5pt">
                  <v:stroke endarrow="block" joinstyle="miter"/>
                </v:shape>
                <v:shape id="Straight Arrow Connector 902139453" o:spid="_x0000_s1237" type="#_x0000_t32" style="position:absolute;left:13394;top:19670;width:0;height:281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" strokecolor="black [3213]" strokeweight=".5pt">
                  <v:stroke endarrow="block" joinstyle="miter"/>
                </v:shape>
                <v:shape id="Straight Arrow Connector 231471269" o:spid="_x0000_s1238" type="#_x0000_t32" style="position:absolute;left:13500;top:26900;width:0;height:281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" strokecolor="black [3213]" strokeweight=".5pt">
                  <v:stroke endarrow="block" joinstyle="miter"/>
                </v:shape>
                <v:shape id="Straight Arrow Connector 759387185" o:spid="_x0000_s1239" type="#_x0000_t32" style="position:absolute;left:13394;top:32960;width:0;height:746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" strokecolor="black [3213]" strokeweight=".5pt">
                  <v:stroke endarrow="block" joinstyle="miter"/>
                </v:shape>
                <v:shape id="Flowchart: Alternate Process 29" o:spid="_x0000_s1240" type="#_x0000_t176" style="position:absolute;width:55364;height:29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" fillcolor="#ffc000 [3207]" strokecolor="#7f5f00 [1607]" strokeweight="1pt">
                  <v:textbox>
                    <w:txbxContent>
                      <w:p w14:paraId="50839D2C" w14:textId="673CD170" w:rsidR="003D6D34" w:rsidRPr="00E729F7" w:rsidRDefault="003D6D34" w:rsidP="00E729F7">
                        <w:pPr>
                          <w:pStyle w:val="2024-PRISMA"/>
                          <w:jc w:val="center"/>
                          <w:rPr>
                            <w:b/>
                          </w:rPr>
                        </w:pPr>
                        <w:r w:rsidRPr="00E729F7">
                          <w:rPr>
                            <w:b/>
                          </w:rPr>
                          <w:t xml:space="preserve">Identification of </w:t>
                        </w:r>
                        <w:r w:rsidR="00FF103F">
                          <w:rPr>
                            <w:b/>
                          </w:rPr>
                          <w:t>reviews</w:t>
                        </w:r>
                        <w:r w:rsidR="00FF103F" w:rsidRPr="00E729F7">
                          <w:rPr>
                            <w:b/>
                          </w:rPr>
                          <w:t xml:space="preserve"> </w:t>
                        </w:r>
                        <w:r w:rsidRPr="00E729F7">
                          <w:rPr>
                            <w:b/>
                          </w:rPr>
                          <w:t>via databases and registers</w:t>
                        </w:r>
                      </w:p>
                    </w:txbxContent>
                  </v:textbox>
                </v:shape>
                <v:rect id="Rectangle 945939448" o:spid="_x0000_s1241" style="position:absolute;left:4997;top:4253;width:24558;height:83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" fillcolor="white [3212]" strokecolor="black [3213]" strokeweight="1pt">
                  <v:textbox>
                    <w:txbxContent>
                      <w:p w14:paraId="57F45153" w14:textId="0FF0D627" w:rsidR="003D6D34" w:rsidRPr="000A34EA" w:rsidRDefault="003D6D34" w:rsidP="006F63D3">
                        <w:pPr>
                          <w:pStyle w:val="2024-PRISMA"/>
                        </w:pPr>
                        <w:r w:rsidRPr="000A34EA">
                          <w:t>Records identified from:</w:t>
                        </w:r>
                      </w:p>
                      <w:p w14:paraId="52E0C839" w14:textId="3609272D" w:rsidR="003D6D34" w:rsidRPr="000A34EA" w:rsidRDefault="003D6D34" w:rsidP="006F63D3">
                        <w:pPr>
                          <w:pStyle w:val="2024-PRISMA"/>
                        </w:pPr>
                        <w:r w:rsidRPr="000A34EA">
                          <w:t xml:space="preserve">Databases and registers (n = </w:t>
                        </w:r>
                        <w:r w:rsidR="0099465A">
                          <w:t>609</w:t>
                        </w:r>
                        <w:r w:rsidRPr="000A34EA">
                          <w:t>)</w:t>
                        </w:r>
                      </w:p>
                      <w:p w14:paraId="146E2234" w14:textId="77777777" w:rsidR="003D6D34" w:rsidRDefault="003D6D34" w:rsidP="006F63D3">
                        <w:pPr>
                          <w:pStyle w:val="2024-PRISMA"/>
                        </w:pPr>
                        <w:r w:rsidRPr="000A34EA">
                          <w:t>Manual</w:t>
                        </w:r>
                        <w:r>
                          <w:t xml:space="preserve"> or </w:t>
                        </w:r>
                        <w:r w:rsidRPr="000A34EA">
                          <w:t xml:space="preserve">citation </w:t>
                        </w:r>
                        <w:r>
                          <w:t xml:space="preserve">searching </w:t>
                        </w:r>
                        <w:r w:rsidRPr="000A34EA">
                          <w:t xml:space="preserve">(n = </w:t>
                        </w:r>
                        <w:r>
                          <w:t>0</w:t>
                        </w:r>
                        <w:r w:rsidRPr="000A34EA">
                          <w:t>)</w:t>
                        </w:r>
                      </w:p>
                      <w:p w14:paraId="6022E328" w14:textId="48CA1F13" w:rsidR="003D6D34" w:rsidRPr="000A34EA" w:rsidRDefault="003D6D34" w:rsidP="006F63D3">
                        <w:pPr>
                          <w:pStyle w:val="2024-PRISMA"/>
                        </w:pPr>
                        <w:r>
                          <w:t>Department’s call for evidence</w:t>
                        </w:r>
                        <w:r w:rsidRPr="000A34EA">
                          <w:t xml:space="preserve"> (n = </w:t>
                        </w:r>
                        <w:r w:rsidR="00904459">
                          <w:t>1</w:t>
                        </w:r>
                        <w:r w:rsidRPr="000A34EA">
                          <w:t>)</w:t>
                        </w:r>
                      </w:p>
                    </w:txbxContent>
                  </v:textbox>
                </v:rect>
                <v:rect id="Rectangle 708805710" o:spid="_x0000_s1242" style="position:absolute;left:4997;top:15204;width:18872;height:52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" fillcolor="white [3212]" strokecolor="black [3213]" strokeweight="1pt">
                  <v:textbox>
                    <w:txbxContent>
                      <w:p w14:paraId="56AB64EF" w14:textId="77777777" w:rsidR="003D6D34" w:rsidRPr="000A34EA" w:rsidRDefault="003D6D34" w:rsidP="006F63D3">
                        <w:pPr>
                          <w:pStyle w:val="2024-PRISMA"/>
                        </w:pPr>
                        <w:r w:rsidRPr="000A34EA">
                          <w:t>Records screened</w:t>
                        </w:r>
                      </w:p>
                      <w:p w14:paraId="084C02A3" w14:textId="47656BFB" w:rsidR="003D6D34" w:rsidRPr="000A34EA" w:rsidRDefault="003D6D34" w:rsidP="006F63D3">
                        <w:pPr>
                          <w:pStyle w:val="2024-PRISMA"/>
                        </w:pPr>
                        <w:r w:rsidRPr="000A34EA">
                          <w:t xml:space="preserve">(n = </w:t>
                        </w:r>
                        <w:r w:rsidR="0099465A">
                          <w:t>585</w:t>
                        </w:r>
                        <w:r w:rsidRPr="000A34EA">
                          <w:t>)</w:t>
                        </w:r>
                      </w:p>
                    </w:txbxContent>
                  </v:textbox>
                </v:rect>
                <v:rect id="Rectangle 364099593" o:spid="_x0000_s1243" style="position:absolute;left:4997;top:29771;width:18872;height:52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" fillcolor="white [3212]" strokecolor="black [3213]" strokeweight="1pt">
                  <v:textbox>
                    <w:txbxContent>
                      <w:p w14:paraId="1BECEE8F" w14:textId="77777777" w:rsidR="003D6D34" w:rsidRPr="000A34EA" w:rsidRDefault="003D6D34" w:rsidP="006F63D3">
                        <w:pPr>
                          <w:pStyle w:val="2024-PRISMA"/>
                        </w:pPr>
                        <w:r w:rsidRPr="000A34EA">
                          <w:t>Reports assessed for eligibility</w:t>
                        </w:r>
                      </w:p>
                      <w:p w14:paraId="6B889FAA" w14:textId="44F0EEEF" w:rsidR="003D6D34" w:rsidRPr="000A34EA" w:rsidRDefault="003D6D34" w:rsidP="006F63D3">
                        <w:pPr>
                          <w:pStyle w:val="2024-PRISMA"/>
                        </w:pPr>
                        <w:r w:rsidRPr="000A34EA">
                          <w:t xml:space="preserve">(n = </w:t>
                        </w:r>
                        <w:r>
                          <w:t>2</w:t>
                        </w:r>
                        <w:r w:rsidR="00DF1C98">
                          <w:t>2</w:t>
                        </w:r>
                        <w:r w:rsidRPr="000A34EA">
                          <w:t>)</w:t>
                        </w:r>
                      </w:p>
                    </w:txbxContent>
                  </v:textbox>
                </v:rect>
                <v:rect id="Rectangle 1872045511" o:spid="_x0000_s1244" style="position:absolute;left:4890;top:40403;width:18873;height:51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" fillcolor="white [3212]" strokecolor="black [3213]" strokeweight="1pt">
                  <v:textbox>
                    <w:txbxContent>
                      <w:p w14:paraId="19736A6E" w14:textId="66E32414" w:rsidR="003D6D34" w:rsidRPr="000A34EA" w:rsidRDefault="00FF103F" w:rsidP="006F63D3">
                        <w:pPr>
                          <w:pStyle w:val="2024-PRISMA"/>
                        </w:pPr>
                        <w:r>
                          <w:t>Reviews</w:t>
                        </w:r>
                        <w:r w:rsidRPr="000A34EA">
                          <w:t xml:space="preserve"> </w:t>
                        </w:r>
                        <w:r w:rsidR="003D6D34" w:rsidRPr="000A34EA">
                          <w:t xml:space="preserve">included in </w:t>
                        </w:r>
                        <w:r>
                          <w:t>over</w:t>
                        </w:r>
                        <w:r w:rsidR="003D6D34" w:rsidRPr="000A34EA">
                          <w:t>view</w:t>
                        </w:r>
                      </w:p>
                      <w:p w14:paraId="7BC6CF1B" w14:textId="5D6A9095" w:rsidR="003D6D34" w:rsidRPr="000A34EA" w:rsidRDefault="003D6D34" w:rsidP="006F63D3">
                        <w:pPr>
                          <w:pStyle w:val="2024-PRISMA"/>
                        </w:pPr>
                        <w:r w:rsidRPr="000A34EA">
                          <w:t xml:space="preserve">(n = </w:t>
                        </w:r>
                        <w:r w:rsidR="005F4AE9">
                          <w:t>6</w:t>
                        </w:r>
                        <w:r w:rsidRPr="000A34EA">
                          <w:t>)</w:t>
                        </w:r>
                      </w:p>
                    </w:txbxContent>
                  </v:textbox>
                </v:rect>
                <v:rect id="Rectangle 1057445278" o:spid="_x0000_s1245" style="position:absolute;left:4997;top:22434;width:18872;height:52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" fillcolor="white [3212]" strokecolor="black [3213]" strokeweight="1pt">
                  <v:textbox>
                    <w:txbxContent>
                      <w:p w14:paraId="5D515A83" w14:textId="77777777" w:rsidR="003D6D34" w:rsidRPr="000A34EA" w:rsidRDefault="003D6D34" w:rsidP="006F63D3">
                        <w:pPr>
                          <w:pStyle w:val="2024-PRISMA"/>
                        </w:pPr>
                        <w:r w:rsidRPr="000A34EA">
                          <w:t>Reports sought for retrieval</w:t>
                        </w:r>
                      </w:p>
                      <w:p w14:paraId="150A4316" w14:textId="18E43E83" w:rsidR="003D6D34" w:rsidRPr="000A34EA" w:rsidRDefault="003D6D34" w:rsidP="006F63D3">
                        <w:pPr>
                          <w:pStyle w:val="2024-PRISMA"/>
                        </w:pPr>
                        <w:r w:rsidRPr="000A34EA">
                          <w:t xml:space="preserve">(n = </w:t>
                        </w:r>
                        <w:r>
                          <w:t>2</w:t>
                        </w:r>
                        <w:r w:rsidR="00124892">
                          <w:t>4</w:t>
                        </w:r>
                        <w:r w:rsidRPr="000A34EA">
                          <w:t>)</w:t>
                        </w:r>
                      </w:p>
                    </w:txbxContent>
                  </v:textbox>
                </v:rect>
                <w10:wrap type="square"/>
              </v:group>
            </w:pict>
          </mc:Fallback>
        </mc:AlternateContent>
      </w:r>
    </w:p>
    <w:p w14:paraId="163DC925" w14:textId="77777777" w:rsidR="003D6D34" w:rsidRPr="0054775B" w:rsidRDefault="003D6D34" w:rsidP="009E6F7F"/>
    <w:p w14:paraId="5B5A53CD" w14:textId="77777777" w:rsidR="003D6D34" w:rsidRPr="0054775B" w:rsidRDefault="003D6D34" w:rsidP="009E6F7F"/>
    <w:p w14:paraId="334DC4A0" w14:textId="77777777" w:rsidR="003D6D34" w:rsidRPr="0054775B" w:rsidRDefault="003D6D34" w:rsidP="009E6F7F"/>
    <w:p w14:paraId="497D1035" w14:textId="77777777" w:rsidR="003D6D34" w:rsidRPr="0054775B" w:rsidRDefault="003D6D34" w:rsidP="009E6F7F"/>
    <w:p w14:paraId="5DE3922D" w14:textId="77777777" w:rsidR="003D6D34" w:rsidRPr="0054775B" w:rsidRDefault="003D6D34" w:rsidP="009E6F7F"/>
    <w:p w14:paraId="7E6BA8C7" w14:textId="77777777" w:rsidR="003D6D34" w:rsidRPr="0054775B" w:rsidRDefault="003D6D34" w:rsidP="009E6F7F"/>
    <w:p w14:paraId="0336D1BC" w14:textId="77777777" w:rsidR="003D6D34" w:rsidRPr="0054775B" w:rsidRDefault="003D6D34" w:rsidP="009E6F7F"/>
    <w:p w14:paraId="6918BAF0" w14:textId="77777777" w:rsidR="003D6D34" w:rsidRPr="0054775B" w:rsidRDefault="003D6D34" w:rsidP="009E6F7F"/>
    <w:p w14:paraId="74C87861" w14:textId="77777777" w:rsidR="003D6D34" w:rsidRPr="0054775B" w:rsidRDefault="003D6D34" w:rsidP="009E6F7F"/>
    <w:p w14:paraId="49BF275C" w14:textId="77777777" w:rsidR="003D6D34" w:rsidRPr="0054775B" w:rsidRDefault="003D6D34" w:rsidP="009E6F7F"/>
    <w:p w14:paraId="4555D382" w14:textId="77777777" w:rsidR="003D6D34" w:rsidRPr="0054775B" w:rsidRDefault="003D6D34" w:rsidP="009E6F7F"/>
    <w:p w14:paraId="234C4600" w14:textId="77777777" w:rsidR="003D6D34" w:rsidRPr="0054775B" w:rsidRDefault="003D6D34" w:rsidP="009E6F7F"/>
    <w:p w14:paraId="6FD68737" w14:textId="77777777" w:rsidR="003D6D34" w:rsidRPr="0054775B" w:rsidRDefault="003D6D34" w:rsidP="009E6F7F">
      <w:pPr>
        <w:pStyle w:val="2024HEADER3"/>
        <w:rPr>
          <w:rFonts w:ascii="Aptos" w:hAnsi="Aptos"/>
        </w:rPr>
      </w:pPr>
      <w:r w:rsidRPr="0054775B">
        <w:rPr>
          <w:rFonts w:ascii="Aptos" w:hAnsi="Aptos"/>
        </w:rPr>
        <w:t>Description of included reviews</w:t>
      </w:r>
    </w:p>
    <w:p w14:paraId="2EA1EBC9" w14:textId="1FBA5B03" w:rsidR="007C37F5" w:rsidRPr="0054775B" w:rsidRDefault="00623EA8" w:rsidP="009E6F7F">
      <w:r w:rsidRPr="0054775B">
        <w:t>Six</w:t>
      </w:r>
      <w:r w:rsidR="003D6D34" w:rsidRPr="0054775B">
        <w:t xml:space="preserve"> reviews were identified as eligible for inclusion</w:t>
      </w:r>
      <w:r w:rsidR="00B017E5">
        <w:t xml:space="preserve"> (154-159)</w:t>
      </w:r>
      <w:r w:rsidR="003D6D34" w:rsidRPr="0054775B">
        <w:t xml:space="preserve">; </w:t>
      </w:r>
      <w:r w:rsidR="003C2AC9">
        <w:t>review</w:t>
      </w:r>
      <w:r w:rsidR="003C2AC9" w:rsidRPr="0054775B">
        <w:t xml:space="preserve"> </w:t>
      </w:r>
      <w:r w:rsidR="003D6D34" w:rsidRPr="0054775B">
        <w:t xml:space="preserve">characteristics are reported in detail in </w:t>
      </w:r>
      <w:r w:rsidR="00FB0A70" w:rsidRPr="0054775B">
        <w:t xml:space="preserve">Appendix </w:t>
      </w:r>
      <w:r w:rsidR="00BC6C8E">
        <w:t>D</w:t>
      </w:r>
      <w:r w:rsidR="003D6D34" w:rsidRPr="0054775B">
        <w:t>. The included reviews were conducted between 20</w:t>
      </w:r>
      <w:r w:rsidR="00867193" w:rsidRPr="0054775B">
        <w:t>08</w:t>
      </w:r>
      <w:r w:rsidR="003D6D34" w:rsidRPr="0054775B">
        <w:t xml:space="preserve"> and 202</w:t>
      </w:r>
      <w:r w:rsidR="00867193" w:rsidRPr="0054775B">
        <w:t>0.</w:t>
      </w:r>
      <w:r w:rsidR="003D6D34" w:rsidRPr="0054775B">
        <w:t xml:space="preserve"> </w:t>
      </w:r>
      <w:r w:rsidR="00052CBE" w:rsidRPr="0054775B">
        <w:t>All reviews only included RCTs</w:t>
      </w:r>
      <w:r w:rsidR="00B017E5">
        <w:t xml:space="preserve">; three included meta-analyses </w:t>
      </w:r>
      <w:r w:rsidR="000D6DFE">
        <w:t>(157-159)</w:t>
      </w:r>
      <w:r w:rsidR="00052CBE" w:rsidRPr="0054775B">
        <w:t>.</w:t>
      </w:r>
    </w:p>
    <w:p w14:paraId="516B701A" w14:textId="3C902488" w:rsidR="005E78D9" w:rsidRPr="0054775B" w:rsidRDefault="005E6658" w:rsidP="009E6F7F">
      <w:pPr>
        <w:rPr>
          <w:highlight w:val="yellow"/>
        </w:rPr>
      </w:pPr>
      <w:r w:rsidRPr="0054775B">
        <w:t>Two</w:t>
      </w:r>
      <w:r w:rsidR="005E78D9" w:rsidRPr="0054775B">
        <w:t xml:space="preserve"> </w:t>
      </w:r>
      <w:r w:rsidRPr="0054775B">
        <w:t>reviews</w:t>
      </w:r>
      <w:r w:rsidR="005E78D9" w:rsidRPr="0054775B">
        <w:t xml:space="preserve"> specifically aimed </w:t>
      </w:r>
      <w:r w:rsidR="0047339A" w:rsidRPr="0054775B">
        <w:t>to examine the impact of magnesium on migraine</w:t>
      </w:r>
      <w:r w:rsidRPr="0054775B">
        <w:t xml:space="preserve"> </w:t>
      </w:r>
      <w:r w:rsidR="00F54937">
        <w:rPr>
          <w:noProof/>
        </w:rPr>
        <w:t>(154, 157)</w:t>
      </w:r>
      <w:r w:rsidR="007C7807" w:rsidRPr="0054775B">
        <w:t xml:space="preserve">; </w:t>
      </w:r>
      <w:r w:rsidR="0009318A" w:rsidRPr="0054775B">
        <w:t xml:space="preserve">and </w:t>
      </w:r>
      <w:r w:rsidR="007C7807" w:rsidRPr="0054775B">
        <w:t xml:space="preserve">another </w:t>
      </w:r>
      <w:r w:rsidR="0009318A" w:rsidRPr="0054775B">
        <w:t>summarised the impact of magnesium</w:t>
      </w:r>
      <w:r w:rsidR="007C7807" w:rsidRPr="0054775B">
        <w:t xml:space="preserve"> </w:t>
      </w:r>
      <w:r w:rsidR="0009318A" w:rsidRPr="0054775B">
        <w:t xml:space="preserve">on </w:t>
      </w:r>
      <w:r w:rsidR="007C7807" w:rsidRPr="0054775B">
        <w:t>chronic pain more generally</w:t>
      </w:r>
      <w:r w:rsidR="0009318A" w:rsidRPr="0054775B">
        <w:t xml:space="preserve"> (including results presented </w:t>
      </w:r>
      <w:r w:rsidR="001B6BF2">
        <w:t>separately</w:t>
      </w:r>
      <w:r w:rsidR="001B6BF2" w:rsidRPr="0054775B">
        <w:t xml:space="preserve"> </w:t>
      </w:r>
      <w:r w:rsidR="0009318A" w:rsidRPr="0054775B">
        <w:t xml:space="preserve">for </w:t>
      </w:r>
      <w:r w:rsidR="005F5C35" w:rsidRPr="0054775B">
        <w:t>migraine</w:t>
      </w:r>
      <w:r w:rsidR="0009318A" w:rsidRPr="0054775B">
        <w:t>)</w:t>
      </w:r>
      <w:r w:rsidR="005F5C35" w:rsidRPr="0054775B">
        <w:t xml:space="preserve"> </w:t>
      </w:r>
      <w:r w:rsidR="00F54937">
        <w:rPr>
          <w:noProof/>
        </w:rPr>
        <w:t>(156)</w:t>
      </w:r>
      <w:r w:rsidR="0047339A" w:rsidRPr="0054775B">
        <w:t xml:space="preserve">. </w:t>
      </w:r>
      <w:r w:rsidR="001B545D" w:rsidRPr="0054775B">
        <w:t xml:space="preserve">Three reviews aimed to </w:t>
      </w:r>
      <w:r w:rsidR="000258B1" w:rsidRPr="0054775B">
        <w:t xml:space="preserve">summarise the evidence for vitamins and minerals </w:t>
      </w:r>
      <w:r w:rsidR="00F54937">
        <w:rPr>
          <w:noProof/>
        </w:rPr>
        <w:t>(159)</w:t>
      </w:r>
      <w:r w:rsidR="000258B1" w:rsidRPr="0054775B">
        <w:t xml:space="preserve">, </w:t>
      </w:r>
      <w:r w:rsidR="004901C6" w:rsidRPr="0054775B">
        <w:t xml:space="preserve">drugs </w:t>
      </w:r>
      <w:r w:rsidR="00F54937">
        <w:rPr>
          <w:noProof/>
        </w:rPr>
        <w:t>(155)</w:t>
      </w:r>
      <w:r w:rsidR="004901C6" w:rsidRPr="0054775B">
        <w:t xml:space="preserve"> and existing therapies </w:t>
      </w:r>
      <w:r w:rsidR="00F54937">
        <w:rPr>
          <w:noProof/>
        </w:rPr>
        <w:t>(158)</w:t>
      </w:r>
      <w:r w:rsidR="004901C6" w:rsidRPr="0054775B">
        <w:t xml:space="preserve"> for migraine</w:t>
      </w:r>
      <w:r w:rsidR="005F5C35" w:rsidRPr="0054775B">
        <w:t>;</w:t>
      </w:r>
      <w:r w:rsidR="004901C6" w:rsidRPr="0054775B">
        <w:t xml:space="preserve"> (specifically menstrua</w:t>
      </w:r>
      <w:r w:rsidR="001B6BF2">
        <w:t>tion-</w:t>
      </w:r>
      <w:r w:rsidR="004901C6" w:rsidRPr="0054775B">
        <w:t xml:space="preserve">related migraine in one </w:t>
      </w:r>
      <w:r w:rsidR="003C2AC9">
        <w:t>review</w:t>
      </w:r>
      <w:r w:rsidR="005F5C35" w:rsidRPr="0054775B">
        <w:t>)</w:t>
      </w:r>
      <w:r w:rsidR="004901C6" w:rsidRPr="0054775B">
        <w:t xml:space="preserve"> </w:t>
      </w:r>
      <w:r w:rsidR="00F54937">
        <w:rPr>
          <w:noProof/>
        </w:rPr>
        <w:t>(158)</w:t>
      </w:r>
      <w:r w:rsidR="007C7807" w:rsidRPr="0054775B">
        <w:t xml:space="preserve">. </w:t>
      </w:r>
    </w:p>
    <w:p w14:paraId="3B3CBA88" w14:textId="77777777" w:rsidR="008308E9" w:rsidRPr="0054775B" w:rsidRDefault="008308E9" w:rsidP="009E6F7F">
      <w:pPr>
        <w:pStyle w:val="2024HEADER3"/>
        <w:rPr>
          <w:rFonts w:ascii="Aptos" w:hAnsi="Aptos"/>
        </w:rPr>
      </w:pPr>
      <w:r w:rsidRPr="0054775B">
        <w:rPr>
          <w:rFonts w:ascii="Aptos" w:hAnsi="Aptos"/>
        </w:rPr>
        <w:t>Assessment of risk of bias of included systematic reviews</w:t>
      </w:r>
    </w:p>
    <w:p w14:paraId="19146387" w14:textId="1D69EEA1" w:rsidR="003D6D34" w:rsidRPr="0054775B" w:rsidRDefault="003D6D34" w:rsidP="009E6F7F">
      <w:r w:rsidRPr="0054775B">
        <w:t xml:space="preserve">Risk of bias of the systematic reviews, as assessed using the ROBIS tool, is presented below. </w:t>
      </w:r>
      <w:r w:rsidR="006D3FE4" w:rsidRPr="0054775B">
        <w:t xml:space="preserve">Full assessments are reported in Appendix </w:t>
      </w:r>
      <w:r w:rsidR="00BC6C8E">
        <w:t>F</w:t>
      </w:r>
      <w:r w:rsidRPr="0054775B">
        <w:t>.</w:t>
      </w:r>
    </w:p>
    <w:p w14:paraId="6FD14B6F" w14:textId="7979116C" w:rsidR="003D6D34" w:rsidRPr="0054775B" w:rsidRDefault="003D6D34" w:rsidP="006F63D3">
      <w:pPr>
        <w:pStyle w:val="2024TABLECAPTION"/>
        <w:rPr>
          <w:rFonts w:ascii="Aptos" w:hAnsi="Aptos"/>
        </w:rPr>
      </w:pPr>
      <w:bookmarkStart w:id="110" w:name="_Toc185261612"/>
      <w:r w:rsidRPr="0054775B">
        <w:rPr>
          <w:rFonts w:ascii="Aptos" w:hAnsi="Aptos"/>
        </w:rPr>
        <w:t xml:space="preserve">Table </w:t>
      </w:r>
      <w:r w:rsidRPr="0054775B">
        <w:rPr>
          <w:rFonts w:ascii="Aptos" w:hAnsi="Aptos"/>
        </w:rPr>
        <w:fldChar w:fldCharType="begin"/>
      </w:r>
      <w:r w:rsidRPr="0054775B">
        <w:rPr>
          <w:rFonts w:ascii="Aptos" w:hAnsi="Aptos"/>
        </w:rPr>
        <w:instrText>SEQ Table \* ARABIC</w:instrText>
      </w:r>
      <w:r w:rsidRPr="0054775B">
        <w:rPr>
          <w:rFonts w:ascii="Aptos" w:hAnsi="Aptos"/>
        </w:rPr>
        <w:fldChar w:fldCharType="separate"/>
      </w:r>
      <w:r w:rsidR="00CB3AAD" w:rsidRPr="0054775B" w:rsidDel="004E7C54">
        <w:rPr>
          <w:rFonts w:ascii="Aptos" w:hAnsi="Aptos"/>
          <w:noProof/>
        </w:rPr>
        <w:t>34</w:t>
      </w:r>
      <w:r w:rsidRPr="0054775B">
        <w:rPr>
          <w:rFonts w:ascii="Aptos" w:hAnsi="Aptos"/>
        </w:rPr>
        <w:fldChar w:fldCharType="end"/>
      </w:r>
      <w:r w:rsidRPr="0054775B">
        <w:rPr>
          <w:rFonts w:ascii="Aptos" w:hAnsi="Aptos"/>
        </w:rPr>
        <w:t xml:space="preserve">. Summary of ROBIS assessments – </w:t>
      </w:r>
      <w:r w:rsidR="006449D4" w:rsidRPr="0054775B">
        <w:rPr>
          <w:rFonts w:ascii="Aptos" w:hAnsi="Aptos"/>
        </w:rPr>
        <w:t>Headache and migraine, magnesium</w:t>
      </w:r>
      <w:bookmarkEnd w:id="110"/>
    </w:p>
    <w:tbl>
      <w:tblPr>
        <w:tblW w:w="920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28" w:type="dxa"/>
        </w:tblCellMar>
        <w:tblLook w:val="04A0" w:firstRow="1" w:lastRow="0" w:firstColumn="1" w:lastColumn="0" w:noHBand="0" w:noVBand="1"/>
      </w:tblPr>
      <w:tblGrid>
        <w:gridCol w:w="1585"/>
        <w:gridCol w:w="1605"/>
        <w:gridCol w:w="1605"/>
        <w:gridCol w:w="1605"/>
        <w:gridCol w:w="1605"/>
        <w:gridCol w:w="1199"/>
      </w:tblGrid>
      <w:tr w:rsidR="003D6D34" w:rsidRPr="0054775B" w14:paraId="430C1581" w14:textId="77777777" w:rsidTr="006B73A9">
        <w:trPr>
          <w:trHeight w:val="95"/>
        </w:trPr>
        <w:tc>
          <w:tcPr>
            <w:tcW w:w="1585" w:type="dxa"/>
            <w:vMerge w:val="restart"/>
            <w:shd w:val="clear" w:color="auto" w:fill="D9D9D9" w:themeFill="background1" w:themeFillShade="D9"/>
            <w:vAlign w:val="center"/>
            <w:hideMark/>
          </w:tcPr>
          <w:p w14:paraId="4B47CDAC" w14:textId="77777777" w:rsidR="003D6D34" w:rsidRPr="0054775B" w:rsidRDefault="003D6D34" w:rsidP="00515FE7">
            <w:pPr>
              <w:pStyle w:val="2024TABLEHEADER"/>
            </w:pPr>
            <w:r w:rsidRPr="0054775B">
              <w:t>Review ID</w:t>
            </w:r>
          </w:p>
        </w:tc>
        <w:tc>
          <w:tcPr>
            <w:tcW w:w="6420" w:type="dxa"/>
            <w:gridSpan w:val="4"/>
            <w:shd w:val="clear" w:color="auto" w:fill="D9D9D9" w:themeFill="background1" w:themeFillShade="D9"/>
            <w:vAlign w:val="center"/>
          </w:tcPr>
          <w:p w14:paraId="1CAA0BFD" w14:textId="77777777" w:rsidR="003D6D34" w:rsidRPr="0054775B" w:rsidRDefault="003D6D34" w:rsidP="00515FE7">
            <w:pPr>
              <w:pStyle w:val="2024TABLEHEADER"/>
            </w:pPr>
            <w:r w:rsidRPr="0054775B">
              <w:t>ROBIS Domains</w:t>
            </w:r>
          </w:p>
        </w:tc>
        <w:tc>
          <w:tcPr>
            <w:tcW w:w="1199" w:type="dxa"/>
            <w:vMerge w:val="restart"/>
            <w:shd w:val="clear" w:color="auto" w:fill="D9D9D9" w:themeFill="background1" w:themeFillShade="D9"/>
            <w:vAlign w:val="center"/>
          </w:tcPr>
          <w:p w14:paraId="429AADD8" w14:textId="77777777" w:rsidR="003D6D34" w:rsidRPr="0054775B" w:rsidRDefault="003D6D34" w:rsidP="00515FE7">
            <w:pPr>
              <w:pStyle w:val="2024TABLEHEADER"/>
            </w:pPr>
            <w:r w:rsidRPr="0054775B">
              <w:t>Overall risk of bias</w:t>
            </w:r>
          </w:p>
        </w:tc>
      </w:tr>
      <w:tr w:rsidR="006B73A9" w:rsidRPr="0054775B" w14:paraId="4D32CDA8" w14:textId="77777777" w:rsidTr="006B73A9">
        <w:trPr>
          <w:trHeight w:val="95"/>
        </w:trPr>
        <w:tc>
          <w:tcPr>
            <w:tcW w:w="1585" w:type="dxa"/>
            <w:vMerge/>
            <w:shd w:val="clear" w:color="auto" w:fill="D9D9D9" w:themeFill="background1" w:themeFillShade="D9"/>
            <w:vAlign w:val="center"/>
          </w:tcPr>
          <w:p w14:paraId="41A1CE21" w14:textId="77777777" w:rsidR="003D6D34" w:rsidRPr="0054775B" w:rsidRDefault="003D6D34" w:rsidP="00515FE7">
            <w:pPr>
              <w:pStyle w:val="2024TABLEHEADER"/>
            </w:pPr>
          </w:p>
        </w:tc>
        <w:tc>
          <w:tcPr>
            <w:tcW w:w="1605" w:type="dxa"/>
            <w:shd w:val="clear" w:color="auto" w:fill="F2F2F2" w:themeFill="background1" w:themeFillShade="F2"/>
            <w:vAlign w:val="center"/>
          </w:tcPr>
          <w:p w14:paraId="776DA0C6" w14:textId="77777777" w:rsidR="003D6D34" w:rsidRPr="0054775B" w:rsidRDefault="003D6D34" w:rsidP="00515FE7">
            <w:pPr>
              <w:pStyle w:val="2024TABLEHEADER"/>
            </w:pPr>
            <w:r w:rsidRPr="0054775B">
              <w:t>Domain 1: Study eligibility criteria</w:t>
            </w:r>
          </w:p>
        </w:tc>
        <w:tc>
          <w:tcPr>
            <w:tcW w:w="1605" w:type="dxa"/>
            <w:shd w:val="clear" w:color="auto" w:fill="F2F2F2" w:themeFill="background1" w:themeFillShade="F2"/>
            <w:vAlign w:val="center"/>
          </w:tcPr>
          <w:p w14:paraId="43BDD580" w14:textId="77777777" w:rsidR="003D6D34" w:rsidRPr="0054775B" w:rsidRDefault="003D6D34" w:rsidP="00515FE7">
            <w:pPr>
              <w:pStyle w:val="2024TABLEHEADER"/>
            </w:pPr>
            <w:r w:rsidRPr="0054775B">
              <w:t>Domain 2: Identification and selection of studies</w:t>
            </w:r>
          </w:p>
        </w:tc>
        <w:tc>
          <w:tcPr>
            <w:tcW w:w="1605" w:type="dxa"/>
            <w:shd w:val="clear" w:color="auto" w:fill="F2F2F2" w:themeFill="background1" w:themeFillShade="F2"/>
            <w:vAlign w:val="center"/>
          </w:tcPr>
          <w:p w14:paraId="64B455DB" w14:textId="77777777" w:rsidR="003D6D34" w:rsidRPr="0054775B" w:rsidRDefault="003D6D34" w:rsidP="00515FE7">
            <w:pPr>
              <w:pStyle w:val="2024TABLEHEADER"/>
            </w:pPr>
            <w:r w:rsidRPr="0054775B">
              <w:t>Domain 3: Data collection and study appraisal</w:t>
            </w:r>
          </w:p>
        </w:tc>
        <w:tc>
          <w:tcPr>
            <w:tcW w:w="1605" w:type="dxa"/>
            <w:shd w:val="clear" w:color="auto" w:fill="F2F2F2" w:themeFill="background1" w:themeFillShade="F2"/>
            <w:vAlign w:val="center"/>
          </w:tcPr>
          <w:p w14:paraId="754EA1E6" w14:textId="77777777" w:rsidR="003D6D34" w:rsidRPr="0054775B" w:rsidRDefault="003D6D34" w:rsidP="00515FE7">
            <w:pPr>
              <w:pStyle w:val="2024TABLEHEADER"/>
            </w:pPr>
            <w:r w:rsidRPr="0054775B">
              <w:t>Domain 4: Synthesis and findings</w:t>
            </w:r>
          </w:p>
        </w:tc>
        <w:tc>
          <w:tcPr>
            <w:tcW w:w="1199" w:type="dxa"/>
            <w:vMerge/>
            <w:shd w:val="clear" w:color="auto" w:fill="D9D9D9" w:themeFill="background1" w:themeFillShade="D9"/>
            <w:vAlign w:val="center"/>
          </w:tcPr>
          <w:p w14:paraId="64A5F19C" w14:textId="77777777" w:rsidR="003D6D34" w:rsidRPr="0054775B" w:rsidRDefault="003D6D34" w:rsidP="009E6F7F">
            <w:pPr>
              <w:pStyle w:val="TABLE"/>
              <w:rPr>
                <w:rFonts w:ascii="Aptos" w:hAnsi="Aptos"/>
              </w:rPr>
            </w:pPr>
          </w:p>
        </w:tc>
      </w:tr>
      <w:tr w:rsidR="006B73A9" w:rsidRPr="0054775B" w14:paraId="22315BD9" w14:textId="77777777" w:rsidTr="006B73A9">
        <w:trPr>
          <w:trHeight w:val="95"/>
        </w:trPr>
        <w:tc>
          <w:tcPr>
            <w:tcW w:w="1585" w:type="dxa"/>
            <w:shd w:val="clear" w:color="auto" w:fill="auto"/>
            <w:vAlign w:val="bottom"/>
          </w:tcPr>
          <w:p w14:paraId="310873A8" w14:textId="402D66B0" w:rsidR="00F30CB3" w:rsidRPr="0054775B" w:rsidRDefault="00F30CB3" w:rsidP="00227109">
            <w:pPr>
              <w:pStyle w:val="2024TABLETEXT"/>
              <w:framePr w:hSpace="0" w:wrap="auto" w:vAnchor="margin" w:yAlign="inline"/>
              <w:suppressOverlap w:val="0"/>
            </w:pPr>
            <w:r w:rsidRPr="0054775B">
              <w:t>Chiu 2016</w:t>
            </w:r>
          </w:p>
        </w:tc>
        <w:tc>
          <w:tcPr>
            <w:tcW w:w="1605" w:type="dxa"/>
            <w:shd w:val="clear" w:color="auto" w:fill="auto"/>
          </w:tcPr>
          <w:p w14:paraId="2C49D4C4" w14:textId="0EB5CCB5" w:rsidR="00F30CB3" w:rsidRPr="00B46272" w:rsidRDefault="00F30CB3" w:rsidP="00227109">
            <w:pPr>
              <w:pStyle w:val="2024TABLETEXT"/>
              <w:framePr w:hSpace="0" w:wrap="auto" w:vAnchor="margin" w:yAlign="inline"/>
              <w:suppressOverlap w:val="0"/>
            </w:pPr>
            <w:r w:rsidRPr="00B46272">
              <w:t>Low</w:t>
            </w:r>
          </w:p>
        </w:tc>
        <w:tc>
          <w:tcPr>
            <w:tcW w:w="1605" w:type="dxa"/>
            <w:shd w:val="clear" w:color="auto" w:fill="auto"/>
          </w:tcPr>
          <w:p w14:paraId="277429CA" w14:textId="71141670" w:rsidR="00F30CB3" w:rsidRPr="00B46272" w:rsidRDefault="009D1C86" w:rsidP="00227109">
            <w:pPr>
              <w:pStyle w:val="2024TABLETEXT"/>
              <w:framePr w:hSpace="0" w:wrap="auto" w:vAnchor="margin" w:yAlign="inline"/>
              <w:suppressOverlap w:val="0"/>
            </w:pPr>
            <w:r>
              <w:t>Unclear</w:t>
            </w:r>
          </w:p>
        </w:tc>
        <w:tc>
          <w:tcPr>
            <w:tcW w:w="1605" w:type="dxa"/>
            <w:shd w:val="clear" w:color="auto" w:fill="auto"/>
          </w:tcPr>
          <w:p w14:paraId="2E73E1E8" w14:textId="5916292B" w:rsidR="00F30CB3" w:rsidRPr="00B46272" w:rsidRDefault="00F30CB3" w:rsidP="00227109">
            <w:pPr>
              <w:pStyle w:val="2024TABLETEXT"/>
              <w:framePr w:hSpace="0" w:wrap="auto" w:vAnchor="margin" w:yAlign="inline"/>
              <w:suppressOverlap w:val="0"/>
            </w:pPr>
            <w:r w:rsidRPr="00B46272">
              <w:t>Low</w:t>
            </w:r>
          </w:p>
        </w:tc>
        <w:tc>
          <w:tcPr>
            <w:tcW w:w="1605" w:type="dxa"/>
            <w:shd w:val="clear" w:color="auto" w:fill="auto"/>
          </w:tcPr>
          <w:p w14:paraId="2EAE4B9D" w14:textId="42362A51" w:rsidR="00F30CB3" w:rsidRPr="00B46272" w:rsidRDefault="00F30CB3" w:rsidP="00227109">
            <w:pPr>
              <w:pStyle w:val="2024TABLETEXT"/>
              <w:framePr w:hSpace="0" w:wrap="auto" w:vAnchor="margin" w:yAlign="inline"/>
              <w:suppressOverlap w:val="0"/>
            </w:pPr>
            <w:r w:rsidRPr="00B46272">
              <w:t>Low</w:t>
            </w:r>
          </w:p>
        </w:tc>
        <w:tc>
          <w:tcPr>
            <w:tcW w:w="1199" w:type="dxa"/>
            <w:shd w:val="clear" w:color="auto" w:fill="auto"/>
            <w:vAlign w:val="center"/>
          </w:tcPr>
          <w:p w14:paraId="6F9780B4" w14:textId="33023B25" w:rsidR="00F30CB3" w:rsidRPr="00B46272" w:rsidRDefault="00F30CB3" w:rsidP="00227109">
            <w:pPr>
              <w:pStyle w:val="2024TABLETEXT"/>
              <w:framePr w:hSpace="0" w:wrap="auto" w:vAnchor="margin" w:yAlign="inline"/>
              <w:suppressOverlap w:val="0"/>
            </w:pPr>
            <w:r w:rsidRPr="00B46272">
              <w:t>Low risk</w:t>
            </w:r>
          </w:p>
        </w:tc>
      </w:tr>
      <w:tr w:rsidR="006B73A9" w:rsidRPr="0054775B" w14:paraId="2935E467" w14:textId="77777777" w:rsidTr="006B73A9">
        <w:trPr>
          <w:trHeight w:val="95"/>
        </w:trPr>
        <w:tc>
          <w:tcPr>
            <w:tcW w:w="1585" w:type="dxa"/>
            <w:shd w:val="clear" w:color="auto" w:fill="auto"/>
            <w:vAlign w:val="bottom"/>
          </w:tcPr>
          <w:p w14:paraId="5A9D613B" w14:textId="4DE482AE" w:rsidR="007742D8" w:rsidRPr="0054775B" w:rsidRDefault="007742D8" w:rsidP="00227109">
            <w:pPr>
              <w:pStyle w:val="2024TABLETEXT"/>
              <w:framePr w:hSpace="0" w:wrap="auto" w:vAnchor="margin" w:yAlign="inline"/>
              <w:suppressOverlap w:val="0"/>
            </w:pPr>
            <w:r w:rsidRPr="0054775B">
              <w:t>Okoli 2019</w:t>
            </w:r>
          </w:p>
        </w:tc>
        <w:tc>
          <w:tcPr>
            <w:tcW w:w="1605" w:type="dxa"/>
            <w:shd w:val="clear" w:color="auto" w:fill="auto"/>
          </w:tcPr>
          <w:p w14:paraId="62A8069F" w14:textId="06B0EF9B" w:rsidR="007742D8" w:rsidRPr="00B46272" w:rsidRDefault="007742D8" w:rsidP="00227109">
            <w:pPr>
              <w:pStyle w:val="2024TABLETEXT"/>
              <w:framePr w:hSpace="0" w:wrap="auto" w:vAnchor="margin" w:yAlign="inline"/>
              <w:suppressOverlap w:val="0"/>
            </w:pPr>
            <w:r w:rsidRPr="00B46272">
              <w:t>Low</w:t>
            </w:r>
          </w:p>
        </w:tc>
        <w:tc>
          <w:tcPr>
            <w:tcW w:w="1605" w:type="dxa"/>
            <w:shd w:val="clear" w:color="auto" w:fill="auto"/>
          </w:tcPr>
          <w:p w14:paraId="6312FB12" w14:textId="4CE4C1E8" w:rsidR="007742D8" w:rsidRPr="00B46272" w:rsidRDefault="007742D8" w:rsidP="00227109">
            <w:pPr>
              <w:pStyle w:val="2024TABLETEXT"/>
              <w:framePr w:hSpace="0" w:wrap="auto" w:vAnchor="margin" w:yAlign="inline"/>
              <w:suppressOverlap w:val="0"/>
            </w:pPr>
            <w:r w:rsidRPr="00B46272">
              <w:t>Low</w:t>
            </w:r>
          </w:p>
        </w:tc>
        <w:tc>
          <w:tcPr>
            <w:tcW w:w="1605" w:type="dxa"/>
            <w:shd w:val="clear" w:color="auto" w:fill="auto"/>
          </w:tcPr>
          <w:p w14:paraId="6A36BE4C" w14:textId="7EEFCEBF" w:rsidR="007742D8" w:rsidRPr="00B46272" w:rsidRDefault="007742D8" w:rsidP="00227109">
            <w:pPr>
              <w:pStyle w:val="2024TABLETEXT"/>
              <w:framePr w:hSpace="0" w:wrap="auto" w:vAnchor="margin" w:yAlign="inline"/>
              <w:suppressOverlap w:val="0"/>
            </w:pPr>
            <w:r w:rsidRPr="00B46272">
              <w:t>Low</w:t>
            </w:r>
          </w:p>
        </w:tc>
        <w:tc>
          <w:tcPr>
            <w:tcW w:w="1605" w:type="dxa"/>
            <w:shd w:val="clear" w:color="auto" w:fill="auto"/>
          </w:tcPr>
          <w:p w14:paraId="512F64DE" w14:textId="162FBA67" w:rsidR="007742D8" w:rsidRPr="00B46272" w:rsidRDefault="009D1C86" w:rsidP="00227109">
            <w:pPr>
              <w:pStyle w:val="2024TABLETEXT"/>
              <w:framePr w:hSpace="0" w:wrap="auto" w:vAnchor="margin" w:yAlign="inline"/>
              <w:suppressOverlap w:val="0"/>
            </w:pPr>
            <w:r>
              <w:t>High</w:t>
            </w:r>
          </w:p>
        </w:tc>
        <w:tc>
          <w:tcPr>
            <w:tcW w:w="1199" w:type="dxa"/>
            <w:shd w:val="clear" w:color="auto" w:fill="auto"/>
            <w:vAlign w:val="center"/>
          </w:tcPr>
          <w:p w14:paraId="223D6AC6" w14:textId="3FDE27B1" w:rsidR="007742D8" w:rsidRPr="00B46272" w:rsidRDefault="009D1C86" w:rsidP="00227109">
            <w:pPr>
              <w:pStyle w:val="2024TABLETEXT"/>
              <w:framePr w:hSpace="0" w:wrap="auto" w:vAnchor="margin" w:yAlign="inline"/>
              <w:suppressOverlap w:val="0"/>
            </w:pPr>
            <w:r>
              <w:t>High</w:t>
            </w:r>
            <w:r w:rsidRPr="00B46272">
              <w:t xml:space="preserve"> </w:t>
            </w:r>
            <w:r w:rsidR="007742D8" w:rsidRPr="00B46272">
              <w:t>risk</w:t>
            </w:r>
          </w:p>
        </w:tc>
      </w:tr>
      <w:tr w:rsidR="006B73A9" w:rsidRPr="0054775B" w14:paraId="725DC7DC" w14:textId="77777777" w:rsidTr="006B73A9">
        <w:trPr>
          <w:trHeight w:val="95"/>
        </w:trPr>
        <w:tc>
          <w:tcPr>
            <w:tcW w:w="1585" w:type="dxa"/>
            <w:shd w:val="clear" w:color="auto" w:fill="auto"/>
            <w:vAlign w:val="bottom"/>
          </w:tcPr>
          <w:p w14:paraId="13881F48" w14:textId="1885DDC1" w:rsidR="007742D8" w:rsidRPr="0054775B" w:rsidRDefault="007742D8" w:rsidP="00227109">
            <w:pPr>
              <w:pStyle w:val="2024TABLETEXT"/>
              <w:framePr w:hSpace="0" w:wrap="auto" w:vAnchor="margin" w:yAlign="inline"/>
              <w:suppressOverlap w:val="0"/>
            </w:pPr>
            <w:r w:rsidRPr="0054775B">
              <w:t>Park 2020</w:t>
            </w:r>
          </w:p>
        </w:tc>
        <w:tc>
          <w:tcPr>
            <w:tcW w:w="1605" w:type="dxa"/>
            <w:shd w:val="clear" w:color="auto" w:fill="auto"/>
          </w:tcPr>
          <w:p w14:paraId="6824DB28" w14:textId="0DF0F388" w:rsidR="007742D8" w:rsidRPr="00B46272" w:rsidRDefault="007742D8" w:rsidP="00227109">
            <w:pPr>
              <w:pStyle w:val="2024TABLETEXT"/>
              <w:framePr w:hSpace="0" w:wrap="auto" w:vAnchor="margin" w:yAlign="inline"/>
              <w:suppressOverlap w:val="0"/>
            </w:pPr>
            <w:r w:rsidRPr="00B46272">
              <w:t>Low</w:t>
            </w:r>
          </w:p>
        </w:tc>
        <w:tc>
          <w:tcPr>
            <w:tcW w:w="1605" w:type="dxa"/>
            <w:shd w:val="clear" w:color="auto" w:fill="auto"/>
          </w:tcPr>
          <w:p w14:paraId="68F86ABD" w14:textId="60E724CE" w:rsidR="007742D8" w:rsidRPr="00B46272" w:rsidRDefault="009D1C86" w:rsidP="00227109">
            <w:pPr>
              <w:pStyle w:val="2024TABLETEXT"/>
              <w:framePr w:hSpace="0" w:wrap="auto" w:vAnchor="margin" w:yAlign="inline"/>
              <w:suppressOverlap w:val="0"/>
            </w:pPr>
            <w:r>
              <w:t>Unclear</w:t>
            </w:r>
          </w:p>
        </w:tc>
        <w:tc>
          <w:tcPr>
            <w:tcW w:w="1605" w:type="dxa"/>
            <w:shd w:val="clear" w:color="auto" w:fill="auto"/>
          </w:tcPr>
          <w:p w14:paraId="1D23D35E" w14:textId="02CEF29F" w:rsidR="007742D8" w:rsidRPr="00B46272" w:rsidRDefault="007742D8" w:rsidP="00227109">
            <w:pPr>
              <w:pStyle w:val="2024TABLETEXT"/>
              <w:framePr w:hSpace="0" w:wrap="auto" w:vAnchor="margin" w:yAlign="inline"/>
              <w:suppressOverlap w:val="0"/>
            </w:pPr>
            <w:r w:rsidRPr="00B46272">
              <w:t>Low</w:t>
            </w:r>
          </w:p>
        </w:tc>
        <w:tc>
          <w:tcPr>
            <w:tcW w:w="1605" w:type="dxa"/>
            <w:shd w:val="clear" w:color="auto" w:fill="auto"/>
          </w:tcPr>
          <w:p w14:paraId="0270768C" w14:textId="4954EF85" w:rsidR="007742D8" w:rsidRPr="00B46272" w:rsidRDefault="009D1C86" w:rsidP="00227109">
            <w:pPr>
              <w:pStyle w:val="2024TABLETEXT"/>
              <w:framePr w:hSpace="0" w:wrap="auto" w:vAnchor="margin" w:yAlign="inline"/>
              <w:suppressOverlap w:val="0"/>
            </w:pPr>
            <w:r>
              <w:t>Unclear</w:t>
            </w:r>
          </w:p>
        </w:tc>
        <w:tc>
          <w:tcPr>
            <w:tcW w:w="1199" w:type="dxa"/>
            <w:shd w:val="clear" w:color="auto" w:fill="auto"/>
            <w:vAlign w:val="center"/>
          </w:tcPr>
          <w:p w14:paraId="2F809195" w14:textId="05BCC277" w:rsidR="007742D8" w:rsidRPr="00B46272" w:rsidRDefault="009D1C86" w:rsidP="00227109">
            <w:pPr>
              <w:pStyle w:val="2024TABLETEXT"/>
              <w:framePr w:hSpace="0" w:wrap="auto" w:vAnchor="margin" w:yAlign="inline"/>
              <w:suppressOverlap w:val="0"/>
            </w:pPr>
            <w:r>
              <w:t>Unclear</w:t>
            </w:r>
            <w:r w:rsidRPr="00B46272">
              <w:t xml:space="preserve"> </w:t>
            </w:r>
            <w:r w:rsidR="007742D8" w:rsidRPr="00B46272">
              <w:t>risk</w:t>
            </w:r>
          </w:p>
        </w:tc>
      </w:tr>
      <w:tr w:rsidR="006B73A9" w:rsidRPr="0054775B" w14:paraId="29C145AB" w14:textId="77777777" w:rsidTr="006B73A9">
        <w:trPr>
          <w:trHeight w:val="95"/>
        </w:trPr>
        <w:tc>
          <w:tcPr>
            <w:tcW w:w="1585" w:type="dxa"/>
            <w:shd w:val="clear" w:color="auto" w:fill="auto"/>
            <w:vAlign w:val="bottom"/>
          </w:tcPr>
          <w:p w14:paraId="12C945C0" w14:textId="1E9E6059" w:rsidR="007742D8" w:rsidRPr="0054775B" w:rsidRDefault="007742D8" w:rsidP="00227109">
            <w:pPr>
              <w:pStyle w:val="2024TABLETEXT"/>
              <w:framePr w:hSpace="0" w:wrap="auto" w:vAnchor="margin" w:yAlign="inline"/>
              <w:suppressOverlap w:val="0"/>
            </w:pPr>
            <w:r w:rsidRPr="0054775B">
              <w:t>Pringsheim 2008</w:t>
            </w:r>
          </w:p>
        </w:tc>
        <w:tc>
          <w:tcPr>
            <w:tcW w:w="1605" w:type="dxa"/>
            <w:shd w:val="clear" w:color="auto" w:fill="auto"/>
          </w:tcPr>
          <w:p w14:paraId="4E858FC5" w14:textId="4CA6CE83" w:rsidR="007742D8" w:rsidRPr="00B46272" w:rsidRDefault="007742D8" w:rsidP="00227109">
            <w:pPr>
              <w:pStyle w:val="2024TABLETEXT"/>
              <w:framePr w:hSpace="0" w:wrap="auto" w:vAnchor="margin" w:yAlign="inline"/>
              <w:suppressOverlap w:val="0"/>
            </w:pPr>
            <w:r w:rsidRPr="00B46272">
              <w:t>Low</w:t>
            </w:r>
          </w:p>
        </w:tc>
        <w:tc>
          <w:tcPr>
            <w:tcW w:w="1605" w:type="dxa"/>
            <w:shd w:val="clear" w:color="auto" w:fill="auto"/>
          </w:tcPr>
          <w:p w14:paraId="74E95B2B" w14:textId="5DD4D6C6" w:rsidR="007742D8" w:rsidRPr="00B46272" w:rsidRDefault="009D1C86" w:rsidP="00227109">
            <w:pPr>
              <w:pStyle w:val="2024TABLETEXT"/>
              <w:framePr w:hSpace="0" w:wrap="auto" w:vAnchor="margin" w:yAlign="inline"/>
              <w:suppressOverlap w:val="0"/>
            </w:pPr>
            <w:r>
              <w:t>Unclear</w:t>
            </w:r>
          </w:p>
        </w:tc>
        <w:tc>
          <w:tcPr>
            <w:tcW w:w="1605" w:type="dxa"/>
            <w:shd w:val="clear" w:color="auto" w:fill="auto"/>
          </w:tcPr>
          <w:p w14:paraId="375B8253" w14:textId="519B1F37" w:rsidR="007742D8" w:rsidRPr="00B46272" w:rsidRDefault="007742D8" w:rsidP="00227109">
            <w:pPr>
              <w:pStyle w:val="2024TABLETEXT"/>
              <w:framePr w:hSpace="0" w:wrap="auto" w:vAnchor="margin" w:yAlign="inline"/>
              <w:suppressOverlap w:val="0"/>
            </w:pPr>
            <w:r w:rsidRPr="00B46272">
              <w:t>Low</w:t>
            </w:r>
          </w:p>
        </w:tc>
        <w:tc>
          <w:tcPr>
            <w:tcW w:w="1605" w:type="dxa"/>
            <w:shd w:val="clear" w:color="auto" w:fill="auto"/>
          </w:tcPr>
          <w:p w14:paraId="4CA36DD0" w14:textId="5EA2929F" w:rsidR="007742D8" w:rsidRPr="00B46272" w:rsidRDefault="009D1C86" w:rsidP="00227109">
            <w:pPr>
              <w:pStyle w:val="2024TABLETEXT"/>
              <w:framePr w:hSpace="0" w:wrap="auto" w:vAnchor="margin" w:yAlign="inline"/>
              <w:suppressOverlap w:val="0"/>
            </w:pPr>
            <w:r>
              <w:t>High</w:t>
            </w:r>
          </w:p>
        </w:tc>
        <w:tc>
          <w:tcPr>
            <w:tcW w:w="1199" w:type="dxa"/>
            <w:shd w:val="clear" w:color="auto" w:fill="auto"/>
            <w:vAlign w:val="center"/>
          </w:tcPr>
          <w:p w14:paraId="34B89F3A" w14:textId="2EECB7C1" w:rsidR="007742D8" w:rsidRPr="00B46272" w:rsidRDefault="009D1C86" w:rsidP="00227109">
            <w:pPr>
              <w:pStyle w:val="2024TABLETEXT"/>
              <w:framePr w:hSpace="0" w:wrap="auto" w:vAnchor="margin" w:yAlign="inline"/>
              <w:suppressOverlap w:val="0"/>
            </w:pPr>
            <w:r>
              <w:t>High</w:t>
            </w:r>
            <w:r w:rsidRPr="00B46272">
              <w:t xml:space="preserve"> </w:t>
            </w:r>
            <w:r w:rsidR="007742D8" w:rsidRPr="00B46272">
              <w:t>risk</w:t>
            </w:r>
          </w:p>
        </w:tc>
      </w:tr>
      <w:tr w:rsidR="006B73A9" w:rsidRPr="0054775B" w14:paraId="793B0258" w14:textId="77777777" w:rsidTr="006B73A9">
        <w:trPr>
          <w:trHeight w:val="95"/>
        </w:trPr>
        <w:tc>
          <w:tcPr>
            <w:tcW w:w="1585" w:type="dxa"/>
            <w:shd w:val="clear" w:color="auto" w:fill="auto"/>
            <w:vAlign w:val="bottom"/>
          </w:tcPr>
          <w:p w14:paraId="769A838A" w14:textId="6CEAA56C" w:rsidR="007742D8" w:rsidRPr="0054775B" w:rsidRDefault="007742D8" w:rsidP="00227109">
            <w:pPr>
              <w:pStyle w:val="2024TABLETEXT"/>
              <w:framePr w:hSpace="0" w:wrap="auto" w:vAnchor="margin" w:yAlign="inline"/>
              <w:suppressOverlap w:val="0"/>
            </w:pPr>
            <w:r w:rsidRPr="0054775B">
              <w:t>Pringsheim 2012</w:t>
            </w:r>
          </w:p>
        </w:tc>
        <w:tc>
          <w:tcPr>
            <w:tcW w:w="1605" w:type="dxa"/>
            <w:shd w:val="clear" w:color="auto" w:fill="auto"/>
          </w:tcPr>
          <w:p w14:paraId="20B53DD8" w14:textId="3FE1262D" w:rsidR="007742D8" w:rsidRPr="00B46272" w:rsidRDefault="007742D8" w:rsidP="00227109">
            <w:pPr>
              <w:pStyle w:val="2024TABLETEXT"/>
              <w:framePr w:hSpace="0" w:wrap="auto" w:vAnchor="margin" w:yAlign="inline"/>
              <w:suppressOverlap w:val="0"/>
            </w:pPr>
            <w:r w:rsidRPr="00B46272">
              <w:t>Low</w:t>
            </w:r>
          </w:p>
        </w:tc>
        <w:tc>
          <w:tcPr>
            <w:tcW w:w="1605" w:type="dxa"/>
            <w:shd w:val="clear" w:color="auto" w:fill="auto"/>
          </w:tcPr>
          <w:p w14:paraId="641252EB" w14:textId="1AC9B771" w:rsidR="007742D8" w:rsidRPr="00B46272" w:rsidRDefault="009D1C86" w:rsidP="00227109">
            <w:pPr>
              <w:pStyle w:val="2024TABLETEXT"/>
              <w:framePr w:hSpace="0" w:wrap="auto" w:vAnchor="margin" w:yAlign="inline"/>
              <w:suppressOverlap w:val="0"/>
            </w:pPr>
            <w:r>
              <w:t>Unclear</w:t>
            </w:r>
          </w:p>
        </w:tc>
        <w:tc>
          <w:tcPr>
            <w:tcW w:w="1605" w:type="dxa"/>
            <w:shd w:val="clear" w:color="auto" w:fill="auto"/>
          </w:tcPr>
          <w:p w14:paraId="2E03FE34" w14:textId="1582C682" w:rsidR="007742D8" w:rsidRPr="00B46272" w:rsidRDefault="007742D8" w:rsidP="00227109">
            <w:pPr>
              <w:pStyle w:val="2024TABLETEXT"/>
              <w:framePr w:hSpace="0" w:wrap="auto" w:vAnchor="margin" w:yAlign="inline"/>
              <w:suppressOverlap w:val="0"/>
            </w:pPr>
            <w:r w:rsidRPr="00B46272">
              <w:t>Low</w:t>
            </w:r>
          </w:p>
        </w:tc>
        <w:tc>
          <w:tcPr>
            <w:tcW w:w="1605" w:type="dxa"/>
            <w:shd w:val="clear" w:color="auto" w:fill="auto"/>
          </w:tcPr>
          <w:p w14:paraId="6A3BDBE4" w14:textId="3EBB670C" w:rsidR="007742D8" w:rsidRPr="00B46272" w:rsidRDefault="009D1C86" w:rsidP="00227109">
            <w:pPr>
              <w:pStyle w:val="2024TABLETEXT"/>
              <w:framePr w:hSpace="0" w:wrap="auto" w:vAnchor="margin" w:yAlign="inline"/>
              <w:suppressOverlap w:val="0"/>
            </w:pPr>
            <w:r>
              <w:t>High</w:t>
            </w:r>
          </w:p>
        </w:tc>
        <w:tc>
          <w:tcPr>
            <w:tcW w:w="1199" w:type="dxa"/>
            <w:shd w:val="clear" w:color="auto" w:fill="auto"/>
            <w:vAlign w:val="center"/>
          </w:tcPr>
          <w:p w14:paraId="156FB337" w14:textId="72D55DE4" w:rsidR="007742D8" w:rsidRPr="00B46272" w:rsidRDefault="009D1C86" w:rsidP="00227109">
            <w:pPr>
              <w:pStyle w:val="2024TABLETEXT"/>
              <w:framePr w:hSpace="0" w:wrap="auto" w:vAnchor="margin" w:yAlign="inline"/>
              <w:suppressOverlap w:val="0"/>
            </w:pPr>
            <w:r>
              <w:t>High</w:t>
            </w:r>
            <w:r w:rsidRPr="00B46272">
              <w:t xml:space="preserve"> </w:t>
            </w:r>
            <w:r w:rsidR="007742D8" w:rsidRPr="00B46272">
              <w:t>risk</w:t>
            </w:r>
          </w:p>
        </w:tc>
      </w:tr>
      <w:tr w:rsidR="006B73A9" w:rsidRPr="0054775B" w14:paraId="2A07D3DB" w14:textId="77777777" w:rsidTr="006B73A9">
        <w:trPr>
          <w:trHeight w:val="95"/>
        </w:trPr>
        <w:tc>
          <w:tcPr>
            <w:tcW w:w="1585" w:type="dxa"/>
            <w:shd w:val="clear" w:color="auto" w:fill="auto"/>
            <w:vAlign w:val="bottom"/>
          </w:tcPr>
          <w:p w14:paraId="67D5E11A" w14:textId="00D91760" w:rsidR="007742D8" w:rsidRPr="0054775B" w:rsidRDefault="007742D8" w:rsidP="00227109">
            <w:pPr>
              <w:pStyle w:val="2024TABLETEXT"/>
              <w:framePr w:hSpace="0" w:wrap="auto" w:vAnchor="margin" w:yAlign="inline"/>
              <w:suppressOverlap w:val="0"/>
            </w:pPr>
            <w:r w:rsidRPr="0054775B">
              <w:t>vonLuckner 2018</w:t>
            </w:r>
          </w:p>
        </w:tc>
        <w:tc>
          <w:tcPr>
            <w:tcW w:w="1605" w:type="dxa"/>
            <w:shd w:val="clear" w:color="auto" w:fill="auto"/>
          </w:tcPr>
          <w:p w14:paraId="13299B4F" w14:textId="4731739B" w:rsidR="007742D8" w:rsidRPr="00B46272" w:rsidRDefault="007742D8" w:rsidP="00227109">
            <w:pPr>
              <w:pStyle w:val="2024TABLETEXT"/>
              <w:framePr w:hSpace="0" w:wrap="auto" w:vAnchor="margin" w:yAlign="inline"/>
              <w:suppressOverlap w:val="0"/>
            </w:pPr>
            <w:r w:rsidRPr="00B46272">
              <w:t>Low</w:t>
            </w:r>
          </w:p>
        </w:tc>
        <w:tc>
          <w:tcPr>
            <w:tcW w:w="1605" w:type="dxa"/>
            <w:shd w:val="clear" w:color="auto" w:fill="auto"/>
          </w:tcPr>
          <w:p w14:paraId="3E37D8A7" w14:textId="70D3CF35" w:rsidR="007742D8" w:rsidRPr="00B46272" w:rsidRDefault="009D1C86" w:rsidP="00227109">
            <w:pPr>
              <w:pStyle w:val="2024TABLETEXT"/>
              <w:framePr w:hSpace="0" w:wrap="auto" w:vAnchor="margin" w:yAlign="inline"/>
              <w:suppressOverlap w:val="0"/>
            </w:pPr>
            <w:r>
              <w:t>Unclear</w:t>
            </w:r>
          </w:p>
        </w:tc>
        <w:tc>
          <w:tcPr>
            <w:tcW w:w="1605" w:type="dxa"/>
            <w:shd w:val="clear" w:color="auto" w:fill="auto"/>
          </w:tcPr>
          <w:p w14:paraId="7F7F45EC" w14:textId="085B8169" w:rsidR="007742D8" w:rsidRPr="00B46272" w:rsidRDefault="007742D8" w:rsidP="00227109">
            <w:pPr>
              <w:pStyle w:val="2024TABLETEXT"/>
              <w:framePr w:hSpace="0" w:wrap="auto" w:vAnchor="margin" w:yAlign="inline"/>
              <w:suppressOverlap w:val="0"/>
            </w:pPr>
            <w:r w:rsidRPr="00B46272">
              <w:t>Low</w:t>
            </w:r>
          </w:p>
        </w:tc>
        <w:tc>
          <w:tcPr>
            <w:tcW w:w="1605" w:type="dxa"/>
            <w:shd w:val="clear" w:color="auto" w:fill="auto"/>
          </w:tcPr>
          <w:p w14:paraId="50AA64F8" w14:textId="33248E2D" w:rsidR="007742D8" w:rsidRPr="00B46272" w:rsidRDefault="006B73A9" w:rsidP="00227109">
            <w:pPr>
              <w:pStyle w:val="2024TABLETEXT"/>
              <w:framePr w:hSpace="0" w:wrap="auto" w:vAnchor="margin" w:yAlign="inline"/>
              <w:suppressOverlap w:val="0"/>
            </w:pPr>
            <w:r>
              <w:t>Unclear</w:t>
            </w:r>
          </w:p>
        </w:tc>
        <w:tc>
          <w:tcPr>
            <w:tcW w:w="1199" w:type="dxa"/>
            <w:shd w:val="clear" w:color="auto" w:fill="auto"/>
            <w:vAlign w:val="center"/>
          </w:tcPr>
          <w:p w14:paraId="33F07010" w14:textId="08EE8E1C" w:rsidR="007742D8" w:rsidRPr="00B46272" w:rsidRDefault="007742D8" w:rsidP="00227109">
            <w:pPr>
              <w:pStyle w:val="2024TABLETEXT"/>
              <w:framePr w:hSpace="0" w:wrap="auto" w:vAnchor="margin" w:yAlign="inline"/>
              <w:suppressOverlap w:val="0"/>
            </w:pPr>
            <w:r w:rsidRPr="00B46272">
              <w:t>Low risk</w:t>
            </w:r>
          </w:p>
        </w:tc>
      </w:tr>
    </w:tbl>
    <w:p w14:paraId="51C747CF" w14:textId="77777777" w:rsidR="007742D8" w:rsidRPr="0054775B" w:rsidRDefault="007742D8" w:rsidP="009E6F7F">
      <w:pPr>
        <w:pStyle w:val="2024HEADER3"/>
        <w:rPr>
          <w:rFonts w:ascii="Aptos" w:hAnsi="Aptos"/>
        </w:rPr>
      </w:pPr>
      <w:r w:rsidRPr="0054775B">
        <w:rPr>
          <w:rFonts w:ascii="Aptos" w:hAnsi="Aptos"/>
        </w:rPr>
        <w:t>Results</w:t>
      </w:r>
    </w:p>
    <w:p w14:paraId="21706213" w14:textId="2B4A0E49" w:rsidR="004D2DB4" w:rsidRDefault="00F06D23" w:rsidP="009E6F7F">
      <w:r>
        <w:t>Preferred</w:t>
      </w:r>
      <w:r w:rsidR="00227109" w:rsidRPr="0054775B">
        <w:t xml:space="preserve"> contributing reviews are listed in the population-intervention matrix in </w:t>
      </w:r>
      <w:r w:rsidR="004E071D" w:rsidRPr="001428E8">
        <w:fldChar w:fldCharType="begin"/>
      </w:r>
      <w:r w:rsidR="004E071D" w:rsidRPr="0054775B">
        <w:instrText xml:space="preserve"> REF _Ref161093185 \h </w:instrText>
      </w:r>
      <w:r w:rsidR="00943BB7">
        <w:instrText xml:space="preserve"> \* MERGEFORMAT </w:instrText>
      </w:r>
      <w:r w:rsidR="004E071D" w:rsidRPr="001428E8">
        <w:fldChar w:fldCharType="separate"/>
      </w:r>
      <w:r w:rsidR="004E071D" w:rsidRPr="0054775B">
        <w:t>Table 35</w:t>
      </w:r>
      <w:r w:rsidR="004E071D" w:rsidRPr="001428E8">
        <w:fldChar w:fldCharType="end"/>
      </w:r>
      <w:r w:rsidR="004E071D" w:rsidRPr="0054775B">
        <w:t>.</w:t>
      </w:r>
      <w:r>
        <w:t xml:space="preserve"> </w:t>
      </w:r>
      <w:r w:rsidR="00943BB7" w:rsidRPr="001428E8">
        <w:t>Okoli et al. (2019) (</w:t>
      </w:r>
      <w:r w:rsidR="002509CD" w:rsidRPr="001428E8">
        <w:t>1</w:t>
      </w:r>
      <w:r w:rsidR="002509CD">
        <w:t>59</w:t>
      </w:r>
      <w:r w:rsidR="00943BB7" w:rsidRPr="001428E8">
        <w:t xml:space="preserve">) was </w:t>
      </w:r>
      <w:r w:rsidR="003803DA">
        <w:t xml:space="preserve">one of </w:t>
      </w:r>
      <w:r w:rsidR="00943BB7" w:rsidRPr="001428E8">
        <w:t xml:space="preserve">the </w:t>
      </w:r>
      <w:r w:rsidR="001D1B10">
        <w:t>most recent review</w:t>
      </w:r>
      <w:r w:rsidR="001B6BF2">
        <w:t>s</w:t>
      </w:r>
      <w:r w:rsidR="001D1B10">
        <w:t xml:space="preserve"> and</w:t>
      </w:r>
      <w:r w:rsidR="00943BB7">
        <w:t xml:space="preserve"> </w:t>
      </w:r>
      <w:r w:rsidR="00943BB7" w:rsidRPr="001428E8">
        <w:t xml:space="preserve">included the largest meta-analysis. </w:t>
      </w:r>
      <w:r w:rsidR="00F8667E">
        <w:t xml:space="preserve">Chiu (2016) had </w:t>
      </w:r>
      <w:r w:rsidR="004D2DB4">
        <w:t xml:space="preserve">the lowest risk of bias with a similar </w:t>
      </w:r>
      <w:r w:rsidR="001B6BF2">
        <w:t xml:space="preserve">sized </w:t>
      </w:r>
      <w:r w:rsidR="004D2DB4">
        <w:t>meta-analysis to Okoli 2019, however results for magnesium alone versus with a co-intervention and with active versus inactive controls could not be separated.</w:t>
      </w:r>
      <w:r w:rsidR="00F8667E">
        <w:t xml:space="preserve"> </w:t>
      </w:r>
      <w:r w:rsidR="001D1B10">
        <w:t>Despite being assessed as having a high risk of bias</w:t>
      </w:r>
      <w:r w:rsidR="004D2DB4">
        <w:t xml:space="preserve"> related to unexplained heterogeneity and non-assessment of publication bias in findings</w:t>
      </w:r>
      <w:r w:rsidR="001D1B10">
        <w:t xml:space="preserve">, </w:t>
      </w:r>
      <w:r w:rsidR="00943BB7" w:rsidRPr="001428E8">
        <w:t xml:space="preserve">Okoli et al. (2019) was </w:t>
      </w:r>
      <w:r w:rsidR="004D2DB4">
        <w:t xml:space="preserve">therefore </w:t>
      </w:r>
      <w:r w:rsidR="00943BB7" w:rsidRPr="001428E8">
        <w:t>chosen as the preferred review</w:t>
      </w:r>
      <w:r w:rsidR="00D55426">
        <w:t xml:space="preserve">, </w:t>
      </w:r>
      <w:r w:rsidR="001B6BF2">
        <w:t xml:space="preserve">and </w:t>
      </w:r>
      <w:r w:rsidR="00D55426">
        <w:t>these limitations were noted in GRADE assessments.</w:t>
      </w:r>
    </w:p>
    <w:p w14:paraId="5FF2B95C" w14:textId="29E06ADD" w:rsidR="00227109" w:rsidRPr="0054775B" w:rsidRDefault="00943BB7" w:rsidP="009E6F7F">
      <w:r w:rsidRPr="001428E8">
        <w:t>No reviews reported the effect of magnesium on improvement in headache/migraine</w:t>
      </w:r>
      <w:r w:rsidRPr="001428E8">
        <w:rPr>
          <w:rFonts w:ascii="Cambria Math" w:hAnsi="Cambria Math" w:cs="Cambria Math"/>
        </w:rPr>
        <w:t>‐</w:t>
      </w:r>
      <w:r w:rsidRPr="001428E8">
        <w:t>associated symptoms (nausea and vomiting, photophobia and phonophobia, visual aura), QoL, cognitive function burden or medication use for people with IBS.</w:t>
      </w:r>
    </w:p>
    <w:p w14:paraId="4D7276DA" w14:textId="618DECFF" w:rsidR="007742D8" w:rsidRPr="0054775B" w:rsidRDefault="007742D8" w:rsidP="006F63D3">
      <w:pPr>
        <w:pStyle w:val="2024TABLECAPTION"/>
        <w:rPr>
          <w:rFonts w:ascii="Aptos" w:hAnsi="Aptos"/>
        </w:rPr>
      </w:pPr>
      <w:bookmarkStart w:id="111" w:name="_Ref161093185"/>
      <w:bookmarkStart w:id="112" w:name="_Toc185261613"/>
      <w:r w:rsidRPr="0054775B">
        <w:rPr>
          <w:rFonts w:ascii="Aptos" w:hAnsi="Aptos"/>
        </w:rPr>
        <w:t xml:space="preserve">Table </w:t>
      </w:r>
      <w:r w:rsidRPr="0054775B">
        <w:rPr>
          <w:rFonts w:ascii="Aptos" w:hAnsi="Aptos"/>
        </w:rPr>
        <w:fldChar w:fldCharType="begin"/>
      </w:r>
      <w:r w:rsidRPr="0054775B">
        <w:rPr>
          <w:rFonts w:ascii="Aptos" w:hAnsi="Aptos"/>
        </w:rPr>
        <w:instrText>SEQ Table \* ARABIC</w:instrText>
      </w:r>
      <w:r w:rsidRPr="0054775B">
        <w:rPr>
          <w:rFonts w:ascii="Aptos" w:hAnsi="Aptos"/>
        </w:rPr>
        <w:fldChar w:fldCharType="separate"/>
      </w:r>
      <w:r w:rsidR="00CB3AAD" w:rsidRPr="0054775B" w:rsidDel="004E7C54">
        <w:rPr>
          <w:rFonts w:ascii="Aptos" w:hAnsi="Aptos"/>
          <w:noProof/>
        </w:rPr>
        <w:t>35</w:t>
      </w:r>
      <w:r w:rsidRPr="0054775B">
        <w:rPr>
          <w:rFonts w:ascii="Aptos" w:hAnsi="Aptos"/>
        </w:rPr>
        <w:fldChar w:fldCharType="end"/>
      </w:r>
      <w:bookmarkEnd w:id="111"/>
      <w:r w:rsidRPr="0054775B">
        <w:rPr>
          <w:rFonts w:ascii="Aptos" w:hAnsi="Aptos"/>
        </w:rPr>
        <w:t xml:space="preserve">. Preferred reviews for each population and intervention/co-intervention combination – </w:t>
      </w:r>
      <w:r w:rsidR="00227109" w:rsidRPr="0054775B">
        <w:rPr>
          <w:rFonts w:ascii="Aptos" w:hAnsi="Aptos"/>
        </w:rPr>
        <w:t>h</w:t>
      </w:r>
      <w:r w:rsidR="006449D4" w:rsidRPr="0054775B">
        <w:rPr>
          <w:rFonts w:ascii="Aptos" w:hAnsi="Aptos"/>
        </w:rPr>
        <w:t>eadache and migraine, magnesium</w:t>
      </w:r>
      <w:r w:rsidRPr="0054775B">
        <w:rPr>
          <w:rFonts w:ascii="Aptos" w:hAnsi="Aptos"/>
        </w:rPr>
        <w:t>.</w:t>
      </w:r>
      <w:bookmarkEnd w:id="112"/>
    </w:p>
    <w:tbl>
      <w:tblPr>
        <w:tblStyle w:val="TableGrid"/>
        <w:tblW w:w="0" w:type="auto"/>
        <w:tblLook w:val="04A0" w:firstRow="1" w:lastRow="0" w:firstColumn="1" w:lastColumn="0" w:noHBand="0" w:noVBand="1"/>
      </w:tblPr>
      <w:tblGrid>
        <w:gridCol w:w="3849"/>
        <w:gridCol w:w="3080"/>
        <w:gridCol w:w="2282"/>
      </w:tblGrid>
      <w:tr w:rsidR="00227109" w:rsidRPr="0054775B" w14:paraId="4DFC3C0A" w14:textId="3974C511" w:rsidTr="00227109">
        <w:trPr>
          <w:trHeight w:val="68"/>
        </w:trPr>
        <w:tc>
          <w:tcPr>
            <w:tcW w:w="3849" w:type="dxa"/>
            <w:shd w:val="clear" w:color="auto" w:fill="D9D9D9" w:themeFill="background1" w:themeFillShade="D9"/>
          </w:tcPr>
          <w:p w14:paraId="3B4670AC" w14:textId="77777777" w:rsidR="00227109" w:rsidRPr="0054775B" w:rsidRDefault="00227109" w:rsidP="00227109">
            <w:pPr>
              <w:pStyle w:val="2024TABLEHEADER"/>
            </w:pPr>
          </w:p>
        </w:tc>
        <w:tc>
          <w:tcPr>
            <w:tcW w:w="3080" w:type="dxa"/>
            <w:shd w:val="clear" w:color="auto" w:fill="D9D9D9" w:themeFill="background1" w:themeFillShade="D9"/>
          </w:tcPr>
          <w:p w14:paraId="185D4A68" w14:textId="04E28980" w:rsidR="00227109" w:rsidRPr="0054775B" w:rsidRDefault="00227109" w:rsidP="00227109">
            <w:pPr>
              <w:pStyle w:val="2024TABLEHEADER"/>
            </w:pPr>
            <w:r w:rsidRPr="0054775B">
              <w:t>With headache and migraine</w:t>
            </w:r>
          </w:p>
        </w:tc>
        <w:tc>
          <w:tcPr>
            <w:tcW w:w="2282" w:type="dxa"/>
            <w:shd w:val="clear" w:color="auto" w:fill="D9D9D9" w:themeFill="background1" w:themeFillShade="D9"/>
          </w:tcPr>
          <w:p w14:paraId="056AABD2" w14:textId="0263FBFA" w:rsidR="00227109" w:rsidRPr="0054775B" w:rsidRDefault="00227109" w:rsidP="00227109">
            <w:pPr>
              <w:pStyle w:val="2024TABLEHEADER"/>
            </w:pPr>
            <w:r w:rsidRPr="0054775B">
              <w:t>At risk of headache and migraine</w:t>
            </w:r>
          </w:p>
        </w:tc>
      </w:tr>
      <w:tr w:rsidR="00227109" w:rsidRPr="0054775B" w14:paraId="3679E306" w14:textId="409390BA" w:rsidTr="00227109">
        <w:trPr>
          <w:trHeight w:val="68"/>
        </w:trPr>
        <w:tc>
          <w:tcPr>
            <w:tcW w:w="3849" w:type="dxa"/>
            <w:shd w:val="clear" w:color="auto" w:fill="D9D9D9" w:themeFill="background1" w:themeFillShade="D9"/>
          </w:tcPr>
          <w:p w14:paraId="2D97088B" w14:textId="226816FE" w:rsidR="00227109" w:rsidRPr="0054775B" w:rsidRDefault="00227109" w:rsidP="00227109">
            <w:pPr>
              <w:pStyle w:val="2024TABLEHEADER"/>
            </w:pPr>
            <w:r w:rsidRPr="0054775B">
              <w:t>Magnesium VS placebo/inactive control</w:t>
            </w:r>
          </w:p>
        </w:tc>
        <w:tc>
          <w:tcPr>
            <w:tcW w:w="3080" w:type="dxa"/>
            <w:shd w:val="clear" w:color="auto" w:fill="auto"/>
          </w:tcPr>
          <w:p w14:paraId="162F7A77" w14:textId="203FC26A" w:rsidR="00227109" w:rsidRPr="0054775B" w:rsidRDefault="00227109" w:rsidP="00227109">
            <w:pPr>
              <w:pStyle w:val="2024TABLEHEADER"/>
              <w:rPr>
                <w:b w:val="0"/>
                <w:bCs w:val="0"/>
                <w:color w:val="000000"/>
              </w:rPr>
            </w:pPr>
            <w:r w:rsidRPr="0054775B">
              <w:rPr>
                <w:b w:val="0"/>
                <w:bCs w:val="0"/>
                <w:color w:val="000000"/>
              </w:rPr>
              <w:t>Okoli 2019</w:t>
            </w:r>
          </w:p>
        </w:tc>
        <w:tc>
          <w:tcPr>
            <w:tcW w:w="2282" w:type="dxa"/>
            <w:shd w:val="clear" w:color="auto" w:fill="auto"/>
          </w:tcPr>
          <w:p w14:paraId="1B1960D8" w14:textId="57BF2867" w:rsidR="00227109" w:rsidRPr="0054775B" w:rsidRDefault="00227109" w:rsidP="00227109">
            <w:pPr>
              <w:pStyle w:val="2024TABLEHEADER"/>
              <w:rPr>
                <w:b w:val="0"/>
                <w:bCs w:val="0"/>
                <w:color w:val="000000"/>
              </w:rPr>
            </w:pPr>
            <w:r w:rsidRPr="0054775B">
              <w:rPr>
                <w:b w:val="0"/>
                <w:bCs w:val="0"/>
                <w:color w:val="000000"/>
              </w:rPr>
              <w:t>-</w:t>
            </w:r>
          </w:p>
        </w:tc>
      </w:tr>
      <w:tr w:rsidR="00227109" w:rsidRPr="0054775B" w14:paraId="700B11EC" w14:textId="76C49699" w:rsidTr="00227109">
        <w:trPr>
          <w:trHeight w:val="68"/>
        </w:trPr>
        <w:tc>
          <w:tcPr>
            <w:tcW w:w="3849" w:type="dxa"/>
            <w:shd w:val="clear" w:color="auto" w:fill="D9D9D9" w:themeFill="background1" w:themeFillShade="D9"/>
          </w:tcPr>
          <w:p w14:paraId="609837AE" w14:textId="4B755511" w:rsidR="00227109" w:rsidRPr="0054775B" w:rsidRDefault="00227109" w:rsidP="00227109">
            <w:pPr>
              <w:pStyle w:val="2024TABLEHEADER"/>
              <w:rPr>
                <w:rFonts w:eastAsiaTheme="minorHAnsi"/>
                <w:color w:val="000000" w:themeColor="text1"/>
                <w:lang w:eastAsia="en-US"/>
              </w:rPr>
            </w:pPr>
            <w:r w:rsidRPr="0054775B">
              <w:t>Magnesium + naturopathy co-intervention VS placebo/inactive control</w:t>
            </w:r>
          </w:p>
        </w:tc>
        <w:tc>
          <w:tcPr>
            <w:tcW w:w="3080" w:type="dxa"/>
            <w:shd w:val="clear" w:color="auto" w:fill="auto"/>
          </w:tcPr>
          <w:p w14:paraId="41EB0427" w14:textId="4912226A" w:rsidR="00227109" w:rsidRPr="0054775B" w:rsidRDefault="00227109" w:rsidP="00227109">
            <w:pPr>
              <w:pStyle w:val="2024TABLEHEADER"/>
              <w:framePr w:hSpace="180" w:wrap="around" w:vAnchor="text" w:hAnchor="text" w:y="1"/>
              <w:suppressOverlap/>
              <w:rPr>
                <w:b w:val="0"/>
                <w:bCs w:val="0"/>
                <w:color w:val="000000"/>
              </w:rPr>
            </w:pPr>
            <w:r w:rsidRPr="0054775B">
              <w:rPr>
                <w:b w:val="0"/>
                <w:bCs w:val="0"/>
                <w:color w:val="000000"/>
              </w:rPr>
              <w:t>-</w:t>
            </w:r>
          </w:p>
        </w:tc>
        <w:tc>
          <w:tcPr>
            <w:tcW w:w="2282" w:type="dxa"/>
            <w:shd w:val="clear" w:color="auto" w:fill="auto"/>
          </w:tcPr>
          <w:p w14:paraId="196F7057" w14:textId="5B7DE6D6" w:rsidR="00227109" w:rsidRPr="0054775B" w:rsidRDefault="00227109" w:rsidP="00227109">
            <w:pPr>
              <w:pStyle w:val="2024TABLEHEADER"/>
              <w:framePr w:hSpace="180" w:wrap="around" w:vAnchor="text" w:hAnchor="text" w:y="1"/>
              <w:suppressOverlap/>
              <w:rPr>
                <w:b w:val="0"/>
                <w:bCs w:val="0"/>
                <w:color w:val="000000"/>
              </w:rPr>
            </w:pPr>
            <w:r w:rsidRPr="0054775B">
              <w:rPr>
                <w:b w:val="0"/>
                <w:bCs w:val="0"/>
                <w:color w:val="000000"/>
              </w:rPr>
              <w:t>-</w:t>
            </w:r>
          </w:p>
        </w:tc>
      </w:tr>
    </w:tbl>
    <w:p w14:paraId="14B19AE7" w14:textId="003B971C" w:rsidR="00655DB7" w:rsidRPr="0054775B" w:rsidRDefault="00655DB7" w:rsidP="006055EA">
      <w:r w:rsidRPr="0054775B">
        <w:br w:type="page"/>
      </w:r>
    </w:p>
    <w:p w14:paraId="4FE33587" w14:textId="77777777" w:rsidR="00655DB7" w:rsidRPr="0054775B" w:rsidRDefault="00655DB7" w:rsidP="006055EA">
      <w:pPr>
        <w:sectPr w:rsidR="00655DB7" w:rsidRPr="0054775B" w:rsidSect="006A72DC">
          <w:pgSz w:w="11910" w:h="16840"/>
          <w:pgMar w:top="1356" w:right="1340" w:bottom="280" w:left="1340" w:header="720" w:footer="720" w:gutter="0"/>
          <w:cols w:space="720"/>
        </w:sectPr>
      </w:pPr>
    </w:p>
    <w:p w14:paraId="75292544" w14:textId="77777777" w:rsidR="00A75C97" w:rsidRDefault="00A75C97" w:rsidP="00A75C97">
      <w:pPr>
        <w:pStyle w:val="2024HEADER3"/>
        <w:rPr>
          <w:rFonts w:ascii="Aptos" w:hAnsi="Aptos"/>
        </w:rPr>
      </w:pPr>
      <w:r w:rsidRPr="0054775B">
        <w:rPr>
          <w:rFonts w:ascii="Aptos" w:hAnsi="Aptos"/>
        </w:rPr>
        <w:lastRenderedPageBreak/>
        <w:t>Summary of findings and evidence statements</w:t>
      </w:r>
      <w:r>
        <w:rPr>
          <w:rFonts w:ascii="Aptos" w:hAnsi="Aptos"/>
        </w:rPr>
        <w:t xml:space="preserve"> </w:t>
      </w:r>
    </w:p>
    <w:p w14:paraId="33AC20C2" w14:textId="65F9BBE2" w:rsidR="00655DB7" w:rsidRPr="0054775B" w:rsidRDefault="00655DB7" w:rsidP="006F63D3">
      <w:pPr>
        <w:pStyle w:val="2024TABLECAPTION"/>
        <w:rPr>
          <w:rFonts w:ascii="Aptos" w:hAnsi="Aptos"/>
        </w:rPr>
      </w:pPr>
      <w:bookmarkStart w:id="113" w:name="_Toc185261614"/>
      <w:r w:rsidRPr="0054775B">
        <w:rPr>
          <w:rFonts w:ascii="Aptos" w:hAnsi="Aptos"/>
        </w:rPr>
        <w:t xml:space="preserve">Table </w:t>
      </w:r>
      <w:r w:rsidRPr="0054775B">
        <w:rPr>
          <w:rFonts w:ascii="Aptos" w:hAnsi="Aptos"/>
        </w:rPr>
        <w:fldChar w:fldCharType="begin"/>
      </w:r>
      <w:r w:rsidRPr="0054775B">
        <w:rPr>
          <w:rFonts w:ascii="Aptos" w:hAnsi="Aptos"/>
        </w:rPr>
        <w:instrText>SEQ Table \* ARABIC</w:instrText>
      </w:r>
      <w:r w:rsidRPr="0054775B">
        <w:rPr>
          <w:rFonts w:ascii="Aptos" w:hAnsi="Aptos"/>
        </w:rPr>
        <w:fldChar w:fldCharType="separate"/>
      </w:r>
      <w:r w:rsidR="00CB3AAD" w:rsidRPr="0054775B" w:rsidDel="004E7C54">
        <w:rPr>
          <w:rFonts w:ascii="Aptos" w:hAnsi="Aptos"/>
          <w:noProof/>
        </w:rPr>
        <w:t>36</w:t>
      </w:r>
      <w:r w:rsidRPr="0054775B">
        <w:rPr>
          <w:rFonts w:ascii="Aptos" w:hAnsi="Aptos"/>
        </w:rPr>
        <w:fldChar w:fldCharType="end"/>
      </w:r>
      <w:r w:rsidRPr="0054775B">
        <w:rPr>
          <w:rFonts w:ascii="Aptos" w:hAnsi="Aptos"/>
        </w:rPr>
        <w:t>. Magnesium compared to placebo</w:t>
      </w:r>
      <w:r w:rsidR="009079BD" w:rsidRPr="0054775B">
        <w:rPr>
          <w:rFonts w:ascii="Aptos" w:hAnsi="Aptos"/>
        </w:rPr>
        <w:t>/inactive control</w:t>
      </w:r>
      <w:r w:rsidRPr="0054775B">
        <w:rPr>
          <w:rFonts w:ascii="Aptos" w:hAnsi="Aptos"/>
        </w:rPr>
        <w:t xml:space="preserve"> for headache</w:t>
      </w:r>
      <w:r w:rsidR="00F10CCA" w:rsidRPr="0054775B">
        <w:rPr>
          <w:rFonts w:ascii="Aptos" w:hAnsi="Aptos"/>
        </w:rPr>
        <w:t xml:space="preserve"> and </w:t>
      </w:r>
      <w:r w:rsidRPr="0054775B">
        <w:rPr>
          <w:rFonts w:ascii="Aptos" w:hAnsi="Aptos"/>
        </w:rPr>
        <w:t>migraine.</w:t>
      </w:r>
      <w:bookmarkEnd w:id="113"/>
    </w:p>
    <w:tbl>
      <w:tblPr>
        <w:tblW w:w="4615" w:type="pct"/>
        <w:tblLayout w:type="fixed"/>
        <w:tblCellMar>
          <w:top w:w="28" w:type="dxa"/>
          <w:left w:w="57" w:type="dxa"/>
          <w:bottom w:w="28" w:type="dxa"/>
          <w:right w:w="28" w:type="dxa"/>
        </w:tblCellMar>
        <w:tblLook w:val="04A0" w:firstRow="1" w:lastRow="0" w:firstColumn="1" w:lastColumn="0" w:noHBand="0" w:noVBand="1"/>
      </w:tblPr>
      <w:tblGrid>
        <w:gridCol w:w="851"/>
        <w:gridCol w:w="4112"/>
        <w:gridCol w:w="1277"/>
        <w:gridCol w:w="1417"/>
        <w:gridCol w:w="1277"/>
        <w:gridCol w:w="1271"/>
        <w:gridCol w:w="3828"/>
      </w:tblGrid>
      <w:tr w:rsidR="00655DB7" w:rsidRPr="0054775B" w14:paraId="10A97843" w14:textId="77777777" w:rsidTr="487B0249">
        <w:trPr>
          <w:cantSplit/>
        </w:trPr>
        <w:tc>
          <w:tcPr>
            <w:tcW w:w="5000" w:type="pct"/>
            <w:gridSpan w:val="7"/>
            <w:tcBorders>
              <w:top w:val="single" w:sz="12" w:space="0" w:color="000000" w:themeColor="text1"/>
              <w:left w:val="nil"/>
              <w:bottom w:val="single" w:sz="12" w:space="0" w:color="000000" w:themeColor="text1"/>
              <w:right w:val="nil"/>
            </w:tcBorders>
          </w:tcPr>
          <w:p w14:paraId="6D718904" w14:textId="034DC206" w:rsidR="00655DB7" w:rsidRPr="0054775B" w:rsidRDefault="00655DB7" w:rsidP="009079BD">
            <w:pPr>
              <w:pStyle w:val="2024TABLETEXT"/>
              <w:framePr w:hSpace="0" w:wrap="auto" w:vAnchor="margin" w:yAlign="inline"/>
              <w:suppressOverlap w:val="0"/>
              <w:rPr>
                <w:rStyle w:val="Strong"/>
              </w:rPr>
            </w:pPr>
            <w:r w:rsidRPr="0054775B">
              <w:rPr>
                <w:rStyle w:val="Strong"/>
                <w:b w:val="0"/>
                <w:bCs w:val="0"/>
              </w:rPr>
              <w:t>Patient or population:</w:t>
            </w:r>
            <w:r w:rsidRPr="0054775B">
              <w:rPr>
                <w:rStyle w:val="Strong"/>
              </w:rPr>
              <w:t xml:space="preserve"> Headache</w:t>
            </w:r>
            <w:r w:rsidR="00336177" w:rsidRPr="0054775B">
              <w:rPr>
                <w:rStyle w:val="Strong"/>
              </w:rPr>
              <w:t xml:space="preserve"> and </w:t>
            </w:r>
            <w:r w:rsidRPr="0054775B">
              <w:rPr>
                <w:rStyle w:val="Strong"/>
              </w:rPr>
              <w:t>migraine</w:t>
            </w:r>
          </w:p>
          <w:p w14:paraId="37A256CA" w14:textId="0321375C" w:rsidR="00655DB7" w:rsidRPr="0054775B" w:rsidRDefault="00655DB7" w:rsidP="009079BD">
            <w:pPr>
              <w:pStyle w:val="2024TABLETEXT"/>
              <w:framePr w:hSpace="0" w:wrap="auto" w:vAnchor="margin" w:yAlign="inline"/>
              <w:suppressOverlap w:val="0"/>
              <w:rPr>
                <w:rStyle w:val="Strong"/>
              </w:rPr>
            </w:pPr>
            <w:r w:rsidRPr="0054775B">
              <w:rPr>
                <w:rStyle w:val="Strong"/>
                <w:b w:val="0"/>
                <w:bCs w:val="0"/>
              </w:rPr>
              <w:t>Intervention:</w:t>
            </w:r>
            <w:r w:rsidRPr="0054775B">
              <w:rPr>
                <w:rStyle w:val="Strong"/>
              </w:rPr>
              <w:t xml:space="preserve"> Magnesium</w:t>
            </w:r>
          </w:p>
          <w:p w14:paraId="69E85248" w14:textId="455AEA1A" w:rsidR="00655DB7" w:rsidRPr="0054775B" w:rsidRDefault="00655DB7" w:rsidP="009079BD">
            <w:pPr>
              <w:pStyle w:val="2024TABLETEXT"/>
              <w:framePr w:hSpace="0" w:wrap="auto" w:vAnchor="margin" w:yAlign="inline"/>
              <w:suppressOverlap w:val="0"/>
            </w:pPr>
            <w:r w:rsidRPr="0054775B">
              <w:rPr>
                <w:rStyle w:val="Strong"/>
                <w:b w:val="0"/>
                <w:bCs w:val="0"/>
              </w:rPr>
              <w:t>Comparison:</w:t>
            </w:r>
            <w:r w:rsidRPr="0054775B">
              <w:rPr>
                <w:rStyle w:val="Strong"/>
              </w:rPr>
              <w:t xml:space="preserve"> </w:t>
            </w:r>
            <w:r w:rsidR="00662339" w:rsidRPr="0054775B">
              <w:rPr>
                <w:rStyle w:val="Strong"/>
              </w:rPr>
              <w:t>Pl</w:t>
            </w:r>
            <w:r w:rsidR="00662339" w:rsidRPr="0054775B">
              <w:rPr>
                <w:b/>
                <w:bCs/>
              </w:rPr>
              <w:t>acebo/inactive control</w:t>
            </w:r>
          </w:p>
        </w:tc>
      </w:tr>
      <w:tr w:rsidR="00655DB7" w:rsidRPr="0054775B" w14:paraId="05C6141A" w14:textId="77777777" w:rsidTr="006A56BD">
        <w:trPr>
          <w:cantSplit/>
          <w:trHeight w:val="567"/>
        </w:trPr>
        <w:tc>
          <w:tcPr>
            <w:tcW w:w="303" w:type="pct"/>
            <w:tcBorders>
              <w:right w:val="single" w:sz="6" w:space="0" w:color="EFEFEF"/>
            </w:tcBorders>
            <w:shd w:val="clear" w:color="auto" w:fill="FFE599" w:themeFill="accent4" w:themeFillTint="66"/>
            <w:vAlign w:val="bottom"/>
          </w:tcPr>
          <w:p w14:paraId="50776F97" w14:textId="77777777" w:rsidR="00655DB7" w:rsidRPr="0054775B" w:rsidRDefault="00655DB7" w:rsidP="006F63D3">
            <w:pPr>
              <w:pStyle w:val="2024TABLEHEADER"/>
            </w:pPr>
            <w:r w:rsidRPr="0054775B">
              <w:t>NTWC Rating*</w:t>
            </w:r>
          </w:p>
        </w:tc>
        <w:tc>
          <w:tcPr>
            <w:tcW w:w="1465" w:type="pct"/>
            <w:tcBorders>
              <w:right w:val="single" w:sz="6" w:space="0" w:color="EFEFEF"/>
            </w:tcBorders>
            <w:shd w:val="clear" w:color="auto" w:fill="FFE599" w:themeFill="accent4" w:themeFillTint="66"/>
            <w:vAlign w:val="bottom"/>
            <w:hideMark/>
          </w:tcPr>
          <w:p w14:paraId="1100D81D" w14:textId="77777777" w:rsidR="00655DB7" w:rsidRPr="0054775B" w:rsidRDefault="00655DB7" w:rsidP="006F63D3">
            <w:pPr>
              <w:pStyle w:val="2024TABLEHEADER"/>
            </w:pPr>
            <w:r w:rsidRPr="0054775B">
              <w:t>Outcomes</w:t>
            </w:r>
          </w:p>
        </w:tc>
        <w:tc>
          <w:tcPr>
            <w:tcW w:w="455" w:type="pct"/>
            <w:shd w:val="clear" w:color="auto" w:fill="FFF2CC" w:themeFill="accent4" w:themeFillTint="33"/>
            <w:vAlign w:val="bottom"/>
          </w:tcPr>
          <w:p w14:paraId="686F855C" w14:textId="77777777" w:rsidR="00655DB7" w:rsidRPr="0054775B" w:rsidRDefault="00655DB7" w:rsidP="006F63D3">
            <w:pPr>
              <w:pStyle w:val="2024TABLEHEADER"/>
            </w:pPr>
            <w:r w:rsidRPr="0054775B">
              <w:t>Contributing review</w:t>
            </w:r>
          </w:p>
        </w:tc>
        <w:tc>
          <w:tcPr>
            <w:tcW w:w="505" w:type="pct"/>
            <w:tcBorders>
              <w:top w:val="single" w:sz="6" w:space="0" w:color="EFEFEF"/>
              <w:right w:val="single" w:sz="6" w:space="0" w:color="EFEFEF"/>
            </w:tcBorders>
            <w:shd w:val="clear" w:color="auto" w:fill="E0E0E0"/>
            <w:vAlign w:val="bottom"/>
          </w:tcPr>
          <w:p w14:paraId="195BF670" w14:textId="77777777" w:rsidR="00655DB7" w:rsidRPr="0054775B" w:rsidRDefault="00655DB7" w:rsidP="006F63D3">
            <w:pPr>
              <w:pStyle w:val="2024TABLEHEADER"/>
            </w:pPr>
            <w:r w:rsidRPr="0054775B">
              <w:t>Relative effect</w:t>
            </w:r>
            <w:r w:rsidRPr="0054775B">
              <w:br/>
              <w:t>(95% CI)</w:t>
            </w:r>
          </w:p>
        </w:tc>
        <w:tc>
          <w:tcPr>
            <w:tcW w:w="455" w:type="pct"/>
            <w:tcBorders>
              <w:right w:val="single" w:sz="6" w:space="0" w:color="EFEFEF"/>
            </w:tcBorders>
            <w:shd w:val="clear" w:color="auto" w:fill="FFE599" w:themeFill="accent4" w:themeFillTint="66"/>
            <w:vAlign w:val="bottom"/>
            <w:hideMark/>
          </w:tcPr>
          <w:p w14:paraId="7809DC42" w14:textId="77777777" w:rsidR="00655DB7" w:rsidRPr="0054775B" w:rsidRDefault="00655DB7" w:rsidP="006F63D3">
            <w:pPr>
              <w:pStyle w:val="2024TABLEHEADER"/>
            </w:pPr>
            <w:r w:rsidRPr="0054775B">
              <w:t>№ of participants</w:t>
            </w:r>
            <w:r w:rsidRPr="0054775B">
              <w:br/>
              <w:t>(studies)</w:t>
            </w:r>
          </w:p>
        </w:tc>
        <w:tc>
          <w:tcPr>
            <w:tcW w:w="453" w:type="pct"/>
            <w:tcBorders>
              <w:right w:val="single" w:sz="6" w:space="0" w:color="EFEFEF"/>
            </w:tcBorders>
            <w:shd w:val="clear" w:color="auto" w:fill="FFE599" w:themeFill="accent4" w:themeFillTint="66"/>
            <w:vAlign w:val="bottom"/>
            <w:hideMark/>
          </w:tcPr>
          <w:p w14:paraId="2D53CB4F" w14:textId="77777777" w:rsidR="00655DB7" w:rsidRPr="0054775B" w:rsidRDefault="00655DB7" w:rsidP="006F63D3">
            <w:pPr>
              <w:pStyle w:val="2024TABLEHEADER"/>
            </w:pPr>
            <w:r w:rsidRPr="0054775B">
              <w:t>Certainty of the evidence</w:t>
            </w:r>
            <w:r w:rsidRPr="0054775B">
              <w:br/>
              <w:t>(GRADE)</w:t>
            </w:r>
          </w:p>
        </w:tc>
        <w:tc>
          <w:tcPr>
            <w:tcW w:w="1364" w:type="pct"/>
            <w:tcBorders>
              <w:right w:val="single" w:sz="6" w:space="0" w:color="EFEFEF"/>
            </w:tcBorders>
            <w:shd w:val="clear" w:color="auto" w:fill="FFE599" w:themeFill="accent4" w:themeFillTint="66"/>
            <w:vAlign w:val="bottom"/>
            <w:hideMark/>
          </w:tcPr>
          <w:p w14:paraId="02AB6ECB" w14:textId="77777777" w:rsidR="00655DB7" w:rsidRPr="0054775B" w:rsidRDefault="00655DB7" w:rsidP="006F63D3">
            <w:pPr>
              <w:pStyle w:val="2024TABLEHEADER"/>
            </w:pPr>
            <w:r w:rsidRPr="0054775B">
              <w:t>Evidence statement</w:t>
            </w:r>
          </w:p>
        </w:tc>
      </w:tr>
      <w:tr w:rsidR="00336177" w:rsidRPr="0054775B" w14:paraId="3FC92561" w14:textId="77777777" w:rsidTr="487B0249">
        <w:trPr>
          <w:cantSplit/>
          <w:trHeight w:val="671"/>
        </w:trPr>
        <w:tc>
          <w:tcPr>
            <w:tcW w:w="303" w:type="pct"/>
            <w:vMerge w:val="restart"/>
            <w:tcBorders>
              <w:top w:val="single" w:sz="6" w:space="0" w:color="000000" w:themeColor="text1"/>
              <w:left w:val="nil"/>
              <w:right w:val="nil"/>
            </w:tcBorders>
            <w:vAlign w:val="center"/>
          </w:tcPr>
          <w:p w14:paraId="1AFDDF53" w14:textId="77777777" w:rsidR="00336177" w:rsidRPr="0054775B" w:rsidRDefault="00336177" w:rsidP="001428E8">
            <w:pPr>
              <w:pStyle w:val="2024TABLETEXT"/>
              <w:framePr w:hSpace="0" w:wrap="auto" w:vAnchor="margin" w:yAlign="inline"/>
              <w:suppressOverlap w:val="0"/>
            </w:pPr>
            <w:r w:rsidRPr="0054775B">
              <w:t>9</w:t>
            </w:r>
          </w:p>
        </w:tc>
        <w:tc>
          <w:tcPr>
            <w:tcW w:w="1465" w:type="pct"/>
            <w:tcBorders>
              <w:top w:val="single" w:sz="6" w:space="0" w:color="000000" w:themeColor="text1"/>
              <w:left w:val="nil"/>
              <w:bottom w:val="single" w:sz="6" w:space="0" w:color="000000" w:themeColor="text1"/>
              <w:right w:val="nil"/>
            </w:tcBorders>
            <w:vAlign w:val="center"/>
            <w:hideMark/>
          </w:tcPr>
          <w:p w14:paraId="352DCC30" w14:textId="77777777" w:rsidR="00336177" w:rsidRPr="0054775B" w:rsidRDefault="00336177" w:rsidP="001B0EA0">
            <w:pPr>
              <w:pStyle w:val="2024TABLETEXT"/>
              <w:framePr w:wrap="around"/>
              <w:spacing w:after="120"/>
              <w:ind w:left="87"/>
              <w:rPr>
                <w:b/>
                <w:bCs/>
              </w:rPr>
            </w:pPr>
            <w:r w:rsidRPr="0054775B">
              <w:rPr>
                <w:b/>
                <w:bCs/>
              </w:rPr>
              <w:t>Global improvement in headache/migraine</w:t>
            </w:r>
          </w:p>
          <w:p w14:paraId="4CB5C08F" w14:textId="1E526EC5" w:rsidR="00336177" w:rsidRPr="0054775B" w:rsidRDefault="001B0EA0" w:rsidP="001B0EA0">
            <w:pPr>
              <w:pStyle w:val="2024TABLETEXT"/>
              <w:framePr w:wrap="around"/>
              <w:ind w:left="370"/>
              <w:rPr>
                <w:b/>
                <w:bCs/>
              </w:rPr>
            </w:pPr>
            <w:r w:rsidRPr="0054775B">
              <w:rPr>
                <w:b/>
                <w:bCs/>
              </w:rPr>
              <w:t>Population:</w:t>
            </w:r>
            <w:r w:rsidR="00336177" w:rsidRPr="0054775B">
              <w:t xml:space="preserve"> Average-risk individuals (no history of head trauma or neurological disease) with a history of migraines</w:t>
            </w:r>
          </w:p>
        </w:tc>
        <w:tc>
          <w:tcPr>
            <w:tcW w:w="455" w:type="pct"/>
            <w:tcBorders>
              <w:top w:val="single" w:sz="6" w:space="0" w:color="000000" w:themeColor="text1"/>
              <w:left w:val="nil"/>
              <w:bottom w:val="single" w:sz="6" w:space="0" w:color="000000" w:themeColor="text1"/>
              <w:right w:val="nil"/>
            </w:tcBorders>
            <w:vAlign w:val="center"/>
          </w:tcPr>
          <w:p w14:paraId="73A91246" w14:textId="5B702FDD" w:rsidR="00336177" w:rsidRPr="0054775B" w:rsidRDefault="00336177" w:rsidP="006F63D3">
            <w:pPr>
              <w:pStyle w:val="2024TABLETEXT"/>
              <w:framePr w:wrap="around"/>
            </w:pPr>
          </w:p>
        </w:tc>
        <w:tc>
          <w:tcPr>
            <w:tcW w:w="505" w:type="pct"/>
            <w:tcBorders>
              <w:top w:val="single" w:sz="6" w:space="0" w:color="000000" w:themeColor="text1"/>
              <w:left w:val="nil"/>
              <w:bottom w:val="single" w:sz="6" w:space="0" w:color="000000" w:themeColor="text1"/>
              <w:right w:val="nil"/>
            </w:tcBorders>
            <w:shd w:val="clear" w:color="auto" w:fill="auto"/>
            <w:vAlign w:val="center"/>
          </w:tcPr>
          <w:p w14:paraId="382F0FF3" w14:textId="79E9293E" w:rsidR="00336177" w:rsidRPr="0054775B" w:rsidRDefault="00336177" w:rsidP="006F63D3">
            <w:pPr>
              <w:pStyle w:val="2024TABLETEXT"/>
              <w:framePr w:wrap="around"/>
              <w:rPr>
                <w:b/>
                <w:bCs/>
                <w:sz w:val="16"/>
                <w:szCs w:val="16"/>
              </w:rPr>
            </w:pPr>
          </w:p>
        </w:tc>
        <w:tc>
          <w:tcPr>
            <w:tcW w:w="455" w:type="pct"/>
            <w:tcBorders>
              <w:top w:val="single" w:sz="6" w:space="0" w:color="000000" w:themeColor="text1"/>
              <w:left w:val="nil"/>
              <w:bottom w:val="single" w:sz="6" w:space="0" w:color="000000" w:themeColor="text1"/>
              <w:right w:val="nil"/>
            </w:tcBorders>
            <w:vAlign w:val="center"/>
          </w:tcPr>
          <w:p w14:paraId="0083B52C" w14:textId="00E02850" w:rsidR="00336177" w:rsidRPr="0054775B" w:rsidRDefault="00336177" w:rsidP="006F63D3">
            <w:pPr>
              <w:pStyle w:val="2024TABLETEXT"/>
              <w:framePr w:wrap="around"/>
              <w:rPr>
                <w:color w:val="000000" w:themeColor="text1"/>
              </w:rPr>
            </w:pPr>
          </w:p>
        </w:tc>
        <w:tc>
          <w:tcPr>
            <w:tcW w:w="453" w:type="pct"/>
            <w:tcBorders>
              <w:top w:val="single" w:sz="6" w:space="0" w:color="000000" w:themeColor="text1"/>
              <w:left w:val="nil"/>
              <w:bottom w:val="single" w:sz="6" w:space="0" w:color="000000" w:themeColor="text1"/>
              <w:right w:val="nil"/>
            </w:tcBorders>
            <w:vAlign w:val="center"/>
          </w:tcPr>
          <w:p w14:paraId="57CA0EEE" w14:textId="29B74362" w:rsidR="00336177" w:rsidRPr="0054775B" w:rsidRDefault="00336177" w:rsidP="006F63D3">
            <w:pPr>
              <w:pStyle w:val="2024TABLETEXT"/>
              <w:framePr w:wrap="around"/>
              <w:rPr>
                <w:rStyle w:val="FootnoteReference"/>
                <w:caps/>
              </w:rPr>
            </w:pPr>
          </w:p>
        </w:tc>
        <w:tc>
          <w:tcPr>
            <w:tcW w:w="1364" w:type="pct"/>
            <w:tcBorders>
              <w:top w:val="single" w:sz="6" w:space="0" w:color="000000" w:themeColor="text1"/>
              <w:left w:val="nil"/>
              <w:bottom w:val="single" w:sz="6" w:space="0" w:color="000000" w:themeColor="text1"/>
              <w:right w:val="nil"/>
            </w:tcBorders>
            <w:vAlign w:val="center"/>
          </w:tcPr>
          <w:p w14:paraId="7DABB845" w14:textId="660CA0C9" w:rsidR="00336177" w:rsidRPr="0054775B" w:rsidRDefault="00336177" w:rsidP="006F63D3">
            <w:pPr>
              <w:pStyle w:val="2024TABLETEXT"/>
              <w:framePr w:wrap="around"/>
            </w:pPr>
          </w:p>
        </w:tc>
      </w:tr>
      <w:tr w:rsidR="00E57CA4" w:rsidRPr="0054775B" w14:paraId="1BC5FDDF" w14:textId="77777777" w:rsidTr="487B0249">
        <w:trPr>
          <w:cantSplit/>
          <w:trHeight w:val="671"/>
        </w:trPr>
        <w:tc>
          <w:tcPr>
            <w:tcW w:w="303" w:type="pct"/>
            <w:vMerge/>
            <w:vAlign w:val="center"/>
          </w:tcPr>
          <w:p w14:paraId="3F7FA3D0" w14:textId="77777777" w:rsidR="00E57CA4" w:rsidRPr="0054775B" w:rsidRDefault="00E57CA4" w:rsidP="001428E8">
            <w:pPr>
              <w:pStyle w:val="2024TABLETEXT"/>
              <w:framePr w:hSpace="0" w:wrap="auto" w:vAnchor="margin" w:yAlign="inline"/>
              <w:suppressOverlap w:val="0"/>
            </w:pPr>
          </w:p>
        </w:tc>
        <w:tc>
          <w:tcPr>
            <w:tcW w:w="1465" w:type="pct"/>
            <w:tcBorders>
              <w:top w:val="single" w:sz="6" w:space="0" w:color="000000" w:themeColor="text1"/>
              <w:left w:val="nil"/>
              <w:bottom w:val="single" w:sz="6" w:space="0" w:color="000000" w:themeColor="text1"/>
              <w:right w:val="nil"/>
            </w:tcBorders>
            <w:vAlign w:val="center"/>
          </w:tcPr>
          <w:p w14:paraId="7CA727D3" w14:textId="3C0C50D4" w:rsidR="00E57CA4" w:rsidRPr="0054775B" w:rsidRDefault="00E57CA4" w:rsidP="001B0EA0">
            <w:pPr>
              <w:pStyle w:val="2024TABLETEXT"/>
              <w:framePr w:wrap="around"/>
              <w:spacing w:after="120"/>
              <w:ind w:left="360"/>
              <w:rPr>
                <w:b/>
                <w:bCs/>
              </w:rPr>
            </w:pPr>
            <w:r w:rsidRPr="0054775B">
              <w:rPr>
                <w:b/>
                <w:bCs/>
              </w:rPr>
              <w:t>Migraine duration</w:t>
            </w:r>
          </w:p>
          <w:p w14:paraId="2C47303F" w14:textId="4C0698D6" w:rsidR="00E57CA4" w:rsidRPr="0054775B" w:rsidRDefault="00E57CA4" w:rsidP="00E42220">
            <w:pPr>
              <w:pStyle w:val="2024TABLETEXT"/>
              <w:framePr w:wrap="around"/>
              <w:ind w:left="654"/>
            </w:pPr>
            <w:r w:rsidRPr="0054775B">
              <w:rPr>
                <w:b/>
                <w:bCs/>
              </w:rPr>
              <w:t>Dose:</w:t>
            </w:r>
            <w:r w:rsidRPr="0054775B">
              <w:t xml:space="preserve"> 600mg per day</w:t>
            </w:r>
          </w:p>
          <w:p w14:paraId="4CC95890" w14:textId="77777777" w:rsidR="00E57CA4" w:rsidRPr="0054775B" w:rsidRDefault="00E57CA4" w:rsidP="00E42220">
            <w:pPr>
              <w:pStyle w:val="2024TABLETEXT"/>
              <w:framePr w:wrap="around"/>
              <w:ind w:left="654"/>
            </w:pPr>
            <w:r w:rsidRPr="0054775B">
              <w:rPr>
                <w:b/>
                <w:bCs/>
              </w:rPr>
              <w:t xml:space="preserve">Assessed with: </w:t>
            </w:r>
            <w:r w:rsidR="00E42220" w:rsidRPr="0054775B">
              <w:t>Hours</w:t>
            </w:r>
          </w:p>
          <w:p w14:paraId="1EBC2CAB" w14:textId="63575C69" w:rsidR="0056353D" w:rsidRPr="0054775B" w:rsidRDefault="0056353D" w:rsidP="00E42220">
            <w:pPr>
              <w:pStyle w:val="2024TABLETEXT"/>
              <w:framePr w:wrap="around"/>
              <w:ind w:left="654"/>
              <w:rPr>
                <w:b/>
                <w:bCs/>
              </w:rPr>
            </w:pPr>
            <w:r w:rsidRPr="0054775B">
              <w:rPr>
                <w:b/>
                <w:bCs/>
              </w:rPr>
              <w:t>Follow up:</w:t>
            </w:r>
            <w:r w:rsidRPr="0054775B">
              <w:t xml:space="preserve"> 12 weeks</w:t>
            </w:r>
          </w:p>
        </w:tc>
        <w:tc>
          <w:tcPr>
            <w:tcW w:w="455" w:type="pct"/>
            <w:tcBorders>
              <w:top w:val="single" w:sz="6" w:space="0" w:color="000000" w:themeColor="text1"/>
              <w:left w:val="nil"/>
              <w:bottom w:val="single" w:sz="6" w:space="0" w:color="000000" w:themeColor="text1"/>
              <w:right w:val="nil"/>
            </w:tcBorders>
            <w:vAlign w:val="center"/>
          </w:tcPr>
          <w:p w14:paraId="340A6840" w14:textId="063FD168" w:rsidR="00E57CA4" w:rsidRPr="0054775B" w:rsidRDefault="00E57CA4" w:rsidP="00E57CA4">
            <w:pPr>
              <w:pStyle w:val="2024TABLETEXT"/>
              <w:framePr w:wrap="around"/>
            </w:pPr>
            <w:r w:rsidRPr="0054775B">
              <w:t>Okoli 2019</w:t>
            </w:r>
          </w:p>
        </w:tc>
        <w:tc>
          <w:tcPr>
            <w:tcW w:w="505" w:type="pct"/>
            <w:tcBorders>
              <w:top w:val="single" w:sz="6" w:space="0" w:color="000000" w:themeColor="text1"/>
              <w:left w:val="nil"/>
              <w:bottom w:val="single" w:sz="6" w:space="0" w:color="000000" w:themeColor="text1"/>
              <w:right w:val="nil"/>
            </w:tcBorders>
            <w:shd w:val="clear" w:color="auto" w:fill="auto"/>
            <w:vAlign w:val="center"/>
          </w:tcPr>
          <w:p w14:paraId="0E4E27B6" w14:textId="26D1C41E" w:rsidR="00E57CA4" w:rsidRPr="0054775B" w:rsidRDefault="00E57CA4" w:rsidP="00E57CA4">
            <w:pPr>
              <w:pStyle w:val="2024TABLETEXT"/>
              <w:framePr w:wrap="around"/>
              <w:rPr>
                <w:b/>
                <w:bCs/>
              </w:rPr>
            </w:pPr>
            <w:r w:rsidRPr="0054775B">
              <w:t>MD</w:t>
            </w:r>
            <w:r w:rsidR="0056353D" w:rsidRPr="0054775B">
              <w:t xml:space="preserve"> =</w:t>
            </w:r>
            <w:r w:rsidRPr="0054775B">
              <w:t xml:space="preserve"> −0.21 (−0.70 to 0.28)</w:t>
            </w:r>
            <w:r w:rsidR="00E8163D">
              <w:t>^</w:t>
            </w:r>
          </w:p>
        </w:tc>
        <w:tc>
          <w:tcPr>
            <w:tcW w:w="455" w:type="pct"/>
            <w:tcBorders>
              <w:top w:val="single" w:sz="6" w:space="0" w:color="000000" w:themeColor="text1"/>
              <w:left w:val="nil"/>
              <w:bottom w:val="single" w:sz="6" w:space="0" w:color="000000" w:themeColor="text1"/>
              <w:right w:val="nil"/>
            </w:tcBorders>
            <w:vAlign w:val="center"/>
          </w:tcPr>
          <w:p w14:paraId="67561707" w14:textId="558048A2" w:rsidR="00E57CA4" w:rsidRPr="0054775B" w:rsidRDefault="00E57CA4" w:rsidP="00E57CA4">
            <w:pPr>
              <w:pStyle w:val="2024TABLETEXT"/>
              <w:framePr w:wrap="around"/>
            </w:pPr>
            <w:r w:rsidRPr="0054775B">
              <w:t>81 (1)</w:t>
            </w:r>
          </w:p>
        </w:tc>
        <w:tc>
          <w:tcPr>
            <w:tcW w:w="453" w:type="pct"/>
            <w:tcBorders>
              <w:top w:val="single" w:sz="6" w:space="0" w:color="000000" w:themeColor="text1"/>
              <w:left w:val="nil"/>
              <w:bottom w:val="single" w:sz="6" w:space="0" w:color="000000" w:themeColor="text1"/>
              <w:right w:val="nil"/>
            </w:tcBorders>
            <w:vAlign w:val="center"/>
          </w:tcPr>
          <w:p w14:paraId="6CBE644C" w14:textId="338DDAA3" w:rsidR="00E57CA4" w:rsidRPr="0054775B" w:rsidRDefault="00E57CA4" w:rsidP="00E57CA4">
            <w:pPr>
              <w:pStyle w:val="2024TABLETEXT"/>
              <w:framePr w:wrap="around"/>
              <w:rPr>
                <w:highlight w:val="yellow"/>
              </w:rPr>
            </w:pPr>
            <w:r w:rsidRPr="0054775B">
              <w:rPr>
                <w:rFonts w:ascii="Cambria Math" w:hAnsi="Cambria Math" w:cs="Cambria Math"/>
                <w:sz w:val="22"/>
                <w:szCs w:val="22"/>
              </w:rPr>
              <w:t>⨁</w:t>
            </w:r>
            <w:r w:rsidRPr="0054775B">
              <w:rPr>
                <w:rFonts w:ascii="Segoe UI Symbol" w:hAnsi="Segoe UI Symbol" w:cs="Segoe UI Symbol"/>
              </w:rPr>
              <w:t>◯◯◯</w:t>
            </w:r>
            <w:r w:rsidRPr="0054775B">
              <w:br/>
              <w:t>VERY LOW</w:t>
            </w:r>
            <w:r w:rsidRPr="00E07F50">
              <w:rPr>
                <w:vertAlign w:val="superscript"/>
              </w:rPr>
              <w:t>a</w:t>
            </w:r>
          </w:p>
        </w:tc>
        <w:tc>
          <w:tcPr>
            <w:tcW w:w="1364" w:type="pct"/>
            <w:tcBorders>
              <w:top w:val="single" w:sz="6" w:space="0" w:color="000000" w:themeColor="text1"/>
              <w:left w:val="nil"/>
              <w:bottom w:val="single" w:sz="6" w:space="0" w:color="000000" w:themeColor="text1"/>
              <w:right w:val="nil"/>
            </w:tcBorders>
            <w:vAlign w:val="center"/>
          </w:tcPr>
          <w:p w14:paraId="5F1AA202" w14:textId="16D1C0DC" w:rsidR="00E57CA4" w:rsidRPr="0054775B" w:rsidRDefault="00E57CA4" w:rsidP="00E57CA4">
            <w:pPr>
              <w:pStyle w:val="2024TABLETEXT"/>
              <w:framePr w:hSpace="0" w:wrap="auto" w:vAnchor="margin" w:yAlign="inline"/>
              <w:suppressOverlap w:val="0"/>
            </w:pPr>
            <w:r w:rsidRPr="0054775B">
              <w:t>The evidence is very uncertain about the effect of magnesium on migraine duration for headache and migraine.</w:t>
            </w:r>
          </w:p>
        </w:tc>
      </w:tr>
      <w:tr w:rsidR="005518A5" w:rsidRPr="0054775B" w14:paraId="670AB195" w14:textId="77777777" w:rsidTr="487B0249">
        <w:trPr>
          <w:cantSplit/>
          <w:trHeight w:val="671"/>
        </w:trPr>
        <w:tc>
          <w:tcPr>
            <w:tcW w:w="303" w:type="pct"/>
            <w:vMerge/>
            <w:vAlign w:val="center"/>
          </w:tcPr>
          <w:p w14:paraId="4A64325C" w14:textId="77777777" w:rsidR="005518A5" w:rsidRPr="0054775B" w:rsidRDefault="005518A5" w:rsidP="001428E8">
            <w:pPr>
              <w:pStyle w:val="2024TABLETEXT"/>
              <w:framePr w:hSpace="0" w:wrap="auto" w:vAnchor="margin" w:yAlign="inline"/>
              <w:suppressOverlap w:val="0"/>
            </w:pPr>
          </w:p>
        </w:tc>
        <w:tc>
          <w:tcPr>
            <w:tcW w:w="1465" w:type="pct"/>
            <w:tcBorders>
              <w:top w:val="single" w:sz="6" w:space="0" w:color="000000" w:themeColor="text1"/>
              <w:left w:val="nil"/>
              <w:bottom w:val="single" w:sz="6" w:space="0" w:color="000000" w:themeColor="text1"/>
              <w:right w:val="nil"/>
            </w:tcBorders>
            <w:vAlign w:val="center"/>
          </w:tcPr>
          <w:p w14:paraId="164FD931" w14:textId="74AF656F" w:rsidR="005518A5" w:rsidRPr="0054775B" w:rsidRDefault="005518A5" w:rsidP="005518A5">
            <w:pPr>
              <w:pStyle w:val="2024TABLETEXT"/>
              <w:framePr w:hSpace="0" w:wrap="auto" w:vAnchor="margin" w:yAlign="inline"/>
              <w:spacing w:after="120"/>
              <w:ind w:left="360"/>
              <w:suppressOverlap w:val="0"/>
              <w:rPr>
                <w:b/>
                <w:bCs/>
              </w:rPr>
            </w:pPr>
            <w:r w:rsidRPr="0054775B">
              <w:rPr>
                <w:b/>
                <w:bCs/>
              </w:rPr>
              <w:t>Days with migraine</w:t>
            </w:r>
          </w:p>
          <w:p w14:paraId="104BE094" w14:textId="69A12D29" w:rsidR="005518A5" w:rsidRPr="0054775B" w:rsidRDefault="005518A5" w:rsidP="005518A5">
            <w:pPr>
              <w:pStyle w:val="2024TABLETEXT"/>
              <w:framePr w:hSpace="0" w:wrap="auto" w:vAnchor="margin" w:yAlign="inline"/>
              <w:ind w:left="654"/>
              <w:suppressOverlap w:val="0"/>
            </w:pPr>
            <w:r w:rsidRPr="0054775B">
              <w:rPr>
                <w:b/>
                <w:bCs/>
              </w:rPr>
              <w:t>Dose:</w:t>
            </w:r>
            <w:r w:rsidRPr="0054775B">
              <w:t xml:space="preserve"> 500-600mg per day</w:t>
            </w:r>
          </w:p>
          <w:p w14:paraId="00ECBE94" w14:textId="1EEE40D9" w:rsidR="005518A5" w:rsidRPr="0054775B" w:rsidRDefault="005518A5" w:rsidP="005518A5">
            <w:pPr>
              <w:pStyle w:val="2024TABLETEXT"/>
              <w:framePr w:hSpace="0" w:wrap="auto" w:vAnchor="margin" w:yAlign="inline"/>
              <w:ind w:left="654"/>
              <w:suppressOverlap w:val="0"/>
              <w:rPr>
                <w:b/>
                <w:bCs/>
              </w:rPr>
            </w:pPr>
            <w:r w:rsidRPr="0054775B">
              <w:rPr>
                <w:b/>
                <w:bCs/>
              </w:rPr>
              <w:t>Follow up:</w:t>
            </w:r>
            <w:r w:rsidRPr="0054775B">
              <w:t xml:space="preserve"> 12 weeks</w:t>
            </w:r>
          </w:p>
        </w:tc>
        <w:tc>
          <w:tcPr>
            <w:tcW w:w="455" w:type="pct"/>
            <w:tcBorders>
              <w:top w:val="single" w:sz="6" w:space="0" w:color="000000" w:themeColor="text1"/>
              <w:left w:val="nil"/>
              <w:bottom w:val="single" w:sz="6" w:space="0" w:color="000000" w:themeColor="text1"/>
              <w:right w:val="nil"/>
            </w:tcBorders>
            <w:vAlign w:val="center"/>
          </w:tcPr>
          <w:p w14:paraId="1557EE5D" w14:textId="59512B04" w:rsidR="005518A5" w:rsidRPr="0054775B" w:rsidRDefault="005518A5" w:rsidP="005518A5">
            <w:pPr>
              <w:pStyle w:val="2024TABLETEXT"/>
              <w:framePr w:hSpace="0" w:wrap="auto" w:vAnchor="margin" w:yAlign="inline"/>
              <w:suppressOverlap w:val="0"/>
            </w:pPr>
            <w:r w:rsidRPr="0054775B">
              <w:t>Okoli 2019</w:t>
            </w:r>
          </w:p>
        </w:tc>
        <w:tc>
          <w:tcPr>
            <w:tcW w:w="505" w:type="pct"/>
            <w:tcBorders>
              <w:top w:val="single" w:sz="6" w:space="0" w:color="000000" w:themeColor="text1"/>
              <w:left w:val="nil"/>
              <w:bottom w:val="single" w:sz="6" w:space="0" w:color="000000" w:themeColor="text1"/>
              <w:right w:val="nil"/>
            </w:tcBorders>
            <w:shd w:val="clear" w:color="auto" w:fill="auto"/>
            <w:vAlign w:val="center"/>
          </w:tcPr>
          <w:p w14:paraId="69601AE9" w14:textId="6825907B" w:rsidR="005518A5" w:rsidRPr="0054775B" w:rsidRDefault="005518A5" w:rsidP="005518A5">
            <w:pPr>
              <w:pStyle w:val="2024TABLETEXT"/>
              <w:framePr w:hSpace="0" w:wrap="auto" w:vAnchor="margin" w:yAlign="inline"/>
              <w:suppressOverlap w:val="0"/>
              <w:rPr>
                <w:b/>
                <w:bCs/>
              </w:rPr>
            </w:pPr>
            <w:r w:rsidRPr="0054775B">
              <w:t xml:space="preserve">MD = −3.00 </w:t>
            </w:r>
            <w:r w:rsidR="008F0BF9">
              <w:t>(</w:t>
            </w:r>
            <w:r w:rsidRPr="0054775B">
              <w:t xml:space="preserve">−5.02 to </w:t>
            </w:r>
            <w:r w:rsidR="00EC791A" w:rsidRPr="0054775B">
              <w:t>−</w:t>
            </w:r>
            <w:r w:rsidRPr="0054775B">
              <w:t>0.98</w:t>
            </w:r>
            <w:r w:rsidR="00C719FD">
              <w:t>)</w:t>
            </w:r>
            <w:r w:rsidR="00DF0779">
              <w:t xml:space="preserve"> §</w:t>
            </w:r>
          </w:p>
        </w:tc>
        <w:tc>
          <w:tcPr>
            <w:tcW w:w="455" w:type="pct"/>
            <w:tcBorders>
              <w:top w:val="single" w:sz="6" w:space="0" w:color="000000" w:themeColor="text1"/>
              <w:left w:val="nil"/>
              <w:bottom w:val="single" w:sz="6" w:space="0" w:color="000000" w:themeColor="text1"/>
              <w:right w:val="nil"/>
            </w:tcBorders>
            <w:vAlign w:val="center"/>
          </w:tcPr>
          <w:p w14:paraId="26F539AB" w14:textId="356F5C3F" w:rsidR="005518A5" w:rsidRPr="0054775B" w:rsidRDefault="005518A5" w:rsidP="005518A5">
            <w:pPr>
              <w:pStyle w:val="2024TABLETEXT"/>
              <w:framePr w:hSpace="0" w:wrap="auto" w:vAnchor="margin" w:yAlign="inline"/>
              <w:suppressOverlap w:val="0"/>
              <w:rPr>
                <w:color w:val="000000" w:themeColor="text1"/>
              </w:rPr>
            </w:pPr>
            <w:r w:rsidRPr="0054775B">
              <w:t>226 (3)</w:t>
            </w:r>
          </w:p>
        </w:tc>
        <w:tc>
          <w:tcPr>
            <w:tcW w:w="453" w:type="pct"/>
            <w:tcBorders>
              <w:top w:val="single" w:sz="6" w:space="0" w:color="000000" w:themeColor="text1"/>
              <w:left w:val="nil"/>
              <w:bottom w:val="single" w:sz="6" w:space="0" w:color="000000" w:themeColor="text1"/>
              <w:right w:val="nil"/>
            </w:tcBorders>
            <w:vAlign w:val="center"/>
          </w:tcPr>
          <w:p w14:paraId="28B22F43" w14:textId="1F05C633" w:rsidR="005518A5" w:rsidRPr="0054775B" w:rsidRDefault="005518A5" w:rsidP="005518A5">
            <w:pPr>
              <w:pStyle w:val="2024TABLETEXT"/>
              <w:framePr w:hSpace="0" w:wrap="auto" w:vAnchor="margin" w:yAlign="inline"/>
              <w:suppressOverlap w:val="0"/>
              <w:rPr>
                <w:highlight w:val="yellow"/>
              </w:rPr>
            </w:pPr>
            <w:r w:rsidRPr="0054775B">
              <w:rPr>
                <w:rFonts w:ascii="Cambria Math" w:hAnsi="Cambria Math" w:cs="Cambria Math"/>
                <w:sz w:val="22"/>
                <w:szCs w:val="22"/>
              </w:rPr>
              <w:t>⨁⨁</w:t>
            </w:r>
            <w:r w:rsidRPr="0054775B">
              <w:rPr>
                <w:rFonts w:ascii="Segoe UI Symbol" w:hAnsi="Segoe UI Symbol" w:cs="Segoe UI Symbol"/>
              </w:rPr>
              <w:t>◯◯</w:t>
            </w:r>
            <w:r w:rsidRPr="0054775B">
              <w:br/>
              <w:t>LOW</w:t>
            </w:r>
            <w:r w:rsidRPr="00E07F50">
              <w:rPr>
                <w:vertAlign w:val="superscript"/>
              </w:rPr>
              <w:t>b</w:t>
            </w:r>
          </w:p>
        </w:tc>
        <w:tc>
          <w:tcPr>
            <w:tcW w:w="1364" w:type="pct"/>
            <w:tcBorders>
              <w:top w:val="single" w:sz="6" w:space="0" w:color="000000" w:themeColor="text1"/>
              <w:left w:val="nil"/>
              <w:bottom w:val="single" w:sz="6" w:space="0" w:color="000000" w:themeColor="text1"/>
              <w:right w:val="nil"/>
            </w:tcBorders>
            <w:vAlign w:val="center"/>
          </w:tcPr>
          <w:p w14:paraId="56CBE485" w14:textId="1B8678D0" w:rsidR="005518A5" w:rsidRPr="0054775B" w:rsidRDefault="00D07535" w:rsidP="005518A5">
            <w:pPr>
              <w:pStyle w:val="2024TABLETEXT"/>
              <w:framePr w:hSpace="0" w:wrap="auto" w:vAnchor="margin" w:yAlign="inline"/>
              <w:suppressOverlap w:val="0"/>
            </w:pPr>
            <w:r w:rsidRPr="0054775B">
              <w:t xml:space="preserve">Magnesium may </w:t>
            </w:r>
            <w:r w:rsidR="00943BB7">
              <w:t>reduce</w:t>
            </w:r>
            <w:r w:rsidRPr="0054775B">
              <w:t xml:space="preserve"> </w:t>
            </w:r>
            <w:r w:rsidR="00CB48B8">
              <w:t xml:space="preserve">the </w:t>
            </w:r>
            <w:r w:rsidRPr="0054775B">
              <w:t>number of days with migraine for headache and migraine.</w:t>
            </w:r>
          </w:p>
        </w:tc>
      </w:tr>
      <w:tr w:rsidR="00E57CA4" w:rsidRPr="0054775B" w14:paraId="5099F1E4" w14:textId="77777777" w:rsidTr="487B0249">
        <w:trPr>
          <w:cantSplit/>
        </w:trPr>
        <w:tc>
          <w:tcPr>
            <w:tcW w:w="303" w:type="pct"/>
            <w:tcBorders>
              <w:top w:val="single" w:sz="6" w:space="0" w:color="000000" w:themeColor="text1"/>
              <w:left w:val="nil"/>
              <w:bottom w:val="single" w:sz="6" w:space="0" w:color="000000" w:themeColor="text1"/>
              <w:right w:val="nil"/>
            </w:tcBorders>
            <w:vAlign w:val="center"/>
          </w:tcPr>
          <w:p w14:paraId="22ABCCE3" w14:textId="1582064E" w:rsidR="00E57CA4" w:rsidRPr="001428E8" w:rsidRDefault="00E57CA4" w:rsidP="001428E8">
            <w:pPr>
              <w:pStyle w:val="2024TABLETEXT"/>
              <w:framePr w:hSpace="0" w:wrap="auto" w:vAnchor="margin" w:yAlign="inline"/>
              <w:suppressOverlap w:val="0"/>
            </w:pPr>
            <w:r w:rsidRPr="001428E8">
              <w:t>8</w:t>
            </w:r>
          </w:p>
        </w:tc>
        <w:tc>
          <w:tcPr>
            <w:tcW w:w="1465" w:type="pct"/>
            <w:tcBorders>
              <w:top w:val="single" w:sz="6" w:space="0" w:color="000000" w:themeColor="text1"/>
              <w:left w:val="nil"/>
              <w:bottom w:val="single" w:sz="6" w:space="0" w:color="000000" w:themeColor="text1"/>
              <w:right w:val="nil"/>
            </w:tcBorders>
            <w:vAlign w:val="center"/>
          </w:tcPr>
          <w:p w14:paraId="4D6245B1" w14:textId="77777777" w:rsidR="00E57CA4" w:rsidRPr="0054775B" w:rsidRDefault="00E57CA4" w:rsidP="00430238">
            <w:pPr>
              <w:pStyle w:val="2024TABLETEXT"/>
              <w:framePr w:hSpace="0" w:wrap="auto" w:vAnchor="margin" w:yAlign="inline"/>
              <w:spacing w:after="120"/>
              <w:ind w:left="87"/>
              <w:suppressOverlap w:val="0"/>
              <w:rPr>
                <w:b/>
                <w:bCs/>
              </w:rPr>
            </w:pPr>
            <w:r w:rsidRPr="0054775B">
              <w:rPr>
                <w:b/>
                <w:bCs/>
              </w:rPr>
              <w:t>Headache pain intensity</w:t>
            </w:r>
          </w:p>
          <w:p w14:paraId="4E186A05" w14:textId="77777777" w:rsidR="00E57CA4" w:rsidRPr="0054775B" w:rsidRDefault="00E57CA4" w:rsidP="00430238">
            <w:pPr>
              <w:pStyle w:val="2024TABLETEXT"/>
              <w:framePr w:hSpace="0" w:wrap="auto" w:vAnchor="margin" w:yAlign="inline"/>
              <w:ind w:left="370"/>
              <w:suppressOverlap w:val="0"/>
              <w:rPr>
                <w:b/>
                <w:bCs/>
              </w:rPr>
            </w:pPr>
            <w:r w:rsidRPr="0054775B">
              <w:rPr>
                <w:b/>
                <w:bCs/>
              </w:rPr>
              <w:t xml:space="preserve">Conditions: </w:t>
            </w:r>
            <w:r w:rsidRPr="0054775B">
              <w:t>Average-risk individuals (no history of head trauma or neurological disease) with a history of migraines</w:t>
            </w:r>
          </w:p>
          <w:p w14:paraId="19A8300A" w14:textId="23754B8B" w:rsidR="00E57CA4" w:rsidRPr="0054775B" w:rsidRDefault="00E57CA4" w:rsidP="00430238">
            <w:pPr>
              <w:pStyle w:val="2024TABLETEXT"/>
              <w:framePr w:hSpace="0" w:wrap="auto" w:vAnchor="margin" w:yAlign="inline"/>
              <w:ind w:left="370"/>
              <w:suppressOverlap w:val="0"/>
              <w:rPr>
                <w:b/>
                <w:bCs/>
              </w:rPr>
            </w:pPr>
            <w:r w:rsidRPr="0054775B">
              <w:rPr>
                <w:b/>
                <w:bCs/>
              </w:rPr>
              <w:t xml:space="preserve">Dosage: </w:t>
            </w:r>
            <w:r w:rsidR="00DD1B92" w:rsidRPr="0054775B">
              <w:t>500</w:t>
            </w:r>
            <w:r w:rsidRPr="0054775B">
              <w:t xml:space="preserve">-600mg </w:t>
            </w:r>
            <w:r w:rsidR="00DD1B92" w:rsidRPr="0054775B">
              <w:t xml:space="preserve">magnesium </w:t>
            </w:r>
            <w:r w:rsidRPr="0054775B">
              <w:t>per day</w:t>
            </w:r>
          </w:p>
          <w:p w14:paraId="33DFE15B" w14:textId="50F4B7C9" w:rsidR="00E57CA4" w:rsidRPr="0054775B" w:rsidRDefault="00E57CA4" w:rsidP="00430238">
            <w:pPr>
              <w:pStyle w:val="2024TABLETEXT"/>
              <w:framePr w:hSpace="0" w:wrap="auto" w:vAnchor="margin" w:yAlign="inline"/>
              <w:ind w:left="370"/>
              <w:suppressOverlap w:val="0"/>
              <w:rPr>
                <w:b/>
                <w:bCs/>
              </w:rPr>
            </w:pPr>
            <w:r w:rsidRPr="0054775B">
              <w:rPr>
                <w:b/>
                <w:bCs/>
              </w:rPr>
              <w:t xml:space="preserve">Assessed with: </w:t>
            </w:r>
            <w:r w:rsidR="001130E9" w:rsidRPr="0054775B">
              <w:t>VAS, 3</w:t>
            </w:r>
            <w:r w:rsidR="00E10975" w:rsidRPr="0054775B">
              <w:t>-point scale</w:t>
            </w:r>
            <w:r w:rsidR="001130E9" w:rsidRPr="0054775B">
              <w:t xml:space="preserve">s, </w:t>
            </w:r>
            <w:r w:rsidR="00644A33" w:rsidRPr="0054775B">
              <w:t>NR</w:t>
            </w:r>
          </w:p>
        </w:tc>
        <w:tc>
          <w:tcPr>
            <w:tcW w:w="455" w:type="pct"/>
            <w:tcBorders>
              <w:top w:val="single" w:sz="6" w:space="0" w:color="000000" w:themeColor="text1"/>
              <w:left w:val="nil"/>
              <w:bottom w:val="single" w:sz="6" w:space="0" w:color="000000" w:themeColor="text1"/>
              <w:right w:val="nil"/>
            </w:tcBorders>
            <w:vAlign w:val="center"/>
          </w:tcPr>
          <w:p w14:paraId="2ED51F13" w14:textId="618DD8F7" w:rsidR="00E57CA4" w:rsidRPr="001428E8" w:rsidRDefault="00E57CA4" w:rsidP="00E57CA4">
            <w:pPr>
              <w:pStyle w:val="2024TABLETEXT"/>
              <w:framePr w:wrap="around"/>
              <w:rPr>
                <w:color w:val="000000" w:themeColor="text1"/>
              </w:rPr>
            </w:pPr>
            <w:r w:rsidRPr="001428E8">
              <w:rPr>
                <w:color w:val="000000" w:themeColor="text1"/>
              </w:rPr>
              <w:t>Okoli 2019</w:t>
            </w:r>
          </w:p>
        </w:tc>
        <w:tc>
          <w:tcPr>
            <w:tcW w:w="505" w:type="pct"/>
            <w:tcBorders>
              <w:top w:val="single" w:sz="6" w:space="0" w:color="000000" w:themeColor="text1"/>
              <w:left w:val="nil"/>
              <w:bottom w:val="single" w:sz="6" w:space="0" w:color="000000" w:themeColor="text1"/>
              <w:right w:val="nil"/>
            </w:tcBorders>
            <w:shd w:val="clear" w:color="auto" w:fill="auto"/>
            <w:vAlign w:val="center"/>
          </w:tcPr>
          <w:p w14:paraId="4115EC87" w14:textId="51A4CE2B" w:rsidR="00E57CA4" w:rsidRPr="001428E8" w:rsidRDefault="00334708" w:rsidP="00E57CA4">
            <w:pPr>
              <w:pStyle w:val="2024TABLETEXT"/>
              <w:framePr w:wrap="around"/>
              <w:rPr>
                <w:b/>
                <w:color w:val="000000" w:themeColor="text1"/>
              </w:rPr>
            </w:pPr>
            <w:r w:rsidRPr="001428E8">
              <w:rPr>
                <w:color w:val="000000" w:themeColor="text1"/>
              </w:rPr>
              <w:t>R</w:t>
            </w:r>
            <w:r w:rsidR="007F2CCB">
              <w:rPr>
                <w:color w:val="000000" w:themeColor="text1"/>
              </w:rPr>
              <w:t>o</w:t>
            </w:r>
            <w:r w:rsidRPr="001428E8">
              <w:rPr>
                <w:color w:val="000000" w:themeColor="text1"/>
              </w:rPr>
              <w:t>M = −0.17 (−0.36 to 0.02)</w:t>
            </w:r>
            <w:r w:rsidR="00BB180E">
              <w:rPr>
                <w:color w:val="000000" w:themeColor="text1"/>
              </w:rPr>
              <w:t>#</w:t>
            </w:r>
            <w:r w:rsidR="004557A6">
              <w:rPr>
                <w:color w:val="000000" w:themeColor="text1"/>
              </w:rPr>
              <w:t>+</w:t>
            </w:r>
          </w:p>
        </w:tc>
        <w:tc>
          <w:tcPr>
            <w:tcW w:w="455" w:type="pct"/>
            <w:tcBorders>
              <w:top w:val="single" w:sz="6" w:space="0" w:color="000000" w:themeColor="text1"/>
              <w:left w:val="nil"/>
              <w:bottom w:val="single" w:sz="6" w:space="0" w:color="000000" w:themeColor="text1"/>
              <w:right w:val="nil"/>
            </w:tcBorders>
            <w:vAlign w:val="center"/>
          </w:tcPr>
          <w:p w14:paraId="011FBB9B" w14:textId="581CED5E" w:rsidR="00E57CA4" w:rsidRPr="001428E8" w:rsidRDefault="00E57CA4" w:rsidP="00E57CA4">
            <w:pPr>
              <w:pStyle w:val="2024TABLETEXT"/>
              <w:framePr w:wrap="around"/>
              <w:rPr>
                <w:b/>
                <w:color w:val="000000" w:themeColor="text1"/>
              </w:rPr>
            </w:pPr>
            <w:r w:rsidRPr="001428E8">
              <w:rPr>
                <w:color w:val="000000" w:themeColor="text1"/>
              </w:rPr>
              <w:t>2</w:t>
            </w:r>
            <w:r w:rsidR="00A6431A" w:rsidRPr="001428E8">
              <w:rPr>
                <w:color w:val="000000" w:themeColor="text1"/>
              </w:rPr>
              <w:t>2</w:t>
            </w:r>
            <w:r w:rsidRPr="001428E8" w:rsidDel="00A6431A">
              <w:rPr>
                <w:color w:val="000000" w:themeColor="text1"/>
              </w:rPr>
              <w:t>6</w:t>
            </w:r>
            <w:r w:rsidRPr="001428E8">
              <w:rPr>
                <w:color w:val="000000" w:themeColor="text1"/>
              </w:rPr>
              <w:t xml:space="preserve"> (</w:t>
            </w:r>
            <w:r w:rsidR="00A6431A" w:rsidRPr="001428E8">
              <w:rPr>
                <w:color w:val="000000" w:themeColor="text1"/>
              </w:rPr>
              <w:t>3</w:t>
            </w:r>
            <w:r w:rsidRPr="001428E8">
              <w:rPr>
                <w:color w:val="000000" w:themeColor="text1"/>
              </w:rPr>
              <w:t>)</w:t>
            </w:r>
          </w:p>
        </w:tc>
        <w:tc>
          <w:tcPr>
            <w:tcW w:w="453" w:type="pct"/>
            <w:tcBorders>
              <w:top w:val="single" w:sz="6" w:space="0" w:color="000000" w:themeColor="text1"/>
              <w:left w:val="nil"/>
              <w:bottom w:val="single" w:sz="6" w:space="0" w:color="000000" w:themeColor="text1"/>
              <w:right w:val="nil"/>
            </w:tcBorders>
            <w:vAlign w:val="center"/>
          </w:tcPr>
          <w:p w14:paraId="396CE481" w14:textId="5B97D87F" w:rsidR="00E57CA4" w:rsidRPr="001428E8" w:rsidRDefault="00E57CA4" w:rsidP="00E57CA4">
            <w:pPr>
              <w:pStyle w:val="2024TABLETEXT"/>
              <w:framePr w:wrap="around"/>
              <w:rPr>
                <w:color w:val="000000" w:themeColor="text1"/>
              </w:rPr>
            </w:pPr>
            <w:r w:rsidRPr="001428E8">
              <w:rPr>
                <w:rFonts w:ascii="Cambria Math" w:hAnsi="Cambria Math" w:cs="Cambria Math"/>
                <w:color w:val="000000" w:themeColor="text1"/>
                <w:sz w:val="22"/>
                <w:szCs w:val="22"/>
              </w:rPr>
              <w:t>⨁</w:t>
            </w:r>
            <w:r w:rsidR="007F2CCB" w:rsidRPr="0054775B">
              <w:rPr>
                <w:rFonts w:ascii="Segoe UI Symbol" w:hAnsi="Segoe UI Symbol" w:cs="Segoe UI Symbol"/>
              </w:rPr>
              <w:t>◯</w:t>
            </w:r>
            <w:r w:rsidRPr="001428E8">
              <w:rPr>
                <w:rFonts w:ascii="Segoe UI Symbol" w:hAnsi="Segoe UI Symbol" w:cs="Segoe UI Symbol"/>
                <w:color w:val="000000" w:themeColor="text1"/>
              </w:rPr>
              <w:t>◯◯</w:t>
            </w:r>
            <w:r w:rsidRPr="001428E8">
              <w:rPr>
                <w:color w:val="000000" w:themeColor="text1"/>
              </w:rPr>
              <w:br/>
            </w:r>
            <w:r w:rsidR="007F2CCB">
              <w:rPr>
                <w:color w:val="000000" w:themeColor="text1"/>
              </w:rPr>
              <w:t xml:space="preserve">VERY </w:t>
            </w:r>
            <w:r w:rsidRPr="001428E8">
              <w:rPr>
                <w:color w:val="000000" w:themeColor="text1"/>
              </w:rPr>
              <w:t>LOW</w:t>
            </w:r>
            <w:r w:rsidRPr="00E07F50">
              <w:rPr>
                <w:color w:val="000000" w:themeColor="text1"/>
                <w:vertAlign w:val="superscript"/>
              </w:rPr>
              <w:t>c</w:t>
            </w:r>
          </w:p>
        </w:tc>
        <w:tc>
          <w:tcPr>
            <w:tcW w:w="1364" w:type="pct"/>
            <w:tcBorders>
              <w:top w:val="single" w:sz="6" w:space="0" w:color="000000" w:themeColor="text1"/>
              <w:left w:val="nil"/>
              <w:bottom w:val="single" w:sz="6" w:space="0" w:color="000000" w:themeColor="text1"/>
              <w:right w:val="nil"/>
            </w:tcBorders>
            <w:vAlign w:val="center"/>
          </w:tcPr>
          <w:p w14:paraId="2186EF60" w14:textId="5EF2AC89" w:rsidR="00E57CA4" w:rsidRPr="001428E8" w:rsidRDefault="007F2CCB" w:rsidP="00E57CA4">
            <w:pPr>
              <w:pStyle w:val="2024TABLETEXT"/>
              <w:framePr w:wrap="around"/>
              <w:rPr>
                <w:color w:val="000000" w:themeColor="text1"/>
              </w:rPr>
            </w:pPr>
            <w:r w:rsidRPr="0054775B">
              <w:t xml:space="preserve">The evidence is very uncertain about the effect of magnesium on </w:t>
            </w:r>
            <w:r>
              <w:t>headache pain intensity</w:t>
            </w:r>
            <w:r w:rsidRPr="0054775B">
              <w:t xml:space="preserve"> for headache and migraine.</w:t>
            </w:r>
          </w:p>
        </w:tc>
      </w:tr>
      <w:tr w:rsidR="00FB574B" w:rsidRPr="0054775B" w14:paraId="5B62CAFA" w14:textId="77777777" w:rsidTr="487B0249">
        <w:trPr>
          <w:cantSplit/>
          <w:trHeight w:val="559"/>
        </w:trPr>
        <w:tc>
          <w:tcPr>
            <w:tcW w:w="303" w:type="pct"/>
            <w:tcBorders>
              <w:top w:val="single" w:sz="6" w:space="0" w:color="000000" w:themeColor="text1"/>
              <w:left w:val="nil"/>
              <w:bottom w:val="single" w:sz="6" w:space="0" w:color="000000" w:themeColor="text1"/>
              <w:right w:val="nil"/>
            </w:tcBorders>
            <w:vAlign w:val="center"/>
          </w:tcPr>
          <w:p w14:paraId="3CE1A4A0" w14:textId="7D67617D" w:rsidR="00FB574B" w:rsidRPr="0054775B" w:rsidRDefault="00FB574B" w:rsidP="00FB574B">
            <w:pPr>
              <w:pStyle w:val="2024TABLETEXT"/>
              <w:framePr w:hSpace="0" w:wrap="auto" w:vAnchor="margin" w:yAlign="inline"/>
              <w:suppressOverlap w:val="0"/>
            </w:pPr>
            <w:r w:rsidRPr="0054775B">
              <w:t>8</w:t>
            </w:r>
          </w:p>
        </w:tc>
        <w:tc>
          <w:tcPr>
            <w:tcW w:w="1465" w:type="pct"/>
            <w:tcBorders>
              <w:top w:val="single" w:sz="6" w:space="0" w:color="000000" w:themeColor="text1"/>
              <w:left w:val="nil"/>
              <w:bottom w:val="single" w:sz="6" w:space="0" w:color="000000" w:themeColor="text1"/>
              <w:right w:val="nil"/>
            </w:tcBorders>
            <w:vAlign w:val="center"/>
          </w:tcPr>
          <w:p w14:paraId="2BC02DEC" w14:textId="77777777" w:rsidR="00FB574B" w:rsidRPr="0054775B" w:rsidRDefault="00FB574B" w:rsidP="00FB574B">
            <w:pPr>
              <w:pStyle w:val="2024TABLETEXT"/>
              <w:framePr w:hSpace="0" w:wrap="auto" w:vAnchor="margin" w:yAlign="inline"/>
              <w:spacing w:after="120"/>
              <w:ind w:left="87"/>
              <w:suppressOverlap w:val="0"/>
              <w:rPr>
                <w:b/>
                <w:bCs/>
              </w:rPr>
            </w:pPr>
            <w:r w:rsidRPr="0054775B">
              <w:rPr>
                <w:b/>
                <w:bCs/>
              </w:rPr>
              <w:t>Headache pain frequency</w:t>
            </w:r>
          </w:p>
          <w:p w14:paraId="06AE7108" w14:textId="77777777" w:rsidR="00FB574B" w:rsidRPr="0054775B" w:rsidRDefault="00FB574B" w:rsidP="00FB574B">
            <w:pPr>
              <w:pStyle w:val="2024TABLETEXT"/>
              <w:framePr w:hSpace="0" w:wrap="auto" w:vAnchor="margin" w:yAlign="inline"/>
              <w:ind w:left="370"/>
              <w:suppressOverlap w:val="0"/>
              <w:rPr>
                <w:b/>
                <w:bCs/>
              </w:rPr>
            </w:pPr>
            <w:r w:rsidRPr="0054775B">
              <w:rPr>
                <w:b/>
                <w:bCs/>
              </w:rPr>
              <w:t xml:space="preserve">Conditions: </w:t>
            </w:r>
            <w:r w:rsidRPr="0054775B">
              <w:t>Average-risk individuals (no history of head trauma or neurological disease) with a history of migraines</w:t>
            </w:r>
          </w:p>
          <w:p w14:paraId="6D32FF85" w14:textId="6402C762" w:rsidR="00FB574B" w:rsidRPr="0054775B" w:rsidRDefault="00FB574B" w:rsidP="00FB574B">
            <w:pPr>
              <w:pStyle w:val="2024TABLETEXT"/>
              <w:framePr w:hSpace="0" w:wrap="auto" w:vAnchor="margin" w:yAlign="inline"/>
              <w:ind w:left="370"/>
              <w:suppressOverlap w:val="0"/>
              <w:rPr>
                <w:b/>
                <w:bCs/>
              </w:rPr>
            </w:pPr>
            <w:r w:rsidRPr="0054775B">
              <w:rPr>
                <w:b/>
                <w:bCs/>
              </w:rPr>
              <w:t xml:space="preserve">Dosage: </w:t>
            </w:r>
            <w:r w:rsidRPr="0054775B">
              <w:t>500-600mg per day</w:t>
            </w:r>
          </w:p>
          <w:p w14:paraId="37755E13" w14:textId="7EE82DB9" w:rsidR="00FB574B" w:rsidRPr="0054775B" w:rsidRDefault="00FB574B" w:rsidP="00FB574B">
            <w:pPr>
              <w:pStyle w:val="2024TABLETEXT"/>
              <w:framePr w:hSpace="0" w:wrap="auto" w:vAnchor="margin" w:yAlign="inline"/>
              <w:ind w:left="370"/>
              <w:suppressOverlap w:val="0"/>
            </w:pPr>
            <w:r w:rsidRPr="0054775B">
              <w:rPr>
                <w:b/>
                <w:bCs/>
              </w:rPr>
              <w:t xml:space="preserve">Assessed with: </w:t>
            </w:r>
            <w:r w:rsidRPr="0054775B">
              <w:t>Migraine frequency per month</w:t>
            </w:r>
            <w:r>
              <w:t xml:space="preserve"> (number of migraine attacks)</w:t>
            </w:r>
          </w:p>
        </w:tc>
        <w:tc>
          <w:tcPr>
            <w:tcW w:w="455" w:type="pct"/>
            <w:tcBorders>
              <w:top w:val="single" w:sz="6" w:space="0" w:color="000000" w:themeColor="text1"/>
              <w:left w:val="nil"/>
              <w:bottom w:val="single" w:sz="6" w:space="0" w:color="000000" w:themeColor="text1"/>
              <w:right w:val="nil"/>
            </w:tcBorders>
            <w:vAlign w:val="center"/>
          </w:tcPr>
          <w:p w14:paraId="2CA6D17A" w14:textId="19C967EE" w:rsidR="00FB574B" w:rsidRPr="0054775B" w:rsidRDefault="00FB574B" w:rsidP="00FB574B">
            <w:pPr>
              <w:pStyle w:val="2024TABLETEXT"/>
              <w:framePr w:hSpace="0" w:wrap="auto" w:vAnchor="margin" w:yAlign="inline"/>
              <w:suppressOverlap w:val="0"/>
            </w:pPr>
            <w:r w:rsidRPr="0054775B">
              <w:t>Okoli 2019</w:t>
            </w:r>
          </w:p>
        </w:tc>
        <w:tc>
          <w:tcPr>
            <w:tcW w:w="505" w:type="pct"/>
            <w:tcBorders>
              <w:top w:val="single" w:sz="6" w:space="0" w:color="000000" w:themeColor="text1"/>
              <w:left w:val="nil"/>
              <w:bottom w:val="single" w:sz="6" w:space="0" w:color="000000" w:themeColor="text1"/>
              <w:right w:val="nil"/>
            </w:tcBorders>
            <w:shd w:val="clear" w:color="auto" w:fill="auto"/>
            <w:vAlign w:val="center"/>
          </w:tcPr>
          <w:p w14:paraId="16BEEF3E" w14:textId="4BB02CE9" w:rsidR="00FB574B" w:rsidRPr="0054775B" w:rsidRDefault="00FB574B" w:rsidP="00FB574B">
            <w:pPr>
              <w:pStyle w:val="2024TABLETEXT"/>
              <w:framePr w:hSpace="0" w:wrap="auto" w:vAnchor="margin" w:yAlign="inline"/>
              <w:suppressOverlap w:val="0"/>
            </w:pPr>
            <w:r w:rsidRPr="0054775B">
              <w:t xml:space="preserve">MD </w:t>
            </w:r>
            <w:r>
              <w:t xml:space="preserve">= </w:t>
            </w:r>
            <w:r w:rsidRPr="0054775B">
              <w:t>−2.57 (−4.21 to −0.94)</w:t>
            </w:r>
            <w:r>
              <w:t xml:space="preserve"> ^</w:t>
            </w:r>
          </w:p>
        </w:tc>
        <w:tc>
          <w:tcPr>
            <w:tcW w:w="455" w:type="pct"/>
            <w:tcBorders>
              <w:top w:val="single" w:sz="6" w:space="0" w:color="000000" w:themeColor="text1"/>
              <w:left w:val="nil"/>
              <w:bottom w:val="single" w:sz="6" w:space="0" w:color="000000" w:themeColor="text1"/>
              <w:right w:val="nil"/>
            </w:tcBorders>
            <w:vAlign w:val="center"/>
          </w:tcPr>
          <w:p w14:paraId="35ECE0A9" w14:textId="66FA7682" w:rsidR="00FB574B" w:rsidRPr="0054775B" w:rsidRDefault="00FB574B" w:rsidP="00FB574B">
            <w:pPr>
              <w:pStyle w:val="2024TABLETEXT"/>
              <w:framePr w:hSpace="0" w:wrap="auto" w:vAnchor="margin" w:yAlign="inline"/>
              <w:suppressOverlap w:val="0"/>
            </w:pPr>
            <w:r w:rsidRPr="0054775B">
              <w:t>2</w:t>
            </w:r>
            <w:r>
              <w:t>66</w:t>
            </w:r>
            <w:r w:rsidRPr="0054775B">
              <w:t xml:space="preserve"> (</w:t>
            </w:r>
            <w:r>
              <w:t>4</w:t>
            </w:r>
            <w:r w:rsidRPr="0054775B">
              <w:t>)</w:t>
            </w:r>
          </w:p>
        </w:tc>
        <w:tc>
          <w:tcPr>
            <w:tcW w:w="453" w:type="pct"/>
            <w:tcBorders>
              <w:top w:val="single" w:sz="6" w:space="0" w:color="000000" w:themeColor="text1"/>
              <w:left w:val="nil"/>
              <w:bottom w:val="single" w:sz="6" w:space="0" w:color="000000" w:themeColor="text1"/>
              <w:right w:val="nil"/>
            </w:tcBorders>
            <w:vAlign w:val="center"/>
          </w:tcPr>
          <w:p w14:paraId="5B7383A4" w14:textId="54ADEDA2" w:rsidR="00FB574B" w:rsidRPr="0054775B" w:rsidRDefault="00FB574B" w:rsidP="00FB574B">
            <w:pPr>
              <w:pStyle w:val="2024TABLETEXT"/>
              <w:framePr w:hSpace="0" w:wrap="auto" w:vAnchor="margin" w:yAlign="inline"/>
              <w:suppressOverlap w:val="0"/>
            </w:pPr>
            <w:r w:rsidRPr="0054775B">
              <w:rPr>
                <w:rFonts w:ascii="Cambria Math" w:hAnsi="Cambria Math" w:cs="Cambria Math"/>
                <w:sz w:val="22"/>
                <w:szCs w:val="22"/>
              </w:rPr>
              <w:t>⨁⨁</w:t>
            </w:r>
            <w:r w:rsidRPr="0054775B">
              <w:rPr>
                <w:rFonts w:ascii="Segoe UI Symbol" w:hAnsi="Segoe UI Symbol" w:cs="Segoe UI Symbol"/>
              </w:rPr>
              <w:t>◯◯</w:t>
            </w:r>
            <w:r w:rsidRPr="0054775B">
              <w:br/>
              <w:t>LOW</w:t>
            </w:r>
            <w:r w:rsidRPr="00E07F50">
              <w:rPr>
                <w:vertAlign w:val="superscript"/>
              </w:rPr>
              <w:t>d</w:t>
            </w:r>
          </w:p>
        </w:tc>
        <w:tc>
          <w:tcPr>
            <w:tcW w:w="1364" w:type="pct"/>
            <w:tcBorders>
              <w:top w:val="single" w:sz="6" w:space="0" w:color="000000" w:themeColor="text1"/>
              <w:left w:val="nil"/>
              <w:bottom w:val="single" w:sz="6" w:space="0" w:color="000000" w:themeColor="text1"/>
              <w:right w:val="nil"/>
            </w:tcBorders>
            <w:vAlign w:val="center"/>
          </w:tcPr>
          <w:p w14:paraId="798E1905" w14:textId="2BD8B907" w:rsidR="00FB574B" w:rsidRPr="0054775B" w:rsidRDefault="00FB574B" w:rsidP="00FB574B">
            <w:pPr>
              <w:pStyle w:val="2024TABLETEXT"/>
              <w:framePr w:hSpace="0" w:wrap="auto" w:vAnchor="margin" w:yAlign="inline"/>
              <w:suppressOverlap w:val="0"/>
            </w:pPr>
            <w:r w:rsidRPr="0054775B">
              <w:t xml:space="preserve">Magnesium may </w:t>
            </w:r>
            <w:r>
              <w:t>reduce headache pain frequency</w:t>
            </w:r>
            <w:r w:rsidRPr="0054775B">
              <w:t xml:space="preserve"> for headache and migraine.</w:t>
            </w:r>
          </w:p>
        </w:tc>
      </w:tr>
      <w:tr w:rsidR="00FB574B" w:rsidRPr="0054775B" w14:paraId="7F1B5894" w14:textId="77777777" w:rsidTr="487B0249">
        <w:trPr>
          <w:cantSplit/>
        </w:trPr>
        <w:tc>
          <w:tcPr>
            <w:tcW w:w="303" w:type="pct"/>
            <w:tcBorders>
              <w:top w:val="single" w:sz="6" w:space="0" w:color="000000" w:themeColor="text1"/>
              <w:left w:val="nil"/>
              <w:bottom w:val="single" w:sz="6" w:space="0" w:color="000000" w:themeColor="text1"/>
              <w:right w:val="nil"/>
            </w:tcBorders>
            <w:vAlign w:val="center"/>
          </w:tcPr>
          <w:p w14:paraId="7811C3E4" w14:textId="513E6757" w:rsidR="00FB574B" w:rsidRPr="0054775B" w:rsidRDefault="00FB574B" w:rsidP="00FB574B">
            <w:pPr>
              <w:pStyle w:val="2024TABLETEXT"/>
              <w:framePr w:hSpace="0" w:wrap="auto" w:vAnchor="margin" w:yAlign="inline"/>
              <w:suppressOverlap w:val="0"/>
            </w:pPr>
            <w:r w:rsidRPr="0054775B">
              <w:t>8</w:t>
            </w:r>
          </w:p>
        </w:tc>
        <w:tc>
          <w:tcPr>
            <w:tcW w:w="1465" w:type="pct"/>
            <w:tcBorders>
              <w:top w:val="single" w:sz="6" w:space="0" w:color="000000" w:themeColor="text1"/>
              <w:left w:val="nil"/>
              <w:bottom w:val="single" w:sz="6" w:space="0" w:color="000000" w:themeColor="text1"/>
              <w:right w:val="nil"/>
            </w:tcBorders>
            <w:vAlign w:val="center"/>
          </w:tcPr>
          <w:p w14:paraId="5C94F152" w14:textId="234CEBD2" w:rsidR="00FB574B" w:rsidRPr="0054775B" w:rsidRDefault="00FB574B" w:rsidP="00FB574B">
            <w:pPr>
              <w:pStyle w:val="2024TABLETEXT"/>
              <w:framePr w:hSpace="0" w:wrap="auto" w:vAnchor="margin" w:yAlign="inline"/>
              <w:suppressOverlap w:val="0"/>
              <w:rPr>
                <w:b/>
                <w:bCs/>
              </w:rPr>
            </w:pPr>
            <w:r w:rsidRPr="0054775B">
              <w:rPr>
                <w:b/>
                <w:bCs/>
              </w:rPr>
              <w:t>Headache/migraine</w:t>
            </w:r>
            <w:r w:rsidRPr="0054775B">
              <w:rPr>
                <w:rFonts w:ascii="Cambria Math" w:hAnsi="Cambria Math" w:cs="Cambria Math"/>
                <w:b/>
                <w:bCs/>
              </w:rPr>
              <w:t>‐</w:t>
            </w:r>
            <w:r w:rsidRPr="0054775B">
              <w:rPr>
                <w:b/>
                <w:bCs/>
              </w:rPr>
              <w:t>associated symptoms (nausea and vomiting, photophobia and phonophobia, visual aura)</w:t>
            </w:r>
          </w:p>
        </w:tc>
        <w:tc>
          <w:tcPr>
            <w:tcW w:w="455" w:type="pct"/>
            <w:tcBorders>
              <w:top w:val="single" w:sz="6" w:space="0" w:color="000000" w:themeColor="text1"/>
              <w:left w:val="nil"/>
              <w:bottom w:val="single" w:sz="6" w:space="0" w:color="000000" w:themeColor="text1"/>
              <w:right w:val="nil"/>
            </w:tcBorders>
            <w:vAlign w:val="center"/>
          </w:tcPr>
          <w:p w14:paraId="58FABB6B" w14:textId="13B29794" w:rsidR="00FB574B" w:rsidRPr="0054775B" w:rsidRDefault="00FB574B" w:rsidP="00FB574B">
            <w:pPr>
              <w:pStyle w:val="2024TABLETEXT"/>
              <w:framePr w:hSpace="0" w:wrap="auto" w:vAnchor="margin" w:yAlign="inline"/>
              <w:suppressOverlap w:val="0"/>
            </w:pPr>
            <w:r w:rsidRPr="0054775B">
              <w:t>-</w:t>
            </w:r>
          </w:p>
        </w:tc>
        <w:tc>
          <w:tcPr>
            <w:tcW w:w="505" w:type="pct"/>
            <w:tcBorders>
              <w:top w:val="single" w:sz="6" w:space="0" w:color="000000" w:themeColor="text1"/>
              <w:left w:val="nil"/>
              <w:bottom w:val="single" w:sz="6" w:space="0" w:color="000000" w:themeColor="text1"/>
              <w:right w:val="nil"/>
            </w:tcBorders>
            <w:shd w:val="clear" w:color="auto" w:fill="auto"/>
            <w:vAlign w:val="center"/>
          </w:tcPr>
          <w:p w14:paraId="25F4CF8A" w14:textId="456DB8A5" w:rsidR="00FB574B" w:rsidRPr="0054775B" w:rsidRDefault="00FB574B" w:rsidP="00FB574B">
            <w:pPr>
              <w:pStyle w:val="2024TABLETEXT"/>
              <w:framePr w:hSpace="0" w:wrap="auto" w:vAnchor="margin" w:yAlign="inline"/>
              <w:suppressOverlap w:val="0"/>
            </w:pPr>
            <w:r w:rsidRPr="0054775B">
              <w:t>-</w:t>
            </w:r>
          </w:p>
        </w:tc>
        <w:tc>
          <w:tcPr>
            <w:tcW w:w="455" w:type="pct"/>
            <w:tcBorders>
              <w:top w:val="single" w:sz="6" w:space="0" w:color="000000" w:themeColor="text1"/>
              <w:left w:val="nil"/>
              <w:bottom w:val="single" w:sz="6" w:space="0" w:color="000000" w:themeColor="text1"/>
              <w:right w:val="nil"/>
            </w:tcBorders>
            <w:vAlign w:val="center"/>
          </w:tcPr>
          <w:p w14:paraId="3BCAA88A" w14:textId="1D516E68" w:rsidR="00FB574B" w:rsidRPr="0054775B" w:rsidRDefault="00FB574B" w:rsidP="00FB574B">
            <w:pPr>
              <w:pStyle w:val="2024TABLETEXT"/>
              <w:framePr w:hSpace="0" w:wrap="auto" w:vAnchor="margin" w:yAlign="inline"/>
              <w:suppressOverlap w:val="0"/>
            </w:pPr>
            <w:r w:rsidRPr="0054775B">
              <w:t>-</w:t>
            </w:r>
          </w:p>
        </w:tc>
        <w:tc>
          <w:tcPr>
            <w:tcW w:w="453" w:type="pct"/>
            <w:tcBorders>
              <w:top w:val="single" w:sz="6" w:space="0" w:color="000000" w:themeColor="text1"/>
              <w:left w:val="nil"/>
              <w:bottom w:val="single" w:sz="6" w:space="0" w:color="000000" w:themeColor="text1"/>
              <w:right w:val="nil"/>
            </w:tcBorders>
            <w:vAlign w:val="center"/>
          </w:tcPr>
          <w:p w14:paraId="68B093F1" w14:textId="3785E838" w:rsidR="00FB574B" w:rsidRPr="0054775B" w:rsidRDefault="00FB574B" w:rsidP="00FB574B">
            <w:pPr>
              <w:pStyle w:val="2024TABLETEXT"/>
              <w:framePr w:hSpace="0" w:wrap="auto" w:vAnchor="margin" w:yAlign="inline"/>
              <w:suppressOverlap w:val="0"/>
            </w:pPr>
            <w:r w:rsidRPr="0054775B">
              <w:t>-</w:t>
            </w:r>
          </w:p>
        </w:tc>
        <w:tc>
          <w:tcPr>
            <w:tcW w:w="1364" w:type="pct"/>
            <w:tcBorders>
              <w:top w:val="single" w:sz="6" w:space="0" w:color="000000" w:themeColor="text1"/>
              <w:left w:val="nil"/>
              <w:bottom w:val="single" w:sz="6" w:space="0" w:color="000000" w:themeColor="text1"/>
              <w:right w:val="nil"/>
            </w:tcBorders>
            <w:vAlign w:val="center"/>
          </w:tcPr>
          <w:p w14:paraId="59286E46" w14:textId="3C59EB29" w:rsidR="00FB574B" w:rsidRPr="0054775B" w:rsidRDefault="00FB574B" w:rsidP="00FB574B">
            <w:pPr>
              <w:pStyle w:val="2024TABLETEXT"/>
              <w:framePr w:hSpace="0" w:wrap="auto" w:vAnchor="margin" w:yAlign="inline"/>
              <w:suppressOverlap w:val="0"/>
            </w:pPr>
            <w:r w:rsidRPr="0054775B">
              <w:t xml:space="preserve">No </w:t>
            </w:r>
            <w:r>
              <w:t>reviews</w:t>
            </w:r>
            <w:r w:rsidRPr="0054775B">
              <w:t xml:space="preserve"> found. The effect of magnesium on Headache/migraine</w:t>
            </w:r>
            <w:r w:rsidRPr="0054775B">
              <w:rPr>
                <w:rFonts w:ascii="Cambria Math" w:hAnsi="Cambria Math" w:cs="Cambria Math"/>
              </w:rPr>
              <w:t>‐</w:t>
            </w:r>
            <w:r w:rsidRPr="0054775B">
              <w:t>associated symptoms (nausea and vomiting, photophobia and phonophobia, visual aura) for headache and migraine is unknown.</w:t>
            </w:r>
          </w:p>
        </w:tc>
      </w:tr>
      <w:tr w:rsidR="00FB574B" w:rsidRPr="0054775B" w14:paraId="3446BC32" w14:textId="77777777" w:rsidTr="487B0249">
        <w:trPr>
          <w:cantSplit/>
        </w:trPr>
        <w:tc>
          <w:tcPr>
            <w:tcW w:w="303" w:type="pct"/>
            <w:tcBorders>
              <w:top w:val="single" w:sz="6" w:space="0" w:color="000000" w:themeColor="text1"/>
              <w:left w:val="nil"/>
              <w:bottom w:val="single" w:sz="6" w:space="0" w:color="000000" w:themeColor="text1"/>
              <w:right w:val="nil"/>
            </w:tcBorders>
            <w:vAlign w:val="center"/>
          </w:tcPr>
          <w:p w14:paraId="57222E35" w14:textId="7F08022F" w:rsidR="00FB574B" w:rsidRPr="0054775B" w:rsidRDefault="00FB574B" w:rsidP="00FB574B">
            <w:pPr>
              <w:pStyle w:val="2024TABLETEXT"/>
              <w:framePr w:hSpace="0" w:wrap="auto" w:vAnchor="margin" w:yAlign="inline"/>
              <w:suppressOverlap w:val="0"/>
            </w:pPr>
            <w:r w:rsidRPr="0054775B">
              <w:lastRenderedPageBreak/>
              <w:t>8</w:t>
            </w:r>
          </w:p>
        </w:tc>
        <w:tc>
          <w:tcPr>
            <w:tcW w:w="1465" w:type="pct"/>
            <w:tcBorders>
              <w:top w:val="single" w:sz="6" w:space="0" w:color="000000" w:themeColor="text1"/>
              <w:left w:val="nil"/>
              <w:bottom w:val="single" w:sz="6" w:space="0" w:color="000000" w:themeColor="text1"/>
              <w:right w:val="nil"/>
            </w:tcBorders>
            <w:vAlign w:val="center"/>
          </w:tcPr>
          <w:p w14:paraId="57E4F0F5" w14:textId="61BFD8BE" w:rsidR="00FB574B" w:rsidRPr="0054775B" w:rsidRDefault="00FB574B" w:rsidP="00FB574B">
            <w:pPr>
              <w:pStyle w:val="2024TABLETEXT"/>
              <w:framePr w:hSpace="0" w:wrap="auto" w:vAnchor="margin" w:yAlign="inline"/>
              <w:suppressOverlap w:val="0"/>
              <w:rPr>
                <w:b/>
                <w:bCs/>
              </w:rPr>
            </w:pPr>
            <w:r w:rsidRPr="0054775B">
              <w:rPr>
                <w:b/>
                <w:bCs/>
              </w:rPr>
              <w:t>QoL</w:t>
            </w:r>
          </w:p>
        </w:tc>
        <w:tc>
          <w:tcPr>
            <w:tcW w:w="455" w:type="pct"/>
            <w:tcBorders>
              <w:top w:val="single" w:sz="6" w:space="0" w:color="000000" w:themeColor="text1"/>
              <w:left w:val="nil"/>
              <w:bottom w:val="single" w:sz="6" w:space="0" w:color="000000" w:themeColor="text1"/>
              <w:right w:val="nil"/>
            </w:tcBorders>
            <w:vAlign w:val="center"/>
          </w:tcPr>
          <w:p w14:paraId="04FCD2AE" w14:textId="5D2D4F14" w:rsidR="00FB574B" w:rsidRPr="0054775B" w:rsidRDefault="00FB574B" w:rsidP="00FB574B">
            <w:pPr>
              <w:pStyle w:val="2024TABLETEXT"/>
              <w:framePr w:hSpace="0" w:wrap="auto" w:vAnchor="margin" w:yAlign="inline"/>
              <w:suppressOverlap w:val="0"/>
            </w:pPr>
            <w:r w:rsidRPr="0054775B">
              <w:t>-</w:t>
            </w:r>
          </w:p>
        </w:tc>
        <w:tc>
          <w:tcPr>
            <w:tcW w:w="505" w:type="pct"/>
            <w:tcBorders>
              <w:top w:val="single" w:sz="6" w:space="0" w:color="000000" w:themeColor="text1"/>
              <w:left w:val="nil"/>
              <w:bottom w:val="single" w:sz="6" w:space="0" w:color="000000" w:themeColor="text1"/>
              <w:right w:val="nil"/>
            </w:tcBorders>
            <w:shd w:val="clear" w:color="auto" w:fill="auto"/>
            <w:vAlign w:val="center"/>
          </w:tcPr>
          <w:p w14:paraId="7945E071" w14:textId="572836E5" w:rsidR="00FB574B" w:rsidRPr="0054775B" w:rsidRDefault="00FB574B" w:rsidP="00FB574B">
            <w:pPr>
              <w:pStyle w:val="2024TABLETEXT"/>
              <w:framePr w:hSpace="0" w:wrap="auto" w:vAnchor="margin" w:yAlign="inline"/>
              <w:suppressOverlap w:val="0"/>
            </w:pPr>
            <w:r w:rsidRPr="0054775B">
              <w:t>-</w:t>
            </w:r>
          </w:p>
        </w:tc>
        <w:tc>
          <w:tcPr>
            <w:tcW w:w="455" w:type="pct"/>
            <w:tcBorders>
              <w:top w:val="single" w:sz="6" w:space="0" w:color="000000" w:themeColor="text1"/>
              <w:left w:val="nil"/>
              <w:bottom w:val="single" w:sz="6" w:space="0" w:color="000000" w:themeColor="text1"/>
              <w:right w:val="nil"/>
            </w:tcBorders>
            <w:vAlign w:val="center"/>
          </w:tcPr>
          <w:p w14:paraId="08C05028" w14:textId="6317542E" w:rsidR="00FB574B" w:rsidRPr="0054775B" w:rsidRDefault="00FB574B" w:rsidP="00FB574B">
            <w:pPr>
              <w:pStyle w:val="2024TABLETEXT"/>
              <w:framePr w:hSpace="0" w:wrap="auto" w:vAnchor="margin" w:yAlign="inline"/>
              <w:suppressOverlap w:val="0"/>
            </w:pPr>
            <w:r w:rsidRPr="0054775B">
              <w:t>-</w:t>
            </w:r>
          </w:p>
        </w:tc>
        <w:tc>
          <w:tcPr>
            <w:tcW w:w="453" w:type="pct"/>
            <w:tcBorders>
              <w:top w:val="single" w:sz="6" w:space="0" w:color="000000" w:themeColor="text1"/>
              <w:left w:val="nil"/>
              <w:bottom w:val="single" w:sz="6" w:space="0" w:color="000000" w:themeColor="text1"/>
              <w:right w:val="nil"/>
            </w:tcBorders>
            <w:vAlign w:val="center"/>
          </w:tcPr>
          <w:p w14:paraId="54CFC0CF" w14:textId="272A6ECF" w:rsidR="00FB574B" w:rsidRPr="0054775B" w:rsidRDefault="00FB574B" w:rsidP="00FB574B">
            <w:pPr>
              <w:pStyle w:val="2024TABLETEXT"/>
              <w:framePr w:hSpace="0" w:wrap="auto" w:vAnchor="margin" w:yAlign="inline"/>
              <w:suppressOverlap w:val="0"/>
            </w:pPr>
            <w:r w:rsidRPr="0054775B">
              <w:t>-</w:t>
            </w:r>
          </w:p>
        </w:tc>
        <w:tc>
          <w:tcPr>
            <w:tcW w:w="1364" w:type="pct"/>
            <w:tcBorders>
              <w:top w:val="single" w:sz="6" w:space="0" w:color="000000" w:themeColor="text1"/>
              <w:left w:val="nil"/>
              <w:bottom w:val="single" w:sz="6" w:space="0" w:color="000000" w:themeColor="text1"/>
              <w:right w:val="nil"/>
            </w:tcBorders>
            <w:vAlign w:val="center"/>
          </w:tcPr>
          <w:p w14:paraId="41249A78" w14:textId="322FE04D" w:rsidR="00FB574B" w:rsidRPr="0054775B" w:rsidRDefault="00FB574B" w:rsidP="00FB574B">
            <w:pPr>
              <w:pStyle w:val="2024TABLETEXT"/>
              <w:framePr w:hSpace="0" w:wrap="auto" w:vAnchor="margin" w:yAlign="inline"/>
              <w:suppressOverlap w:val="0"/>
            </w:pPr>
            <w:r w:rsidRPr="0054775B">
              <w:t xml:space="preserve">No </w:t>
            </w:r>
            <w:r>
              <w:t>reviews</w:t>
            </w:r>
            <w:r w:rsidRPr="0054775B">
              <w:t xml:space="preserve"> found. The effect of magnesium on QoL for headache and migraine is unknown.</w:t>
            </w:r>
          </w:p>
        </w:tc>
      </w:tr>
      <w:tr w:rsidR="00FB574B" w:rsidRPr="0054775B" w14:paraId="06FC3390" w14:textId="77777777" w:rsidTr="487B0249">
        <w:trPr>
          <w:cantSplit/>
        </w:trPr>
        <w:tc>
          <w:tcPr>
            <w:tcW w:w="303" w:type="pct"/>
            <w:tcBorders>
              <w:top w:val="single" w:sz="6" w:space="0" w:color="000000" w:themeColor="text1"/>
              <w:left w:val="nil"/>
              <w:bottom w:val="single" w:sz="6" w:space="0" w:color="000000" w:themeColor="text1"/>
              <w:right w:val="nil"/>
            </w:tcBorders>
            <w:vAlign w:val="center"/>
          </w:tcPr>
          <w:p w14:paraId="18AE9266" w14:textId="31A16C7C" w:rsidR="00FB574B" w:rsidRPr="0054775B" w:rsidRDefault="00FB574B" w:rsidP="00FB574B">
            <w:pPr>
              <w:pStyle w:val="2024TABLETEXT"/>
              <w:framePr w:hSpace="0" w:wrap="auto" w:vAnchor="margin" w:yAlign="inline"/>
              <w:suppressOverlap w:val="0"/>
            </w:pPr>
            <w:r w:rsidRPr="0054775B">
              <w:t>7</w:t>
            </w:r>
          </w:p>
        </w:tc>
        <w:tc>
          <w:tcPr>
            <w:tcW w:w="1465" w:type="pct"/>
            <w:tcBorders>
              <w:top w:val="single" w:sz="6" w:space="0" w:color="000000" w:themeColor="text1"/>
              <w:left w:val="nil"/>
              <w:bottom w:val="single" w:sz="6" w:space="0" w:color="000000" w:themeColor="text1"/>
              <w:right w:val="nil"/>
            </w:tcBorders>
            <w:vAlign w:val="center"/>
          </w:tcPr>
          <w:p w14:paraId="7C330A6C" w14:textId="26192A96" w:rsidR="00FB574B" w:rsidRPr="0054775B" w:rsidRDefault="00FB574B" w:rsidP="00FB574B">
            <w:pPr>
              <w:pStyle w:val="2024TABLETEXT"/>
              <w:framePr w:hSpace="0" w:wrap="auto" w:vAnchor="margin" w:yAlign="inline"/>
              <w:suppressOverlap w:val="0"/>
              <w:rPr>
                <w:b/>
                <w:bCs/>
              </w:rPr>
            </w:pPr>
            <w:r w:rsidRPr="0054775B">
              <w:rPr>
                <w:b/>
                <w:bCs/>
              </w:rPr>
              <w:t>Cognitive function burden</w:t>
            </w:r>
          </w:p>
        </w:tc>
        <w:tc>
          <w:tcPr>
            <w:tcW w:w="455" w:type="pct"/>
            <w:tcBorders>
              <w:top w:val="single" w:sz="6" w:space="0" w:color="000000" w:themeColor="text1"/>
              <w:left w:val="nil"/>
              <w:bottom w:val="single" w:sz="6" w:space="0" w:color="000000" w:themeColor="text1"/>
              <w:right w:val="nil"/>
            </w:tcBorders>
            <w:vAlign w:val="center"/>
          </w:tcPr>
          <w:p w14:paraId="4D23DA5A" w14:textId="166BB822" w:rsidR="00FB574B" w:rsidRPr="0054775B" w:rsidRDefault="00FB574B" w:rsidP="00FB574B">
            <w:pPr>
              <w:pStyle w:val="2024TABLETEXT"/>
              <w:framePr w:hSpace="0" w:wrap="auto" w:vAnchor="margin" w:yAlign="inline"/>
              <w:suppressOverlap w:val="0"/>
            </w:pPr>
            <w:r w:rsidRPr="0054775B">
              <w:t>-</w:t>
            </w:r>
          </w:p>
        </w:tc>
        <w:tc>
          <w:tcPr>
            <w:tcW w:w="505" w:type="pct"/>
            <w:tcBorders>
              <w:top w:val="single" w:sz="6" w:space="0" w:color="000000" w:themeColor="text1"/>
              <w:left w:val="nil"/>
              <w:bottom w:val="single" w:sz="6" w:space="0" w:color="000000" w:themeColor="text1"/>
              <w:right w:val="nil"/>
            </w:tcBorders>
            <w:shd w:val="clear" w:color="auto" w:fill="auto"/>
            <w:vAlign w:val="center"/>
          </w:tcPr>
          <w:p w14:paraId="737C97F7" w14:textId="7F1C8314" w:rsidR="00FB574B" w:rsidRPr="0054775B" w:rsidRDefault="00FB574B" w:rsidP="00FB574B">
            <w:pPr>
              <w:pStyle w:val="2024TABLETEXT"/>
              <w:framePr w:hSpace="0" w:wrap="auto" w:vAnchor="margin" w:yAlign="inline"/>
              <w:suppressOverlap w:val="0"/>
            </w:pPr>
            <w:r w:rsidRPr="0054775B">
              <w:t>-</w:t>
            </w:r>
          </w:p>
        </w:tc>
        <w:tc>
          <w:tcPr>
            <w:tcW w:w="455" w:type="pct"/>
            <w:tcBorders>
              <w:top w:val="single" w:sz="6" w:space="0" w:color="000000" w:themeColor="text1"/>
              <w:left w:val="nil"/>
              <w:bottom w:val="single" w:sz="6" w:space="0" w:color="000000" w:themeColor="text1"/>
              <w:right w:val="nil"/>
            </w:tcBorders>
            <w:vAlign w:val="center"/>
          </w:tcPr>
          <w:p w14:paraId="0DDEE6CE" w14:textId="67EABF71" w:rsidR="00FB574B" w:rsidRPr="0054775B" w:rsidRDefault="00FB574B" w:rsidP="00FB574B">
            <w:pPr>
              <w:pStyle w:val="2024TABLETEXT"/>
              <w:framePr w:hSpace="0" w:wrap="auto" w:vAnchor="margin" w:yAlign="inline"/>
              <w:suppressOverlap w:val="0"/>
            </w:pPr>
            <w:r w:rsidRPr="0054775B">
              <w:t>-</w:t>
            </w:r>
          </w:p>
        </w:tc>
        <w:tc>
          <w:tcPr>
            <w:tcW w:w="453" w:type="pct"/>
            <w:tcBorders>
              <w:top w:val="single" w:sz="6" w:space="0" w:color="000000" w:themeColor="text1"/>
              <w:left w:val="nil"/>
              <w:bottom w:val="single" w:sz="6" w:space="0" w:color="000000" w:themeColor="text1"/>
              <w:right w:val="nil"/>
            </w:tcBorders>
            <w:vAlign w:val="center"/>
          </w:tcPr>
          <w:p w14:paraId="3B491AEB" w14:textId="21E9B319" w:rsidR="00FB574B" w:rsidRPr="0054775B" w:rsidRDefault="00FB574B" w:rsidP="00FB574B">
            <w:pPr>
              <w:pStyle w:val="2024TABLETEXT"/>
              <w:framePr w:hSpace="0" w:wrap="auto" w:vAnchor="margin" w:yAlign="inline"/>
              <w:suppressOverlap w:val="0"/>
            </w:pPr>
            <w:r w:rsidRPr="0054775B">
              <w:t>-</w:t>
            </w:r>
          </w:p>
        </w:tc>
        <w:tc>
          <w:tcPr>
            <w:tcW w:w="1364" w:type="pct"/>
            <w:tcBorders>
              <w:top w:val="single" w:sz="6" w:space="0" w:color="000000" w:themeColor="text1"/>
              <w:left w:val="nil"/>
              <w:bottom w:val="single" w:sz="6" w:space="0" w:color="000000" w:themeColor="text1"/>
              <w:right w:val="nil"/>
            </w:tcBorders>
            <w:vAlign w:val="center"/>
          </w:tcPr>
          <w:p w14:paraId="7E9A780B" w14:textId="2FB8ED5F" w:rsidR="00FB574B" w:rsidRPr="0054775B" w:rsidRDefault="00FB574B" w:rsidP="00FB574B">
            <w:pPr>
              <w:pStyle w:val="2024TABLETEXT"/>
              <w:framePr w:hSpace="0" w:wrap="auto" w:vAnchor="margin" w:yAlign="inline"/>
              <w:suppressOverlap w:val="0"/>
            </w:pPr>
            <w:r w:rsidRPr="0054775B">
              <w:t xml:space="preserve">No </w:t>
            </w:r>
            <w:r>
              <w:t>reviews</w:t>
            </w:r>
            <w:r w:rsidRPr="0054775B">
              <w:t xml:space="preserve"> found. The effect of magnesium on cognitive function burden for headache and migraine is unknown.</w:t>
            </w:r>
          </w:p>
        </w:tc>
      </w:tr>
      <w:tr w:rsidR="00FB574B" w:rsidRPr="0054775B" w14:paraId="3B6C2021" w14:textId="77777777" w:rsidTr="487B0249">
        <w:trPr>
          <w:cantSplit/>
        </w:trPr>
        <w:tc>
          <w:tcPr>
            <w:tcW w:w="303" w:type="pct"/>
            <w:tcBorders>
              <w:top w:val="single" w:sz="6" w:space="0" w:color="000000" w:themeColor="text1"/>
              <w:left w:val="nil"/>
              <w:bottom w:val="single" w:sz="6" w:space="0" w:color="000000" w:themeColor="text1"/>
              <w:right w:val="nil"/>
            </w:tcBorders>
            <w:vAlign w:val="center"/>
          </w:tcPr>
          <w:p w14:paraId="1452CEA4" w14:textId="53D2CCE7" w:rsidR="00FB574B" w:rsidRPr="0054775B" w:rsidRDefault="00FB574B" w:rsidP="00FB574B">
            <w:pPr>
              <w:pStyle w:val="2024TABLETEXT"/>
              <w:framePr w:hSpace="0" w:wrap="auto" w:vAnchor="margin" w:yAlign="inline"/>
              <w:suppressOverlap w:val="0"/>
            </w:pPr>
            <w:r w:rsidRPr="0054775B">
              <w:t>7</w:t>
            </w:r>
          </w:p>
        </w:tc>
        <w:tc>
          <w:tcPr>
            <w:tcW w:w="1465" w:type="pct"/>
            <w:tcBorders>
              <w:top w:val="single" w:sz="6" w:space="0" w:color="000000" w:themeColor="text1"/>
              <w:left w:val="nil"/>
              <w:bottom w:val="single" w:sz="6" w:space="0" w:color="000000" w:themeColor="text1"/>
              <w:right w:val="nil"/>
            </w:tcBorders>
            <w:vAlign w:val="center"/>
          </w:tcPr>
          <w:p w14:paraId="47CE2D50" w14:textId="0864B57A" w:rsidR="00FB574B" w:rsidRPr="0054775B" w:rsidRDefault="00FB574B" w:rsidP="00FB574B">
            <w:pPr>
              <w:pStyle w:val="2024TABLETEXT"/>
              <w:framePr w:hSpace="0" w:wrap="auto" w:vAnchor="margin" w:yAlign="inline"/>
              <w:suppressOverlap w:val="0"/>
              <w:rPr>
                <w:b/>
                <w:bCs/>
              </w:rPr>
            </w:pPr>
            <w:r w:rsidRPr="0054775B">
              <w:rPr>
                <w:b/>
                <w:bCs/>
              </w:rPr>
              <w:t>Medication use</w:t>
            </w:r>
          </w:p>
        </w:tc>
        <w:tc>
          <w:tcPr>
            <w:tcW w:w="455" w:type="pct"/>
            <w:tcBorders>
              <w:top w:val="single" w:sz="6" w:space="0" w:color="000000" w:themeColor="text1"/>
              <w:left w:val="nil"/>
              <w:bottom w:val="single" w:sz="6" w:space="0" w:color="000000" w:themeColor="text1"/>
              <w:right w:val="nil"/>
            </w:tcBorders>
            <w:vAlign w:val="center"/>
          </w:tcPr>
          <w:p w14:paraId="4BAD37B2" w14:textId="49AA287D" w:rsidR="00FB574B" w:rsidRPr="0054775B" w:rsidRDefault="00FB574B" w:rsidP="00FB574B">
            <w:pPr>
              <w:pStyle w:val="2024TABLETEXT"/>
              <w:framePr w:hSpace="0" w:wrap="auto" w:vAnchor="margin" w:yAlign="inline"/>
              <w:suppressOverlap w:val="0"/>
            </w:pPr>
            <w:r w:rsidRPr="0054775B">
              <w:t>-</w:t>
            </w:r>
          </w:p>
        </w:tc>
        <w:tc>
          <w:tcPr>
            <w:tcW w:w="505" w:type="pct"/>
            <w:tcBorders>
              <w:top w:val="single" w:sz="6" w:space="0" w:color="000000" w:themeColor="text1"/>
              <w:left w:val="nil"/>
              <w:bottom w:val="single" w:sz="6" w:space="0" w:color="000000" w:themeColor="text1"/>
              <w:right w:val="nil"/>
            </w:tcBorders>
            <w:shd w:val="clear" w:color="auto" w:fill="auto"/>
            <w:vAlign w:val="center"/>
          </w:tcPr>
          <w:p w14:paraId="4F3E7524" w14:textId="74F144DB" w:rsidR="00FB574B" w:rsidRPr="0054775B" w:rsidRDefault="00FB574B" w:rsidP="00FB574B">
            <w:pPr>
              <w:pStyle w:val="2024TABLETEXT"/>
              <w:framePr w:hSpace="0" w:wrap="auto" w:vAnchor="margin" w:yAlign="inline"/>
              <w:suppressOverlap w:val="0"/>
            </w:pPr>
            <w:r w:rsidRPr="0054775B">
              <w:t>-</w:t>
            </w:r>
          </w:p>
        </w:tc>
        <w:tc>
          <w:tcPr>
            <w:tcW w:w="455" w:type="pct"/>
            <w:tcBorders>
              <w:top w:val="single" w:sz="6" w:space="0" w:color="000000" w:themeColor="text1"/>
              <w:left w:val="nil"/>
              <w:bottom w:val="single" w:sz="6" w:space="0" w:color="000000" w:themeColor="text1"/>
              <w:right w:val="nil"/>
            </w:tcBorders>
            <w:vAlign w:val="center"/>
          </w:tcPr>
          <w:p w14:paraId="2A20B8E0" w14:textId="75437254" w:rsidR="00FB574B" w:rsidRPr="0054775B" w:rsidRDefault="00FB574B" w:rsidP="00FB574B">
            <w:pPr>
              <w:pStyle w:val="2024TABLETEXT"/>
              <w:framePr w:hSpace="0" w:wrap="auto" w:vAnchor="margin" w:yAlign="inline"/>
              <w:suppressOverlap w:val="0"/>
            </w:pPr>
            <w:r w:rsidRPr="0054775B">
              <w:t>-</w:t>
            </w:r>
          </w:p>
        </w:tc>
        <w:tc>
          <w:tcPr>
            <w:tcW w:w="453" w:type="pct"/>
            <w:tcBorders>
              <w:top w:val="single" w:sz="6" w:space="0" w:color="000000" w:themeColor="text1"/>
              <w:left w:val="nil"/>
              <w:bottom w:val="single" w:sz="6" w:space="0" w:color="000000" w:themeColor="text1"/>
              <w:right w:val="nil"/>
            </w:tcBorders>
            <w:vAlign w:val="center"/>
          </w:tcPr>
          <w:p w14:paraId="44613833" w14:textId="1D888CE4" w:rsidR="00FB574B" w:rsidRPr="0054775B" w:rsidRDefault="00FB574B" w:rsidP="00FB574B">
            <w:pPr>
              <w:pStyle w:val="2024TABLETEXT"/>
              <w:framePr w:hSpace="0" w:wrap="auto" w:vAnchor="margin" w:yAlign="inline"/>
              <w:suppressOverlap w:val="0"/>
            </w:pPr>
            <w:r w:rsidRPr="0054775B">
              <w:t>-</w:t>
            </w:r>
          </w:p>
        </w:tc>
        <w:tc>
          <w:tcPr>
            <w:tcW w:w="1364" w:type="pct"/>
            <w:tcBorders>
              <w:top w:val="single" w:sz="6" w:space="0" w:color="000000" w:themeColor="text1"/>
              <w:left w:val="nil"/>
              <w:bottom w:val="single" w:sz="6" w:space="0" w:color="000000" w:themeColor="text1"/>
              <w:right w:val="nil"/>
            </w:tcBorders>
            <w:vAlign w:val="center"/>
          </w:tcPr>
          <w:p w14:paraId="60B5D9A9" w14:textId="21A790C3" w:rsidR="00FB574B" w:rsidRPr="0054775B" w:rsidRDefault="00FB574B" w:rsidP="00FB574B">
            <w:pPr>
              <w:pStyle w:val="2024TABLETEXT"/>
              <w:framePr w:hSpace="0" w:wrap="auto" w:vAnchor="margin" w:yAlign="inline"/>
              <w:suppressOverlap w:val="0"/>
            </w:pPr>
            <w:r w:rsidRPr="0054775B">
              <w:t xml:space="preserve">No </w:t>
            </w:r>
            <w:r>
              <w:t>reviews</w:t>
            </w:r>
            <w:r w:rsidRPr="0054775B">
              <w:t xml:space="preserve"> found. The effect of magnesium on medication use for headache and migraine is unknown.</w:t>
            </w:r>
          </w:p>
        </w:tc>
      </w:tr>
      <w:tr w:rsidR="00FB574B" w:rsidRPr="0054775B" w14:paraId="2C6D27AD" w14:textId="77777777" w:rsidTr="487B0249">
        <w:trPr>
          <w:cantSplit/>
          <w:trHeight w:val="50"/>
        </w:trPr>
        <w:tc>
          <w:tcPr>
            <w:tcW w:w="5000" w:type="pct"/>
            <w:gridSpan w:val="7"/>
            <w:tcBorders>
              <w:top w:val="single" w:sz="6" w:space="0" w:color="000000" w:themeColor="text1"/>
              <w:left w:val="nil"/>
              <w:bottom w:val="single" w:sz="6" w:space="0" w:color="000000" w:themeColor="text1"/>
              <w:right w:val="nil"/>
            </w:tcBorders>
          </w:tcPr>
          <w:p w14:paraId="3E1975DE" w14:textId="221EF71D" w:rsidR="00FB574B" w:rsidRDefault="00FB574B" w:rsidP="00FB574B">
            <w:pPr>
              <w:pStyle w:val="2024TABLEFOOTER"/>
            </w:pPr>
            <w:r w:rsidRPr="0054775B">
              <w:t>*Ratings 1-3 = of limited importance to decision making; 4-6 = important, but not critical, to decision making; 7-9 = critical for decision-making</w:t>
            </w:r>
            <w:r>
              <w:t>.</w:t>
            </w:r>
          </w:p>
          <w:p w14:paraId="6E2EC8D4" w14:textId="5B1B7C59" w:rsidR="00704844" w:rsidRDefault="00704844" w:rsidP="00704844">
            <w:pPr>
              <w:pStyle w:val="2024TABLEFOOTER"/>
            </w:pPr>
            <w:r w:rsidRPr="0054775B">
              <w:t>^</w:t>
            </w:r>
            <w:r>
              <w:t xml:space="preserve">Unable to find published MCID estimations for migraine duration, or number of migraine attacks per month. </w:t>
            </w:r>
          </w:p>
          <w:p w14:paraId="5E488621" w14:textId="35B2B9C7" w:rsidR="0005128C" w:rsidRDefault="00704844" w:rsidP="00FB574B">
            <w:pPr>
              <w:pStyle w:val="2024TABLEFOOTER"/>
            </w:pPr>
            <w:r>
              <w:t xml:space="preserve">§MCID for days with headache/migraine has been reported as 1 day </w:t>
            </w:r>
            <w:r>
              <w:rPr>
                <w:noProof/>
              </w:rPr>
              <w:t>(160)</w:t>
            </w:r>
            <w:r>
              <w:t>.</w:t>
            </w:r>
          </w:p>
          <w:p w14:paraId="6881E0AC" w14:textId="197FFE39" w:rsidR="00BB180E" w:rsidRDefault="00BB180E" w:rsidP="00FB574B">
            <w:pPr>
              <w:pStyle w:val="2024TABLEFOOTER"/>
            </w:pPr>
            <w:r>
              <w:t>#This result is log RoM</w:t>
            </w:r>
            <w:r w:rsidR="00645F56">
              <w:t xml:space="preserve">. </w:t>
            </w:r>
            <w:r w:rsidR="00645F56" w:rsidRPr="00645F56">
              <w:t xml:space="preserve">The log scale was not mentioned in the review, though it is probably the case that it was used given the negative value. </w:t>
            </w:r>
            <w:r w:rsidR="00645F56">
              <w:t>T</w:t>
            </w:r>
            <w:r w:rsidR="00645F56" w:rsidRPr="00645F56">
              <w:t>he log measure</w:t>
            </w:r>
            <w:r w:rsidR="00645F56">
              <w:t xml:space="preserve"> as reported in the review is presented </w:t>
            </w:r>
            <w:r w:rsidR="00645F56" w:rsidRPr="00645F56">
              <w:t>given that the inverse would require reanalysis</w:t>
            </w:r>
            <w:r w:rsidR="00645F56">
              <w:t>.</w:t>
            </w:r>
          </w:p>
          <w:p w14:paraId="36B794E9" w14:textId="311D6D8F" w:rsidR="00FB574B" w:rsidRDefault="004557A6" w:rsidP="00FB574B">
            <w:pPr>
              <w:pStyle w:val="2024TABLEFOOTER"/>
            </w:pPr>
            <w:r>
              <w:t>+</w:t>
            </w:r>
            <w:r w:rsidR="00957848">
              <w:t>A 20% ratio of means difference (i.e. RoM ≤ 0.8 or ≥ 1.2) was considered as a minimal clinically important difference (MCID).</w:t>
            </w:r>
          </w:p>
          <w:p w14:paraId="42584FBB" w14:textId="77777777" w:rsidR="00FB574B" w:rsidRPr="0054775B" w:rsidRDefault="00FB574B" w:rsidP="00FB574B">
            <w:pPr>
              <w:pStyle w:val="2024TABLEFOOTER"/>
            </w:pPr>
          </w:p>
          <w:p w14:paraId="71CBA45B" w14:textId="3E1DA3D5" w:rsidR="00FB574B" w:rsidRPr="0054775B" w:rsidRDefault="00FB574B" w:rsidP="00FB574B">
            <w:pPr>
              <w:pStyle w:val="2024TABLEFOOTER"/>
            </w:pPr>
            <w:r w:rsidRPr="0054775B">
              <w:t>Abbreviations: CI=Confidence interval, MD=Mean difference, NR=Not reported, VAS=Visual analogue scale, R</w:t>
            </w:r>
            <w:r w:rsidR="00277C32">
              <w:t>o</w:t>
            </w:r>
            <w:r w:rsidRPr="0054775B">
              <w:t>M=ratio of means</w:t>
            </w:r>
          </w:p>
        </w:tc>
      </w:tr>
      <w:tr w:rsidR="00FB574B" w:rsidRPr="0054775B" w14:paraId="4A2B3E17" w14:textId="77777777" w:rsidTr="487B0249">
        <w:trPr>
          <w:cantSplit/>
          <w:trHeight w:val="236"/>
        </w:trPr>
        <w:tc>
          <w:tcPr>
            <w:tcW w:w="5000" w:type="pct"/>
            <w:gridSpan w:val="7"/>
            <w:tcBorders>
              <w:top w:val="single" w:sz="6" w:space="0" w:color="000000" w:themeColor="text1"/>
              <w:left w:val="nil"/>
              <w:bottom w:val="single" w:sz="6" w:space="0" w:color="000000" w:themeColor="text1"/>
              <w:right w:val="nil"/>
            </w:tcBorders>
          </w:tcPr>
          <w:p w14:paraId="7297F1FC" w14:textId="51FCFEC4" w:rsidR="00FB574B" w:rsidRPr="0054775B" w:rsidRDefault="00FB574B" w:rsidP="00FB574B">
            <w:pPr>
              <w:pStyle w:val="2024TABLEFOOTER"/>
            </w:pPr>
            <w:r w:rsidRPr="0054775B">
              <w:t>GRADE Working Group grades of evidence</w:t>
            </w:r>
            <w:r w:rsidRPr="0054775B">
              <w:br/>
            </w:r>
            <w:r w:rsidRPr="0054775B">
              <w:rPr>
                <w:b/>
                <w:bCs/>
              </w:rPr>
              <w:t>High certainty:</w:t>
            </w:r>
            <w:r w:rsidRPr="0054775B">
              <w:t xml:space="preserve"> we are very confident that the true effect lies close to that of the estimate of the effect.</w:t>
            </w:r>
            <w:r w:rsidRPr="0054775B">
              <w:br/>
            </w:r>
            <w:r w:rsidRPr="0054775B">
              <w:rPr>
                <w:b/>
                <w:bCs/>
              </w:rPr>
              <w:t>Moderate certainty:</w:t>
            </w:r>
            <w:r w:rsidRPr="0054775B">
              <w:t xml:space="preserve"> we are moderately confident in the effect estimate: the true effect is likely to be close to the estimate of the effect, but there is a possibility that it is substantially different.</w:t>
            </w:r>
            <w:r w:rsidRPr="0054775B">
              <w:br/>
            </w:r>
            <w:r w:rsidRPr="0054775B">
              <w:rPr>
                <w:b/>
                <w:bCs/>
              </w:rPr>
              <w:t>Low certainty:</w:t>
            </w:r>
            <w:r w:rsidRPr="0054775B">
              <w:t xml:space="preserve"> our confidence in the effect estimate is limited: the true effect may be substantially different from the estimate of the effect.</w:t>
            </w:r>
            <w:r w:rsidRPr="0054775B">
              <w:br/>
            </w:r>
            <w:r w:rsidRPr="0054775B">
              <w:rPr>
                <w:b/>
                <w:bCs/>
              </w:rPr>
              <w:t>Very low certainty:</w:t>
            </w:r>
            <w:r w:rsidRPr="0054775B">
              <w:t xml:space="preserve"> we have very little confidence in the effect estimate: the true effect is likely to be substantially different from the estimate of effect.</w:t>
            </w:r>
          </w:p>
        </w:tc>
      </w:tr>
      <w:tr w:rsidR="00FB574B" w:rsidRPr="0054775B" w14:paraId="6B29DB4D" w14:textId="77777777" w:rsidTr="487B0249">
        <w:trPr>
          <w:cantSplit/>
          <w:trHeight w:val="236"/>
        </w:trPr>
        <w:tc>
          <w:tcPr>
            <w:tcW w:w="5000" w:type="pct"/>
            <w:gridSpan w:val="7"/>
            <w:tcBorders>
              <w:top w:val="single" w:sz="6" w:space="0" w:color="000000" w:themeColor="text1"/>
              <w:left w:val="nil"/>
              <w:bottom w:val="single" w:sz="6" w:space="0" w:color="000000" w:themeColor="text1"/>
              <w:right w:val="nil"/>
            </w:tcBorders>
          </w:tcPr>
          <w:p w14:paraId="77F9E79F" w14:textId="77777777" w:rsidR="00FB574B" w:rsidRPr="0054775B" w:rsidRDefault="00FB574B" w:rsidP="00FB574B">
            <w:pPr>
              <w:pStyle w:val="2024TABLEFOOTER"/>
            </w:pPr>
            <w:r w:rsidRPr="0054775B">
              <w:t>Explanations</w:t>
            </w:r>
          </w:p>
          <w:p w14:paraId="5F35364E" w14:textId="2966EFD8" w:rsidR="00FB574B" w:rsidRPr="0054775B" w:rsidRDefault="00FB574B" w:rsidP="00107BEE">
            <w:pPr>
              <w:pStyle w:val="2024TABLEFOOTER"/>
              <w:numPr>
                <w:ilvl w:val="0"/>
                <w:numId w:val="16"/>
              </w:numPr>
            </w:pPr>
            <w:r>
              <w:t>High r</w:t>
            </w:r>
            <w:r w:rsidRPr="0054775B">
              <w:t xml:space="preserve">isk of bias </w:t>
            </w:r>
            <w:r>
              <w:t>for multiple domains</w:t>
            </w:r>
            <w:r w:rsidRPr="0054775B">
              <w:t xml:space="preserve"> assessed for primary </w:t>
            </w:r>
            <w:r>
              <w:t>study</w:t>
            </w:r>
            <w:r w:rsidRPr="0054775B">
              <w:t xml:space="preserve"> (downgraded one for risk of bias). </w:t>
            </w:r>
            <w:r w:rsidR="00C908C2">
              <w:t>Unable</w:t>
            </w:r>
            <w:r>
              <w:t xml:space="preserve"> to assess precision as unable to find MCID for migraine duration (hours)</w:t>
            </w:r>
            <w:r w:rsidR="00B16FE9">
              <w:t>, the only included primary study had a very small sample size raising concerns about optimal information size</w:t>
            </w:r>
            <w:r>
              <w:t xml:space="preserve"> (downgrade </w:t>
            </w:r>
            <w:r w:rsidR="001F29C8">
              <w:t>2</w:t>
            </w:r>
            <w:r>
              <w:t xml:space="preserve"> for</w:t>
            </w:r>
            <w:r w:rsidR="003F128B">
              <w:t xml:space="preserve"> serious</w:t>
            </w:r>
            <w:r>
              <w:t xml:space="preserve"> imprecision).</w:t>
            </w:r>
            <w:r w:rsidRPr="00916534">
              <w:t xml:space="preserve"> No inconsistency due to singular study (no change for inconsistency).</w:t>
            </w:r>
            <w:r>
              <w:t xml:space="preserve"> Unable to assess publication bias as funnel plots and Egger’s test results not presented (though described in methods) (no change for publication bias).</w:t>
            </w:r>
          </w:p>
          <w:p w14:paraId="378CA68B" w14:textId="4C47D375" w:rsidR="00FB574B" w:rsidRPr="0054775B" w:rsidRDefault="00FB574B" w:rsidP="00107BEE">
            <w:pPr>
              <w:pStyle w:val="2024TABLEFOOTER"/>
              <w:numPr>
                <w:ilvl w:val="0"/>
                <w:numId w:val="16"/>
              </w:numPr>
            </w:pPr>
            <w:r>
              <w:t>High r</w:t>
            </w:r>
            <w:r w:rsidRPr="0054775B">
              <w:t xml:space="preserve">isk of bias </w:t>
            </w:r>
            <w:r>
              <w:t>for multiple domains</w:t>
            </w:r>
            <w:r w:rsidRPr="0054775B">
              <w:t xml:space="preserve"> assessed for primary studies (downgraded one for risk of bias). </w:t>
            </w:r>
            <w:r w:rsidR="00B16FE9">
              <w:t>P</w:t>
            </w:r>
            <w:r>
              <w:t>oint estimates all favoured the intervention, though confidence intervals had little overlap; lower bound of confidence interval would still be on threshold of clinically meaningful effect (where days with migraine = 1)</w:t>
            </w:r>
            <w:r w:rsidR="00485B33">
              <w:t>. However, small aggregate sample size which raises concerns about optimal information size. On balance, imprecision is a concern</w:t>
            </w:r>
            <w:r>
              <w:t xml:space="preserve"> (downgrade one for imprecision). </w:t>
            </w:r>
            <w:r w:rsidRPr="001428E8">
              <w:t xml:space="preserve">Inconsistency supported by high I² values and statistically significant heterogeneity, </w:t>
            </w:r>
            <w:r w:rsidRPr="00D63AF3">
              <w:t>however,</w:t>
            </w:r>
            <w:r w:rsidRPr="001428E8">
              <w:t xml:space="preserve"> point estimates all favoured the intervention and no confidence intervals crossed the direction of effect threshold (no change for inconsistency). </w:t>
            </w:r>
            <w:r>
              <w:t>Unable to assess publication bias as funnel plots and Egger’s test results not presented (though described in methods) (no change for publication bias).</w:t>
            </w:r>
          </w:p>
          <w:p w14:paraId="6AAEDF33" w14:textId="642A206B" w:rsidR="00FB574B" w:rsidRPr="007005A5" w:rsidRDefault="00FB574B" w:rsidP="00107BEE">
            <w:pPr>
              <w:pStyle w:val="2024TABLEFOOTER"/>
              <w:numPr>
                <w:ilvl w:val="0"/>
                <w:numId w:val="16"/>
              </w:numPr>
            </w:pPr>
            <w:r w:rsidRPr="007005A5">
              <w:t xml:space="preserve">High risk of bias for multiple domains assessed for primary studies (downgraded one for risk of bias). </w:t>
            </w:r>
            <w:r w:rsidR="00DB7655">
              <w:t>U</w:t>
            </w:r>
            <w:r w:rsidR="00715BE7">
              <w:t>sing MCID for RoM</w:t>
            </w:r>
            <w:r w:rsidR="007005A5">
              <w:t xml:space="preserve"> of </w:t>
            </w:r>
            <w:r w:rsidR="00715BE7">
              <w:t xml:space="preserve">0.2, CI boundaries </w:t>
            </w:r>
            <w:r w:rsidR="006E18EE">
              <w:t>have a</w:t>
            </w:r>
            <w:r w:rsidR="001C7C2C">
              <w:t>n appreciable</w:t>
            </w:r>
            <w:r w:rsidR="006E18EE">
              <w:t xml:space="preserve"> </w:t>
            </w:r>
            <w:r w:rsidR="00715BE7">
              <w:t>differen</w:t>
            </w:r>
            <w:r w:rsidR="001C7C2C">
              <w:t>ce in</w:t>
            </w:r>
            <w:r w:rsidR="00715BE7">
              <w:t xml:space="preserve"> interpretation</w:t>
            </w:r>
            <w:r w:rsidR="006E18EE">
              <w:t xml:space="preserve"> of effect</w:t>
            </w:r>
            <w:r w:rsidR="007005A5">
              <w:t xml:space="preserve"> (downgrade </w:t>
            </w:r>
            <w:r w:rsidR="00861A32">
              <w:t>2 for serious imprecision</w:t>
            </w:r>
            <w:r w:rsidR="007005A5">
              <w:t>).</w:t>
            </w:r>
            <w:r w:rsidR="007005A5" w:rsidRPr="00916534">
              <w:t xml:space="preserve"> </w:t>
            </w:r>
            <w:r w:rsidR="00241D76">
              <w:t>Low i</w:t>
            </w:r>
            <w:r w:rsidR="00241D76" w:rsidRPr="005B62F7">
              <w:t xml:space="preserve">nconsistency supported by </w:t>
            </w:r>
            <w:r w:rsidR="00241D76">
              <w:t>low</w:t>
            </w:r>
            <w:r w:rsidR="00241D76" w:rsidRPr="005B62F7">
              <w:t xml:space="preserve"> I² values and </w:t>
            </w:r>
            <w:r w:rsidR="00241D76">
              <w:t>non-</w:t>
            </w:r>
            <w:r w:rsidR="00241D76" w:rsidRPr="005B62F7">
              <w:t xml:space="preserve">statistically significant heterogeneity, point estimates favoured the intervention for </w:t>
            </w:r>
            <w:r w:rsidR="007F2CCB">
              <w:t>most studies</w:t>
            </w:r>
            <w:r w:rsidR="00241D76" w:rsidRPr="005B62F7">
              <w:t xml:space="preserve"> (no change for inconsistency).</w:t>
            </w:r>
            <w:r w:rsidR="00241D76">
              <w:t xml:space="preserve"> </w:t>
            </w:r>
            <w:r w:rsidR="001C7C2C">
              <w:t>Unable to assess publication bias as funnel plots and Egger’s test results not presented (though described in methods) (no change for publication bias).</w:t>
            </w:r>
          </w:p>
          <w:p w14:paraId="583B0489" w14:textId="3A50EFFE" w:rsidR="00FB574B" w:rsidRPr="0054775B" w:rsidRDefault="00FB574B" w:rsidP="00107BEE">
            <w:pPr>
              <w:pStyle w:val="2024TABLEFOOTER"/>
              <w:numPr>
                <w:ilvl w:val="0"/>
                <w:numId w:val="16"/>
              </w:numPr>
            </w:pPr>
            <w:r>
              <w:t>High r</w:t>
            </w:r>
            <w:r w:rsidRPr="0054775B">
              <w:t xml:space="preserve">isk of bias </w:t>
            </w:r>
            <w:r>
              <w:t>for multiple domains</w:t>
            </w:r>
            <w:r w:rsidRPr="0054775B">
              <w:t xml:space="preserve"> assessed for primary studies (downgraded one for risk of bias). </w:t>
            </w:r>
            <w:r w:rsidR="001C7C2C">
              <w:t>U</w:t>
            </w:r>
            <w:r>
              <w:t xml:space="preserve">nable to find MCID for migraine </w:t>
            </w:r>
            <w:r w:rsidR="006E28F3">
              <w:t>frequency</w:t>
            </w:r>
            <w:r>
              <w:t>, though confidence intervals did not cross the direction of effect threshold (downgrade one for imprecision).</w:t>
            </w:r>
            <w:r w:rsidRPr="00916534">
              <w:t xml:space="preserve"> </w:t>
            </w:r>
            <w:r w:rsidRPr="00CA59C6">
              <w:t>Inconsistency supported by high I² values and statistically significant heterogeneity, however</w:t>
            </w:r>
            <w:r w:rsidR="001C7C2C">
              <w:t>,</w:t>
            </w:r>
            <w:r w:rsidRPr="00CA59C6">
              <w:t xml:space="preserve"> point estimates all favoured the intervention and no confidence intervals crossed the direction of effect threshold (no change for inconsistency). </w:t>
            </w:r>
            <w:r>
              <w:t>Unable to assess publication bias as funnel plots and Egger’s test results not presented (though described in methods) (no change for publication bias).</w:t>
            </w:r>
          </w:p>
        </w:tc>
      </w:tr>
    </w:tbl>
    <w:p w14:paraId="03D8EA96" w14:textId="6F3F1B90" w:rsidR="00655DB7" w:rsidRPr="0054775B" w:rsidRDefault="00655DB7" w:rsidP="009E6F7F">
      <w:pPr>
        <w:sectPr w:rsidR="00655DB7" w:rsidRPr="0054775B" w:rsidSect="006A72DC">
          <w:pgSz w:w="16840" w:h="11910" w:orient="landscape"/>
          <w:pgMar w:top="1340" w:right="280" w:bottom="1340" w:left="1356" w:header="720" w:footer="720" w:gutter="0"/>
          <w:cols w:space="720"/>
          <w:docGrid w:linePitch="299"/>
        </w:sectPr>
      </w:pPr>
    </w:p>
    <w:p w14:paraId="6E327326" w14:textId="30153301" w:rsidR="00764746" w:rsidRPr="0054775B" w:rsidRDefault="00980972" w:rsidP="00F9201F">
      <w:pPr>
        <w:pStyle w:val="2024HEADER2"/>
      </w:pPr>
      <w:bookmarkStart w:id="114" w:name="_Toc179379626"/>
      <w:r w:rsidRPr="0054775B">
        <w:lastRenderedPageBreak/>
        <w:t>Arthritis/</w:t>
      </w:r>
      <w:r w:rsidR="006D55A4" w:rsidRPr="0054775B">
        <w:t>o</w:t>
      </w:r>
      <w:r w:rsidRPr="0054775B">
        <w:t xml:space="preserve">steoarthritis, </w:t>
      </w:r>
      <w:r w:rsidR="00B23B3F" w:rsidRPr="0054775B">
        <w:t>m</w:t>
      </w:r>
      <w:r w:rsidRPr="0054775B">
        <w:t>agnesium</w:t>
      </w:r>
      <w:bookmarkEnd w:id="114"/>
    </w:p>
    <w:p w14:paraId="23B058D3" w14:textId="77777777" w:rsidR="008308E9" w:rsidRPr="0054775B" w:rsidRDefault="008308E9" w:rsidP="009E6F7F">
      <w:pPr>
        <w:pStyle w:val="2024HEADER3"/>
        <w:rPr>
          <w:rFonts w:ascii="Aptos" w:hAnsi="Aptos"/>
        </w:rPr>
      </w:pPr>
      <w:r w:rsidRPr="0054775B">
        <w:rPr>
          <w:rFonts w:ascii="Aptos" w:hAnsi="Aptos"/>
        </w:rPr>
        <w:t>Description of condition</w:t>
      </w:r>
    </w:p>
    <w:p w14:paraId="0C08E0D6" w14:textId="38221BA7" w:rsidR="00717370" w:rsidRPr="0054775B" w:rsidRDefault="00C8695E" w:rsidP="009E6F7F">
      <w:r w:rsidRPr="0054775B">
        <w:t>Arthritis is a broad term encompassing over 100 distinct conditions characteri</w:t>
      </w:r>
      <w:r w:rsidR="001B6B2C" w:rsidRPr="0054775B">
        <w:t>s</w:t>
      </w:r>
      <w:r w:rsidRPr="0054775B">
        <w:t>ed by joint pain, inflammation, and stiffness</w:t>
      </w:r>
      <w:r w:rsidR="00C6544A" w:rsidRPr="0054775B">
        <w:t xml:space="preserve"> </w:t>
      </w:r>
      <w:r w:rsidR="00F54937">
        <w:rPr>
          <w:noProof/>
        </w:rPr>
        <w:t>(161)</w:t>
      </w:r>
      <w:r w:rsidRPr="0054775B">
        <w:t>.</w:t>
      </w:r>
      <w:r w:rsidR="00B30855" w:rsidRPr="0054775B">
        <w:t xml:space="preserve"> </w:t>
      </w:r>
      <w:r w:rsidRPr="0054775B">
        <w:t xml:space="preserve">These conditions can affect people of all ages, </w:t>
      </w:r>
      <w:r w:rsidR="001C7CC7">
        <w:t>affecting</w:t>
      </w:r>
      <w:r w:rsidR="001C7CC7" w:rsidRPr="0054775B">
        <w:t xml:space="preserve"> </w:t>
      </w:r>
      <w:r w:rsidRPr="0054775B">
        <w:t>mobility, daily activities, and overall quality of life</w:t>
      </w:r>
      <w:r w:rsidR="00C6544A" w:rsidRPr="0054775B">
        <w:t>.</w:t>
      </w:r>
      <w:r w:rsidRPr="0054775B">
        <w:t xml:space="preserve"> </w:t>
      </w:r>
      <w:r w:rsidR="007A6061" w:rsidRPr="0054775B">
        <w:t xml:space="preserve">Age, obesity, injury and genetic aspects are all risk factors for arthritis </w:t>
      </w:r>
      <w:r w:rsidR="00F54937">
        <w:rPr>
          <w:noProof/>
        </w:rPr>
        <w:t>(161)</w:t>
      </w:r>
      <w:r w:rsidR="007A6061" w:rsidRPr="0054775B">
        <w:t>. </w:t>
      </w:r>
      <w:r w:rsidR="00824AFF" w:rsidRPr="0054775B">
        <w:t>A recent large-scale longitudinal survey in the USA estimated</w:t>
      </w:r>
      <w:r w:rsidR="00717370" w:rsidRPr="0054775B">
        <w:t xml:space="preserve"> that arthritis</w:t>
      </w:r>
      <w:r w:rsidR="00824AFF" w:rsidRPr="0054775B">
        <w:t>,</w:t>
      </w:r>
      <w:r w:rsidR="00717370" w:rsidRPr="0054775B">
        <w:t xml:space="preserve"> in its various forms</w:t>
      </w:r>
      <w:r w:rsidR="00824AFF" w:rsidRPr="0054775B">
        <w:t>,</w:t>
      </w:r>
      <w:r w:rsidR="00717370" w:rsidRPr="0054775B">
        <w:t xml:space="preserve"> affects </w:t>
      </w:r>
      <w:r w:rsidR="00D67303" w:rsidRPr="0054775B">
        <w:t>over 25% of</w:t>
      </w:r>
      <w:r w:rsidR="00717370" w:rsidRPr="0054775B">
        <w:t xml:space="preserve"> people, with the most common form being osteoarthritis </w:t>
      </w:r>
      <w:r w:rsidR="00F54937">
        <w:rPr>
          <w:noProof/>
        </w:rPr>
        <w:t>(162)</w:t>
      </w:r>
      <w:r w:rsidR="00717370" w:rsidRPr="0054775B">
        <w:t>.</w:t>
      </w:r>
      <w:r w:rsidR="00D35CCA" w:rsidRPr="0054775B">
        <w:t xml:space="preserve"> In Australia, </w:t>
      </w:r>
      <w:r w:rsidR="00D67303" w:rsidRPr="0054775B">
        <w:t>recent</w:t>
      </w:r>
      <w:r w:rsidR="00D35CCA" w:rsidRPr="0054775B">
        <w:t xml:space="preserve"> </w:t>
      </w:r>
      <w:r w:rsidR="00D67303" w:rsidRPr="0054775B">
        <w:t xml:space="preserve">prevalence </w:t>
      </w:r>
      <w:r w:rsidR="00DA723A" w:rsidRPr="0054775B">
        <w:t>estimate</w:t>
      </w:r>
      <w:r w:rsidR="00D67303" w:rsidRPr="0054775B">
        <w:t>s</w:t>
      </w:r>
      <w:r w:rsidR="00DA723A" w:rsidRPr="0054775B">
        <w:t xml:space="preserve"> </w:t>
      </w:r>
      <w:r w:rsidR="00D67303" w:rsidRPr="0054775B">
        <w:t>are</w:t>
      </w:r>
      <w:r w:rsidR="00DA723A" w:rsidRPr="0054775B">
        <w:t xml:space="preserve"> slightly </w:t>
      </w:r>
      <w:r w:rsidR="00D67303" w:rsidRPr="0054775B">
        <w:t>lower</w:t>
      </w:r>
      <w:r w:rsidR="00DA723A" w:rsidRPr="0054775B">
        <w:t>, at 14.5%</w:t>
      </w:r>
      <w:r w:rsidR="00D67303" w:rsidRPr="0054775B">
        <w:t xml:space="preserve"> of the population</w:t>
      </w:r>
      <w:r w:rsidR="00DA723A" w:rsidRPr="0054775B">
        <w:t xml:space="preserve"> </w:t>
      </w:r>
      <w:r w:rsidR="00F54937">
        <w:rPr>
          <w:noProof/>
        </w:rPr>
        <w:t>(163)</w:t>
      </w:r>
      <w:r w:rsidR="00DA723A" w:rsidRPr="0054775B">
        <w:t>.</w:t>
      </w:r>
    </w:p>
    <w:p w14:paraId="12030969" w14:textId="560E235E" w:rsidR="00C8695E" w:rsidRPr="0054775B" w:rsidRDefault="00F34849" w:rsidP="009E6F7F">
      <w:r w:rsidRPr="0054775B">
        <w:t xml:space="preserve">Osteoarthritis is assumed to be a result from wear and tear on joints over time, whereas other forms of arthritis can be a result of injury or autoimmune disease. </w:t>
      </w:r>
      <w:r w:rsidR="00BE68D9" w:rsidRPr="0054775B">
        <w:t xml:space="preserve">Osteoarthritis </w:t>
      </w:r>
      <w:r w:rsidR="003B6F21" w:rsidRPr="0054775B">
        <w:t>involves</w:t>
      </w:r>
      <w:r w:rsidR="00BE68D9" w:rsidRPr="0054775B">
        <w:t xml:space="preserve"> the breakdown of cartilage</w:t>
      </w:r>
      <w:r w:rsidR="003B6F21" w:rsidRPr="0054775B">
        <w:t xml:space="preserve"> </w:t>
      </w:r>
      <w:r w:rsidR="00BE68D9" w:rsidRPr="0054775B">
        <w:t>lead</w:t>
      </w:r>
      <w:r w:rsidR="00EF342D" w:rsidRPr="0054775B">
        <w:t>ing</w:t>
      </w:r>
      <w:r w:rsidR="00BE68D9" w:rsidRPr="0054775B">
        <w:t xml:space="preserve"> to structural changes within the joint, </w:t>
      </w:r>
      <w:r w:rsidR="003B6F21" w:rsidRPr="0054775B">
        <w:t>and commonly</w:t>
      </w:r>
      <w:r w:rsidR="00BE68D9" w:rsidRPr="0054775B">
        <w:t xml:space="preserve"> affect</w:t>
      </w:r>
      <w:r w:rsidR="003B6F21" w:rsidRPr="0054775B">
        <w:t>s</w:t>
      </w:r>
      <w:r w:rsidR="00BE68D9" w:rsidRPr="0054775B">
        <w:t xml:space="preserve"> weight-bearing joints like the knees, hips, and spine (though can occur in any joint in the body) </w:t>
      </w:r>
      <w:r w:rsidR="00F54937">
        <w:rPr>
          <w:noProof/>
        </w:rPr>
        <w:t>(164, 165)</w:t>
      </w:r>
      <w:r w:rsidR="00EF342D" w:rsidRPr="0054775B">
        <w:t>.</w:t>
      </w:r>
      <w:r w:rsidR="009C08AA" w:rsidRPr="0054775B">
        <w:t xml:space="preserve"> </w:t>
      </w:r>
      <w:r w:rsidR="00AE6D21" w:rsidRPr="0054775B">
        <w:t xml:space="preserve">Besides the direct physical impact, arthritis can significantly affect mental well-being and contribute to a greater risk of comorbidities. Osteoarthritis is associated with an increased risk of cardiovascular disease, obesity, mood disorders, and other chronic conditions </w:t>
      </w:r>
      <w:r w:rsidR="00227084">
        <w:rPr>
          <w:noProof/>
        </w:rPr>
        <w:t>(166, 167)</w:t>
      </w:r>
      <w:r w:rsidR="00AE6D21" w:rsidRPr="0054775B">
        <w:t xml:space="preserve">. </w:t>
      </w:r>
    </w:p>
    <w:p w14:paraId="1522F2EA" w14:textId="05C70849" w:rsidR="00913D99" w:rsidRPr="0054775B" w:rsidRDefault="00913D99" w:rsidP="009E6F7F">
      <w:r w:rsidRPr="0054775B">
        <w:t>Diagnosing specific types of arthritis involves a combination of clinical history, physical examination, imaging (e.g. X-rays or MRI) and sometimes laboratory tests (Hunter et al., 2021). Typical symptoms of arthritis include joint pain, stiffness (particularly after inactivity), swelling, limited range of motion, and sometimes redness and warmth around the affected joint</w:t>
      </w:r>
      <w:r w:rsidR="00F93859" w:rsidRPr="0054775B">
        <w:t>.</w:t>
      </w:r>
    </w:p>
    <w:p w14:paraId="642F3600" w14:textId="20B8FDD6" w:rsidR="00B23B3F" w:rsidRPr="0054775B" w:rsidRDefault="008308E9" w:rsidP="009E6F7F">
      <w:pPr>
        <w:pStyle w:val="2024HEADER3"/>
        <w:rPr>
          <w:rFonts w:ascii="Aptos" w:hAnsi="Aptos"/>
        </w:rPr>
      </w:pPr>
      <w:r w:rsidRPr="0054775B">
        <w:rPr>
          <w:rFonts w:ascii="Aptos" w:hAnsi="Aptos"/>
        </w:rPr>
        <w:t>Description of the intervention</w:t>
      </w:r>
    </w:p>
    <w:p w14:paraId="1542F197" w14:textId="11172E4A" w:rsidR="0050599F" w:rsidRPr="0054775B" w:rsidRDefault="0050599F" w:rsidP="009E6F7F">
      <w:r w:rsidRPr="0054775B">
        <w:t xml:space="preserve">Magnesium (often abbreviated as its chemical symbol: Mg) is a naturally occurring mineral in the human body. It is an essential mineral playing numerous crucial roles in the human body, including enzymatic reactions, energy production, muscle function, and bone health </w:t>
      </w:r>
      <w:r w:rsidR="00A61385">
        <w:rPr>
          <w:noProof/>
        </w:rPr>
        <w:t>(16, 17)</w:t>
      </w:r>
      <w:r w:rsidRPr="0054775B">
        <w:t xml:space="preserve">. Recent evidence suggests that magnesium levels in the body may be associated with some health conditions, including Diabetes Mellitus (Type II), cardiovascular disease, osteoporosis, and migraines </w:t>
      </w:r>
      <w:r w:rsidR="00A61385">
        <w:rPr>
          <w:noProof/>
        </w:rPr>
        <w:t>(17)</w:t>
      </w:r>
      <w:r w:rsidRPr="0054775B">
        <w:t>.</w:t>
      </w:r>
    </w:p>
    <w:p w14:paraId="54EE4C34" w14:textId="3E7BA905" w:rsidR="00A058EC" w:rsidRPr="0054775B" w:rsidRDefault="0050599F" w:rsidP="009E6F7F">
      <w:r w:rsidRPr="0054775B">
        <w:t xml:space="preserve">The recommended dietary </w:t>
      </w:r>
      <w:r w:rsidR="002D2ECD">
        <w:t>intake</w:t>
      </w:r>
      <w:r w:rsidRPr="0054775B">
        <w:t xml:space="preserve"> for magnesium varies depending on age and sex, typically ranging from 310-420 mg daily for adults </w:t>
      </w:r>
      <w:r w:rsidR="00A61385">
        <w:rPr>
          <w:noProof/>
        </w:rPr>
        <w:t>(</w:t>
      </w:r>
      <w:r w:rsidR="002D2ECD">
        <w:rPr>
          <w:noProof/>
        </w:rPr>
        <w:t>19</w:t>
      </w:r>
      <w:r w:rsidR="00A61385">
        <w:rPr>
          <w:noProof/>
        </w:rPr>
        <w:t>)</w:t>
      </w:r>
      <w:r w:rsidRPr="0054775B">
        <w:t xml:space="preserve">. While it is a </w:t>
      </w:r>
      <w:r w:rsidRPr="0054775B">
        <w:rPr>
          <w:sz w:val="21"/>
          <w:szCs w:val="21"/>
        </w:rPr>
        <w:t>typical</w:t>
      </w:r>
      <w:r w:rsidRPr="0054775B">
        <w:t xml:space="preserve"> component of most diets, and is abundant in foods such as leafy vegetables, nuts, legumes, and grains, supplementation is available. Magnesium supplements come in several forms with varying bioavailability (absorption rates), including magnesium oxide, citrate, glycinate, or lactate </w:t>
      </w:r>
      <w:r w:rsidR="00A61385">
        <w:rPr>
          <w:noProof/>
        </w:rPr>
        <w:t>(17)</w:t>
      </w:r>
      <w:r w:rsidRPr="0054775B">
        <w:t xml:space="preserve">. </w:t>
      </w:r>
    </w:p>
    <w:p w14:paraId="556C5E21" w14:textId="5DA02705" w:rsidR="00A058EC" w:rsidRPr="0054775B" w:rsidRDefault="00844C17" w:rsidP="00A058EC">
      <w:r w:rsidRPr="0054775B">
        <w:t>Magnesium may play a multifaceted role in treatment of arthritis</w:t>
      </w:r>
      <w:r w:rsidR="003A4A0B" w:rsidRPr="0054775B">
        <w:t>, including</w:t>
      </w:r>
      <w:r w:rsidR="005F6FE8">
        <w:t>:</w:t>
      </w:r>
      <w:r w:rsidRPr="0054775B">
        <w:t xml:space="preserve"> protective role in cartilage, inflammation reduction, and potential cartilage-sparing</w:t>
      </w:r>
      <w:r w:rsidR="006E6C21" w:rsidRPr="0054775B">
        <w:t xml:space="preserve"> effects</w:t>
      </w:r>
      <w:r w:rsidR="005E40DE" w:rsidRPr="0054775B">
        <w:t xml:space="preserve"> </w:t>
      </w:r>
      <w:r w:rsidR="00227084">
        <w:rPr>
          <w:noProof/>
        </w:rPr>
        <w:t>(168)</w:t>
      </w:r>
      <w:r w:rsidR="006E6C21" w:rsidRPr="0054775B">
        <w:t xml:space="preserve">.  </w:t>
      </w:r>
      <w:r w:rsidR="002F6953" w:rsidRPr="0054775B">
        <w:t>A</w:t>
      </w:r>
      <w:r w:rsidR="00A058EC" w:rsidRPr="0054775B">
        <w:t>dequate magnesium levels help prevent cartilage degradation.</w:t>
      </w:r>
      <w:r w:rsidR="000B694A" w:rsidRPr="0054775B">
        <w:t xml:space="preserve"> </w:t>
      </w:r>
      <w:r w:rsidR="00A058EC" w:rsidRPr="0054775B">
        <w:t>Magnesium also prevents cytokine storms, which are inflammatory immune responses where the body attacks its own cells, including cartilage.</w:t>
      </w:r>
      <w:r w:rsidR="000B694A" w:rsidRPr="0054775B">
        <w:t xml:space="preserve"> </w:t>
      </w:r>
      <w:r w:rsidR="00A058EC" w:rsidRPr="0054775B">
        <w:t xml:space="preserve">Magnesium </w:t>
      </w:r>
      <w:r w:rsidR="00C86C37" w:rsidRPr="0054775B">
        <w:t>sulphate</w:t>
      </w:r>
      <w:r w:rsidR="00A058EC" w:rsidRPr="0054775B">
        <w:t xml:space="preserve"> (MgSO₄) has been used in </w:t>
      </w:r>
      <w:r w:rsidR="00C86C37" w:rsidRPr="0054775B">
        <w:t>anaesthesia</w:t>
      </w:r>
      <w:r w:rsidR="00A058EC" w:rsidRPr="0054775B">
        <w:t xml:space="preserve"> to reduce postoperative opioid needs and </w:t>
      </w:r>
      <w:r w:rsidR="00233326" w:rsidRPr="0054775B">
        <w:t xml:space="preserve">has </w:t>
      </w:r>
      <w:r w:rsidR="002B6D8A" w:rsidRPr="0054775B">
        <w:t xml:space="preserve">demonstrated reduced joint pain, inflammation, and cartilage cell death, slowing disease progression </w:t>
      </w:r>
      <w:r w:rsidR="00177652" w:rsidRPr="0054775B">
        <w:t>using a rat model</w:t>
      </w:r>
      <w:r w:rsidR="0036698D" w:rsidRPr="0054775B">
        <w:t xml:space="preserve"> </w:t>
      </w:r>
      <w:r w:rsidR="00227084">
        <w:rPr>
          <w:noProof/>
        </w:rPr>
        <w:t>(169)</w:t>
      </w:r>
      <w:r w:rsidR="002B6D8A" w:rsidRPr="0054775B">
        <w:t xml:space="preserve">. </w:t>
      </w:r>
      <w:r w:rsidR="007D7236" w:rsidRPr="0054775B">
        <w:t>I</w:t>
      </w:r>
      <w:r w:rsidR="00A058EC" w:rsidRPr="0054775B">
        <w:t>ntra-articular MgCl₂ (magnesium chloride) prevents joint damage progression</w:t>
      </w:r>
      <w:r w:rsidR="007D7236" w:rsidRPr="0054775B">
        <w:t xml:space="preserve"> </w:t>
      </w:r>
      <w:r w:rsidR="0005633D" w:rsidRPr="0054775B">
        <w:t xml:space="preserve">as it </w:t>
      </w:r>
      <w:r w:rsidR="005C03BE" w:rsidRPr="0054775B">
        <w:t>decrease</w:t>
      </w:r>
      <w:r w:rsidR="005C03BE">
        <w:t>s</w:t>
      </w:r>
      <w:r w:rsidR="00A058EC" w:rsidRPr="0054775B">
        <w:t xml:space="preserve"> expression of matrix metalloproteinase and interleukin-6 genes in synovium and cartilage, suggesting anti-inflammatory and cartilage-sparing effects</w:t>
      </w:r>
      <w:r w:rsidR="002D66DE" w:rsidRPr="0054775B">
        <w:t xml:space="preserve"> </w:t>
      </w:r>
      <w:r w:rsidR="00227084">
        <w:rPr>
          <w:noProof/>
        </w:rPr>
        <w:t>(170)</w:t>
      </w:r>
      <w:r w:rsidR="00A058EC" w:rsidRPr="0054775B">
        <w:t>.</w:t>
      </w:r>
    </w:p>
    <w:p w14:paraId="21E06BAF" w14:textId="193000E8" w:rsidR="0050599F" w:rsidRPr="0054775B" w:rsidRDefault="0050599F" w:rsidP="009E6F7F">
      <w:r w:rsidRPr="0054775B">
        <w:lastRenderedPageBreak/>
        <w:t>Oral magnesium supplements are readily available without prescription and are sometimes sold in tandem with one or multiple other nutritional supplements. Magnesium supplements are generally safe for most people when taken at appropriate doses</w:t>
      </w:r>
      <w:r w:rsidR="00577A9E">
        <w:rPr>
          <w:rStyle w:val="FootnoteReference"/>
        </w:rPr>
        <w:footnoteReference w:id="6"/>
      </w:r>
      <w:r w:rsidRPr="0054775B">
        <w:t xml:space="preserve">; though some medications may interact with magnesium (including antibiotics, diuretics and bisphosphonates) </w:t>
      </w:r>
      <w:r w:rsidR="00A61385">
        <w:rPr>
          <w:noProof/>
        </w:rPr>
        <w:t>(17)</w:t>
      </w:r>
      <w:r w:rsidRPr="0054775B">
        <w:t xml:space="preserve">. Excess magnesium is usually </w:t>
      </w:r>
      <w:r w:rsidR="00137E06">
        <w:t>excreted</w:t>
      </w:r>
      <w:r w:rsidR="001909D9" w:rsidRPr="0054775B">
        <w:t xml:space="preserve"> </w:t>
      </w:r>
      <w:r w:rsidRPr="0054775B">
        <w:t xml:space="preserve">by the kidneys as urine, though very high amounts of magnesium from dietary supplements can result in diarrhea, nausea and abdominal cramping </w:t>
      </w:r>
      <w:r w:rsidR="00A61385">
        <w:rPr>
          <w:noProof/>
        </w:rPr>
        <w:t>(17)</w:t>
      </w:r>
      <w:r w:rsidRPr="0054775B">
        <w:t>.</w:t>
      </w:r>
    </w:p>
    <w:p w14:paraId="71762F99" w14:textId="77777777" w:rsidR="008308E9" w:rsidRPr="0054775B" w:rsidRDefault="008308E9" w:rsidP="009E6F7F">
      <w:pPr>
        <w:pStyle w:val="2024HEADER3"/>
        <w:rPr>
          <w:rFonts w:ascii="Aptos" w:hAnsi="Aptos"/>
        </w:rPr>
      </w:pPr>
      <w:r w:rsidRPr="0054775B">
        <w:rPr>
          <w:rFonts w:ascii="Aptos" w:hAnsi="Aptos"/>
        </w:rPr>
        <w:t>Prioritised outcomes</w:t>
      </w:r>
    </w:p>
    <w:p w14:paraId="6AE17393" w14:textId="6584B935" w:rsidR="00C13A5E" w:rsidRPr="0054775B" w:rsidRDefault="00B52AE2" w:rsidP="009E6F7F">
      <w:r w:rsidRPr="0054775B">
        <w:t>Seven</w:t>
      </w:r>
      <w:r w:rsidR="00C13A5E" w:rsidRPr="0054775B">
        <w:t xml:space="preserve"> </w:t>
      </w:r>
      <w:r w:rsidR="0050599F" w:rsidRPr="0054775B">
        <w:t xml:space="preserve">priority outcomes were </w:t>
      </w:r>
      <w:r w:rsidR="007F404D" w:rsidRPr="0054775B">
        <w:t xml:space="preserve">identified by NTWC as part of the Outcome Prioritisation Exercise. These are listed below by order of priority. </w:t>
      </w:r>
      <w:r w:rsidR="0050599F" w:rsidRPr="0054775B">
        <w:t>Outcomes were rated by their importance to decision-making, with those rated 7-9 being critical for decision-making</w:t>
      </w:r>
      <w:r w:rsidR="00C13A5E" w:rsidRPr="0054775B">
        <w:t xml:space="preserve">. </w:t>
      </w:r>
    </w:p>
    <w:p w14:paraId="5B9008F3" w14:textId="110ED01E" w:rsidR="00764746" w:rsidRPr="0054775B" w:rsidRDefault="0050599F" w:rsidP="006F63D3">
      <w:pPr>
        <w:pStyle w:val="2024TABLECAPTION"/>
        <w:rPr>
          <w:rFonts w:ascii="Aptos" w:hAnsi="Aptos"/>
        </w:rPr>
      </w:pPr>
      <w:bookmarkStart w:id="115" w:name="_Toc185261615"/>
      <w:r w:rsidRPr="0054775B">
        <w:rPr>
          <w:rFonts w:ascii="Aptos" w:hAnsi="Aptos"/>
        </w:rPr>
        <w:t xml:space="preserve">Table </w:t>
      </w:r>
      <w:r w:rsidR="002F1F6C" w:rsidRPr="0054775B">
        <w:rPr>
          <w:rFonts w:ascii="Aptos" w:hAnsi="Aptos"/>
        </w:rPr>
        <w:fldChar w:fldCharType="begin"/>
      </w:r>
      <w:r w:rsidR="002F1F6C" w:rsidRPr="0054775B">
        <w:rPr>
          <w:rFonts w:ascii="Aptos" w:hAnsi="Aptos"/>
        </w:rPr>
        <w:instrText xml:space="preserve"> SEQ Table \* ARABIC </w:instrText>
      </w:r>
      <w:r w:rsidR="002F1F6C" w:rsidRPr="0054775B">
        <w:rPr>
          <w:rFonts w:ascii="Aptos" w:hAnsi="Aptos"/>
        </w:rPr>
        <w:fldChar w:fldCharType="separate"/>
      </w:r>
      <w:r w:rsidR="00CB3AAD" w:rsidRPr="0054775B" w:rsidDel="004E7C54">
        <w:rPr>
          <w:rFonts w:ascii="Aptos" w:hAnsi="Aptos"/>
          <w:noProof/>
        </w:rPr>
        <w:t>37</w:t>
      </w:r>
      <w:r w:rsidR="002F1F6C" w:rsidRPr="0054775B">
        <w:rPr>
          <w:rFonts w:ascii="Aptos" w:hAnsi="Aptos"/>
          <w:noProof/>
        </w:rPr>
        <w:fldChar w:fldCharType="end"/>
      </w:r>
      <w:r w:rsidRPr="0054775B">
        <w:rPr>
          <w:rFonts w:ascii="Aptos" w:hAnsi="Aptos"/>
        </w:rPr>
        <w:t xml:space="preserve">. </w:t>
      </w:r>
      <w:r w:rsidR="00764746" w:rsidRPr="0054775B">
        <w:rPr>
          <w:rFonts w:ascii="Aptos" w:hAnsi="Aptos"/>
        </w:rPr>
        <w:t xml:space="preserve">List of prioritised outcomes – </w:t>
      </w:r>
      <w:r w:rsidRPr="0054775B">
        <w:rPr>
          <w:rFonts w:ascii="Aptos" w:hAnsi="Aptos"/>
        </w:rPr>
        <w:t xml:space="preserve">arthritis/osteoarthritis, magnesium </w:t>
      </w:r>
      <w:r w:rsidR="00764746" w:rsidRPr="0054775B">
        <w:rPr>
          <w:rFonts w:ascii="Aptos" w:hAnsi="Aptos"/>
        </w:rPr>
        <w:t>(as assessed as part of the Outcome Prioritisation Exercise by NTWC).</w:t>
      </w:r>
      <w:bookmarkEnd w:id="115"/>
      <w:r w:rsidR="00764746" w:rsidRPr="0054775B">
        <w:rPr>
          <w:rFonts w:ascii="Aptos" w:hAnsi="Aptos"/>
        </w:rPr>
        <w:t> </w:t>
      </w:r>
    </w:p>
    <w:tbl>
      <w:tblPr>
        <w:tblW w:w="9067" w:type="dxa"/>
        <w:tblCellMar>
          <w:top w:w="28" w:type="dxa"/>
          <w:left w:w="57" w:type="dxa"/>
          <w:bottom w:w="28" w:type="dxa"/>
          <w:right w:w="28" w:type="dxa"/>
        </w:tblCellMar>
        <w:tblLook w:val="04A0" w:firstRow="1" w:lastRow="0" w:firstColumn="1" w:lastColumn="0" w:noHBand="0" w:noVBand="1"/>
      </w:tblPr>
      <w:tblGrid>
        <w:gridCol w:w="399"/>
        <w:gridCol w:w="1269"/>
        <w:gridCol w:w="1229"/>
        <w:gridCol w:w="758"/>
        <w:gridCol w:w="5412"/>
      </w:tblGrid>
      <w:tr w:rsidR="00A70B1C" w:rsidRPr="0054775B" w14:paraId="68FDDF23" w14:textId="77777777" w:rsidTr="00816677">
        <w:trPr>
          <w:trHeight w:val="95"/>
        </w:trPr>
        <w:tc>
          <w:tcPr>
            <w:tcW w:w="0" w:type="auto"/>
            <w:vMerge w:val="restart"/>
            <w:tcBorders>
              <w:top w:val="single" w:sz="4" w:space="0" w:color="auto"/>
              <w:left w:val="single" w:sz="4" w:space="0" w:color="auto"/>
              <w:right w:val="single" w:sz="4" w:space="0" w:color="auto"/>
            </w:tcBorders>
            <w:shd w:val="clear" w:color="auto" w:fill="D9D9D9" w:themeFill="background1" w:themeFillShade="D9"/>
            <w:vAlign w:val="center"/>
            <w:hideMark/>
          </w:tcPr>
          <w:p w14:paraId="3FB44751" w14:textId="77777777" w:rsidR="00816677" w:rsidRPr="0054775B" w:rsidRDefault="00816677" w:rsidP="006F63D3">
            <w:pPr>
              <w:pStyle w:val="2024TABLEHEADER"/>
            </w:pPr>
            <w:r w:rsidRPr="0054775B">
              <w:t> #</w:t>
            </w:r>
          </w:p>
        </w:tc>
        <w:tc>
          <w:tcPr>
            <w:tcW w:w="1269" w:type="dxa"/>
            <w:vMerge w:val="restart"/>
            <w:tcBorders>
              <w:top w:val="single" w:sz="4" w:space="0" w:color="auto"/>
              <w:left w:val="nil"/>
              <w:right w:val="single" w:sz="4" w:space="0" w:color="auto"/>
            </w:tcBorders>
            <w:shd w:val="clear" w:color="auto" w:fill="D9D9D9" w:themeFill="background1" w:themeFillShade="D9"/>
            <w:vAlign w:val="center"/>
            <w:hideMark/>
          </w:tcPr>
          <w:p w14:paraId="0220BDA1" w14:textId="77777777" w:rsidR="00816677" w:rsidRPr="0054775B" w:rsidRDefault="00816677" w:rsidP="006F63D3">
            <w:pPr>
              <w:pStyle w:val="2024TABLEHEADER"/>
            </w:pPr>
            <w:r w:rsidRPr="0054775B">
              <w:t>Priority population</w:t>
            </w:r>
          </w:p>
        </w:tc>
        <w:tc>
          <w:tcPr>
            <w:tcW w:w="1229" w:type="dxa"/>
            <w:vMerge w:val="restart"/>
            <w:tcBorders>
              <w:top w:val="single" w:sz="4" w:space="0" w:color="auto"/>
              <w:left w:val="nil"/>
              <w:right w:val="single" w:sz="4" w:space="0" w:color="auto"/>
            </w:tcBorders>
            <w:shd w:val="clear" w:color="auto" w:fill="D9D9D9" w:themeFill="background1" w:themeFillShade="D9"/>
            <w:vAlign w:val="center"/>
            <w:hideMark/>
          </w:tcPr>
          <w:p w14:paraId="3D177CBD" w14:textId="77777777" w:rsidR="00816677" w:rsidRPr="0054775B" w:rsidRDefault="00816677" w:rsidP="006F63D3">
            <w:pPr>
              <w:pStyle w:val="2024TABLEHEADER"/>
            </w:pPr>
            <w:r w:rsidRPr="0054775B">
              <w:t xml:space="preserve">Priority intervention </w:t>
            </w:r>
          </w:p>
        </w:tc>
        <w:tc>
          <w:tcPr>
            <w:tcW w:w="6170" w:type="dxa"/>
            <w:gridSpan w:val="2"/>
            <w:tcBorders>
              <w:top w:val="single" w:sz="4" w:space="0" w:color="auto"/>
              <w:left w:val="nil"/>
              <w:bottom w:val="single" w:sz="4" w:space="0" w:color="auto"/>
              <w:right w:val="single" w:sz="4" w:space="0" w:color="auto"/>
            </w:tcBorders>
            <w:shd w:val="clear" w:color="auto" w:fill="D9D9D9" w:themeFill="background1" w:themeFillShade="D9"/>
            <w:vAlign w:val="center"/>
          </w:tcPr>
          <w:p w14:paraId="5F8EB5CE" w14:textId="77777777" w:rsidR="00816677" w:rsidRPr="0054775B" w:rsidRDefault="00816677" w:rsidP="006F63D3">
            <w:pPr>
              <w:pStyle w:val="2024TABLEHEADER"/>
            </w:pPr>
            <w:r w:rsidRPr="0054775B">
              <w:t>Priority outcomes</w:t>
            </w:r>
          </w:p>
        </w:tc>
      </w:tr>
      <w:tr w:rsidR="00A70B1C" w:rsidRPr="0054775B" w14:paraId="2A82B27D" w14:textId="77777777" w:rsidTr="00816677">
        <w:trPr>
          <w:trHeight w:val="95"/>
        </w:trPr>
        <w:tc>
          <w:tcPr>
            <w:tcW w:w="0" w:type="auto"/>
            <w:vMerge/>
            <w:tcBorders>
              <w:left w:val="single" w:sz="4" w:space="0" w:color="auto"/>
              <w:bottom w:val="single" w:sz="4" w:space="0" w:color="auto"/>
              <w:right w:val="single" w:sz="4" w:space="0" w:color="auto"/>
            </w:tcBorders>
            <w:shd w:val="clear" w:color="auto" w:fill="D9D9D9" w:themeFill="background1" w:themeFillShade="D9"/>
            <w:vAlign w:val="center"/>
          </w:tcPr>
          <w:p w14:paraId="6E662C1C" w14:textId="77777777" w:rsidR="00816677" w:rsidRPr="0054775B" w:rsidRDefault="00816677" w:rsidP="00816677">
            <w:pPr>
              <w:pStyle w:val="2024TABLEHEADER"/>
            </w:pPr>
          </w:p>
        </w:tc>
        <w:tc>
          <w:tcPr>
            <w:tcW w:w="1269" w:type="dxa"/>
            <w:vMerge/>
            <w:tcBorders>
              <w:left w:val="nil"/>
              <w:bottom w:val="single" w:sz="4" w:space="0" w:color="auto"/>
              <w:right w:val="single" w:sz="4" w:space="0" w:color="auto"/>
            </w:tcBorders>
            <w:shd w:val="clear" w:color="auto" w:fill="D9D9D9" w:themeFill="background1" w:themeFillShade="D9"/>
            <w:vAlign w:val="center"/>
          </w:tcPr>
          <w:p w14:paraId="60B72BAD" w14:textId="77777777" w:rsidR="00816677" w:rsidRPr="0054775B" w:rsidRDefault="00816677" w:rsidP="00816677">
            <w:pPr>
              <w:pStyle w:val="2024TABLEHEADER"/>
            </w:pPr>
          </w:p>
        </w:tc>
        <w:tc>
          <w:tcPr>
            <w:tcW w:w="1229" w:type="dxa"/>
            <w:vMerge/>
            <w:tcBorders>
              <w:left w:val="nil"/>
              <w:bottom w:val="single" w:sz="4" w:space="0" w:color="auto"/>
              <w:right w:val="single" w:sz="4" w:space="0" w:color="auto"/>
            </w:tcBorders>
            <w:shd w:val="clear" w:color="auto" w:fill="D9D9D9" w:themeFill="background1" w:themeFillShade="D9"/>
            <w:vAlign w:val="center"/>
          </w:tcPr>
          <w:p w14:paraId="6E136F46" w14:textId="77777777" w:rsidR="00816677" w:rsidRPr="0054775B" w:rsidRDefault="00816677" w:rsidP="00816677">
            <w:pPr>
              <w:pStyle w:val="2024TABLEHEADER"/>
            </w:pPr>
          </w:p>
        </w:tc>
        <w:tc>
          <w:tcPr>
            <w:tcW w:w="758" w:type="dxa"/>
            <w:tcBorders>
              <w:top w:val="nil"/>
              <w:left w:val="nil"/>
              <w:bottom w:val="single" w:sz="4" w:space="0" w:color="auto"/>
              <w:right w:val="single" w:sz="4" w:space="0" w:color="auto"/>
            </w:tcBorders>
            <w:shd w:val="clear" w:color="auto" w:fill="D9D9D9" w:themeFill="background1" w:themeFillShade="D9"/>
            <w:vAlign w:val="center"/>
          </w:tcPr>
          <w:p w14:paraId="7AA0D20D" w14:textId="77777777" w:rsidR="00816677" w:rsidRPr="0054775B" w:rsidRDefault="00816677" w:rsidP="00816677">
            <w:pPr>
              <w:pStyle w:val="2024TABLEHEADER"/>
            </w:pPr>
            <w:r w:rsidRPr="0054775B">
              <w:t>NTWC Rating</w:t>
            </w:r>
          </w:p>
        </w:tc>
        <w:tc>
          <w:tcPr>
            <w:tcW w:w="5412" w:type="dxa"/>
            <w:tcBorders>
              <w:top w:val="nil"/>
              <w:left w:val="nil"/>
              <w:bottom w:val="single" w:sz="4" w:space="0" w:color="auto"/>
              <w:right w:val="single" w:sz="4" w:space="0" w:color="auto"/>
            </w:tcBorders>
            <w:shd w:val="clear" w:color="auto" w:fill="D9D9D9" w:themeFill="background1" w:themeFillShade="D9"/>
            <w:vAlign w:val="center"/>
          </w:tcPr>
          <w:p w14:paraId="06A74612" w14:textId="18A218E6" w:rsidR="00816677" w:rsidRPr="0054775B" w:rsidRDefault="00816677" w:rsidP="00816677">
            <w:pPr>
              <w:pStyle w:val="2024TABLEHEADER"/>
            </w:pPr>
            <w:r w:rsidRPr="0054775B">
              <w:t xml:space="preserve">Outcome </w:t>
            </w:r>
            <w:r w:rsidR="00A8448B">
              <w:t>d</w:t>
            </w:r>
            <w:r w:rsidRPr="0054775B">
              <w:t>omain</w:t>
            </w:r>
          </w:p>
        </w:tc>
      </w:tr>
    </w:tbl>
    <w:tbl>
      <w:tblPr>
        <w:tblW w:w="9067" w:type="dxa"/>
        <w:tblCellMar>
          <w:top w:w="28" w:type="dxa"/>
          <w:left w:w="57" w:type="dxa"/>
          <w:bottom w:w="28" w:type="dxa"/>
          <w:right w:w="28" w:type="dxa"/>
        </w:tblCellMar>
        <w:tblLook w:val="04A0" w:firstRow="1" w:lastRow="0" w:firstColumn="1" w:lastColumn="0" w:noHBand="0" w:noVBand="1"/>
      </w:tblPr>
      <w:tblGrid>
        <w:gridCol w:w="393"/>
        <w:gridCol w:w="1275"/>
        <w:gridCol w:w="1229"/>
        <w:gridCol w:w="758"/>
        <w:gridCol w:w="5412"/>
      </w:tblGrid>
      <w:tr w:rsidR="002B69D4" w:rsidRPr="0054775B" w14:paraId="7DFF2431" w14:textId="77777777" w:rsidTr="001428E8">
        <w:trPr>
          <w:trHeight w:val="95"/>
        </w:trPr>
        <w:tc>
          <w:tcPr>
            <w:tcW w:w="0" w:type="auto"/>
            <w:vMerge w:val="restart"/>
            <w:tcBorders>
              <w:top w:val="nil"/>
              <w:left w:val="single" w:sz="4" w:space="0" w:color="auto"/>
              <w:right w:val="single" w:sz="4" w:space="0" w:color="auto"/>
            </w:tcBorders>
            <w:shd w:val="clear" w:color="auto" w:fill="auto"/>
            <w:vAlign w:val="center"/>
          </w:tcPr>
          <w:p w14:paraId="730636DB" w14:textId="55C3495D" w:rsidR="00816677" w:rsidRPr="0054775B" w:rsidRDefault="00816677" w:rsidP="00603677">
            <w:pPr>
              <w:pStyle w:val="2024TABLETEXT"/>
              <w:framePr w:wrap="around"/>
            </w:pPr>
            <w:r w:rsidRPr="0054775B">
              <w:t>11</w:t>
            </w:r>
          </w:p>
        </w:tc>
        <w:tc>
          <w:tcPr>
            <w:tcW w:w="1275" w:type="dxa"/>
            <w:vMerge w:val="restart"/>
            <w:tcBorders>
              <w:top w:val="nil"/>
              <w:left w:val="nil"/>
              <w:right w:val="single" w:sz="4" w:space="0" w:color="auto"/>
            </w:tcBorders>
            <w:shd w:val="clear" w:color="auto" w:fill="auto"/>
            <w:vAlign w:val="center"/>
          </w:tcPr>
          <w:p w14:paraId="50735A68" w14:textId="38E54F01" w:rsidR="00816677" w:rsidRPr="0054775B" w:rsidRDefault="00816677" w:rsidP="00603677">
            <w:pPr>
              <w:pStyle w:val="2024TABLETEXT"/>
              <w:framePr w:wrap="around"/>
            </w:pPr>
            <w:r w:rsidRPr="0054775B">
              <w:t>Arthritis/ Osteoarthritis</w:t>
            </w:r>
          </w:p>
        </w:tc>
        <w:tc>
          <w:tcPr>
            <w:tcW w:w="1229" w:type="dxa"/>
            <w:vMerge w:val="restart"/>
            <w:tcBorders>
              <w:top w:val="nil"/>
              <w:left w:val="nil"/>
              <w:right w:val="single" w:sz="4" w:space="0" w:color="auto"/>
            </w:tcBorders>
            <w:shd w:val="clear" w:color="auto" w:fill="auto"/>
            <w:vAlign w:val="center"/>
          </w:tcPr>
          <w:p w14:paraId="7460225E" w14:textId="68735BD9" w:rsidR="00816677" w:rsidRPr="0054775B" w:rsidRDefault="00816677" w:rsidP="00603677">
            <w:pPr>
              <w:pStyle w:val="2024TABLETEXT"/>
              <w:framePr w:wrap="around"/>
            </w:pPr>
            <w:r w:rsidRPr="0054775B">
              <w:t>Magnesium</w:t>
            </w:r>
          </w:p>
        </w:tc>
        <w:tc>
          <w:tcPr>
            <w:tcW w:w="758" w:type="dxa"/>
            <w:tcBorders>
              <w:top w:val="nil"/>
              <w:left w:val="nil"/>
              <w:bottom w:val="single" w:sz="4" w:space="0" w:color="auto"/>
              <w:right w:val="single" w:sz="4" w:space="0" w:color="auto"/>
            </w:tcBorders>
            <w:shd w:val="clear" w:color="auto" w:fill="auto"/>
            <w:vAlign w:val="center"/>
          </w:tcPr>
          <w:p w14:paraId="27136124" w14:textId="2C976F79" w:rsidR="00816677" w:rsidRPr="0054775B" w:rsidRDefault="00816677" w:rsidP="00603677">
            <w:pPr>
              <w:pStyle w:val="2024TABLETEXT"/>
              <w:framePr w:wrap="around"/>
            </w:pPr>
            <w:r w:rsidRPr="0054775B">
              <w:t>9</w:t>
            </w:r>
          </w:p>
        </w:tc>
        <w:tc>
          <w:tcPr>
            <w:tcW w:w="5412" w:type="dxa"/>
            <w:tcBorders>
              <w:top w:val="nil"/>
              <w:left w:val="nil"/>
              <w:bottom w:val="single" w:sz="4" w:space="0" w:color="auto"/>
              <w:right w:val="single" w:sz="4" w:space="0" w:color="auto"/>
            </w:tcBorders>
            <w:shd w:val="clear" w:color="auto" w:fill="auto"/>
          </w:tcPr>
          <w:p w14:paraId="2D82789F" w14:textId="489C2E0D" w:rsidR="00816677" w:rsidRPr="0054775B" w:rsidRDefault="00816677" w:rsidP="00603677">
            <w:pPr>
              <w:pStyle w:val="2024TABLETEXT"/>
              <w:framePr w:wrap="around"/>
            </w:pPr>
            <w:r w:rsidRPr="0054775B">
              <w:t>Pain</w:t>
            </w:r>
          </w:p>
        </w:tc>
      </w:tr>
      <w:tr w:rsidR="002B69D4" w:rsidRPr="0054775B" w14:paraId="5A7E7918" w14:textId="77777777" w:rsidTr="001428E8">
        <w:trPr>
          <w:trHeight w:val="95"/>
        </w:trPr>
        <w:tc>
          <w:tcPr>
            <w:tcW w:w="0" w:type="auto"/>
            <w:vMerge/>
            <w:tcBorders>
              <w:left w:val="single" w:sz="4" w:space="0" w:color="auto"/>
              <w:right w:val="single" w:sz="4" w:space="0" w:color="auto"/>
            </w:tcBorders>
            <w:shd w:val="clear" w:color="auto" w:fill="auto"/>
            <w:vAlign w:val="center"/>
          </w:tcPr>
          <w:p w14:paraId="401C7645" w14:textId="77777777" w:rsidR="00816677" w:rsidRPr="0054775B" w:rsidRDefault="00816677" w:rsidP="00603677">
            <w:pPr>
              <w:pStyle w:val="2024TABLETEXT"/>
              <w:framePr w:wrap="around"/>
            </w:pPr>
          </w:p>
        </w:tc>
        <w:tc>
          <w:tcPr>
            <w:tcW w:w="1275" w:type="dxa"/>
            <w:vMerge/>
            <w:tcBorders>
              <w:left w:val="nil"/>
              <w:right w:val="single" w:sz="4" w:space="0" w:color="auto"/>
            </w:tcBorders>
            <w:shd w:val="clear" w:color="auto" w:fill="auto"/>
            <w:vAlign w:val="center"/>
          </w:tcPr>
          <w:p w14:paraId="1EF20DDC" w14:textId="77777777" w:rsidR="00816677" w:rsidRPr="0054775B" w:rsidRDefault="00816677" w:rsidP="00603677">
            <w:pPr>
              <w:pStyle w:val="2024TABLETEXT"/>
              <w:framePr w:wrap="around"/>
            </w:pPr>
          </w:p>
        </w:tc>
        <w:tc>
          <w:tcPr>
            <w:tcW w:w="1229" w:type="dxa"/>
            <w:vMerge/>
            <w:tcBorders>
              <w:left w:val="nil"/>
              <w:right w:val="single" w:sz="4" w:space="0" w:color="auto"/>
            </w:tcBorders>
            <w:shd w:val="clear" w:color="auto" w:fill="auto"/>
            <w:vAlign w:val="center"/>
          </w:tcPr>
          <w:p w14:paraId="470A6DC3" w14:textId="77777777" w:rsidR="00816677" w:rsidRPr="0054775B" w:rsidRDefault="00816677" w:rsidP="00603677">
            <w:pPr>
              <w:pStyle w:val="2024TABLETEXT"/>
              <w:framePr w:wrap="around"/>
            </w:pPr>
          </w:p>
        </w:tc>
        <w:tc>
          <w:tcPr>
            <w:tcW w:w="758" w:type="dxa"/>
            <w:tcBorders>
              <w:top w:val="nil"/>
              <w:left w:val="nil"/>
              <w:bottom w:val="single" w:sz="4" w:space="0" w:color="auto"/>
              <w:right w:val="single" w:sz="4" w:space="0" w:color="auto"/>
            </w:tcBorders>
            <w:shd w:val="clear" w:color="auto" w:fill="auto"/>
            <w:vAlign w:val="center"/>
          </w:tcPr>
          <w:p w14:paraId="7621BE8F" w14:textId="2A9F924C" w:rsidR="00816677" w:rsidRPr="0054775B" w:rsidRDefault="00816677" w:rsidP="00603677">
            <w:pPr>
              <w:pStyle w:val="2024TABLETEXT"/>
              <w:framePr w:wrap="around"/>
            </w:pPr>
            <w:r w:rsidRPr="0054775B">
              <w:t>9</w:t>
            </w:r>
          </w:p>
        </w:tc>
        <w:tc>
          <w:tcPr>
            <w:tcW w:w="5412" w:type="dxa"/>
            <w:tcBorders>
              <w:top w:val="nil"/>
              <w:left w:val="nil"/>
              <w:bottom w:val="single" w:sz="4" w:space="0" w:color="auto"/>
              <w:right w:val="single" w:sz="4" w:space="0" w:color="auto"/>
            </w:tcBorders>
            <w:shd w:val="clear" w:color="auto" w:fill="auto"/>
          </w:tcPr>
          <w:p w14:paraId="0798634C" w14:textId="46BC44D3" w:rsidR="00816677" w:rsidRPr="0054775B" w:rsidRDefault="00816677" w:rsidP="00603677">
            <w:pPr>
              <w:pStyle w:val="2024TABLETEXT"/>
              <w:framePr w:wrap="around"/>
            </w:pPr>
            <w:r w:rsidRPr="0054775B">
              <w:t>Physical function</w:t>
            </w:r>
          </w:p>
        </w:tc>
      </w:tr>
      <w:tr w:rsidR="002B69D4" w:rsidRPr="0054775B" w14:paraId="2E447CC1" w14:textId="77777777" w:rsidTr="001428E8">
        <w:trPr>
          <w:trHeight w:val="95"/>
        </w:trPr>
        <w:tc>
          <w:tcPr>
            <w:tcW w:w="0" w:type="auto"/>
            <w:vMerge/>
            <w:tcBorders>
              <w:left w:val="single" w:sz="4" w:space="0" w:color="auto"/>
              <w:right w:val="single" w:sz="4" w:space="0" w:color="auto"/>
            </w:tcBorders>
            <w:shd w:val="clear" w:color="auto" w:fill="auto"/>
            <w:vAlign w:val="center"/>
          </w:tcPr>
          <w:p w14:paraId="40F87ABD" w14:textId="77777777" w:rsidR="00816677" w:rsidRPr="0054775B" w:rsidRDefault="00816677" w:rsidP="00603677">
            <w:pPr>
              <w:pStyle w:val="2024TABLETEXT"/>
              <w:framePr w:wrap="around"/>
            </w:pPr>
          </w:p>
        </w:tc>
        <w:tc>
          <w:tcPr>
            <w:tcW w:w="1275" w:type="dxa"/>
            <w:vMerge/>
            <w:tcBorders>
              <w:left w:val="nil"/>
              <w:right w:val="single" w:sz="4" w:space="0" w:color="auto"/>
            </w:tcBorders>
            <w:shd w:val="clear" w:color="auto" w:fill="auto"/>
            <w:vAlign w:val="center"/>
          </w:tcPr>
          <w:p w14:paraId="17898984" w14:textId="77777777" w:rsidR="00816677" w:rsidRPr="0054775B" w:rsidRDefault="00816677" w:rsidP="00603677">
            <w:pPr>
              <w:pStyle w:val="2024TABLETEXT"/>
              <w:framePr w:wrap="around"/>
            </w:pPr>
          </w:p>
        </w:tc>
        <w:tc>
          <w:tcPr>
            <w:tcW w:w="1229" w:type="dxa"/>
            <w:vMerge/>
            <w:tcBorders>
              <w:left w:val="nil"/>
              <w:right w:val="single" w:sz="4" w:space="0" w:color="auto"/>
            </w:tcBorders>
            <w:shd w:val="clear" w:color="auto" w:fill="auto"/>
            <w:vAlign w:val="center"/>
          </w:tcPr>
          <w:p w14:paraId="126D532A" w14:textId="77777777" w:rsidR="00816677" w:rsidRPr="0054775B" w:rsidRDefault="00816677" w:rsidP="00603677">
            <w:pPr>
              <w:pStyle w:val="2024TABLETEXT"/>
              <w:framePr w:wrap="around"/>
            </w:pPr>
          </w:p>
        </w:tc>
        <w:tc>
          <w:tcPr>
            <w:tcW w:w="758" w:type="dxa"/>
            <w:tcBorders>
              <w:top w:val="nil"/>
              <w:left w:val="nil"/>
              <w:bottom w:val="single" w:sz="4" w:space="0" w:color="auto"/>
              <w:right w:val="single" w:sz="4" w:space="0" w:color="auto"/>
            </w:tcBorders>
            <w:shd w:val="clear" w:color="auto" w:fill="auto"/>
            <w:vAlign w:val="center"/>
          </w:tcPr>
          <w:p w14:paraId="071C2D4E" w14:textId="3FA93CFA" w:rsidR="00816677" w:rsidRPr="0054775B" w:rsidRDefault="00816677" w:rsidP="00603677">
            <w:pPr>
              <w:pStyle w:val="2024TABLETEXT"/>
              <w:framePr w:wrap="around"/>
            </w:pPr>
            <w:r w:rsidRPr="0054775B">
              <w:t>8</w:t>
            </w:r>
          </w:p>
        </w:tc>
        <w:tc>
          <w:tcPr>
            <w:tcW w:w="5412" w:type="dxa"/>
            <w:tcBorders>
              <w:top w:val="nil"/>
              <w:left w:val="nil"/>
              <w:bottom w:val="single" w:sz="4" w:space="0" w:color="auto"/>
              <w:right w:val="single" w:sz="4" w:space="0" w:color="auto"/>
            </w:tcBorders>
            <w:shd w:val="clear" w:color="auto" w:fill="auto"/>
          </w:tcPr>
          <w:p w14:paraId="5F02C1E8" w14:textId="5A9512FE" w:rsidR="00816677" w:rsidRPr="0054775B" w:rsidRDefault="00816677" w:rsidP="00603677">
            <w:pPr>
              <w:pStyle w:val="2024TABLETEXT"/>
              <w:framePr w:wrap="around"/>
            </w:pPr>
            <w:r w:rsidRPr="0054775B">
              <w:t>Pain interference/work-related limitations</w:t>
            </w:r>
          </w:p>
        </w:tc>
      </w:tr>
      <w:tr w:rsidR="002B69D4" w:rsidRPr="0054775B" w14:paraId="41E25691" w14:textId="77777777" w:rsidTr="001428E8">
        <w:trPr>
          <w:trHeight w:val="95"/>
        </w:trPr>
        <w:tc>
          <w:tcPr>
            <w:tcW w:w="0" w:type="auto"/>
            <w:vMerge/>
            <w:tcBorders>
              <w:left w:val="single" w:sz="4" w:space="0" w:color="auto"/>
              <w:right w:val="single" w:sz="4" w:space="0" w:color="auto"/>
            </w:tcBorders>
            <w:shd w:val="clear" w:color="auto" w:fill="auto"/>
            <w:vAlign w:val="center"/>
          </w:tcPr>
          <w:p w14:paraId="1472B974" w14:textId="77777777" w:rsidR="00816677" w:rsidRPr="0054775B" w:rsidRDefault="00816677" w:rsidP="00603677">
            <w:pPr>
              <w:pStyle w:val="2024TABLETEXT"/>
              <w:framePr w:wrap="around"/>
            </w:pPr>
          </w:p>
        </w:tc>
        <w:tc>
          <w:tcPr>
            <w:tcW w:w="1275" w:type="dxa"/>
            <w:vMerge/>
            <w:tcBorders>
              <w:left w:val="nil"/>
              <w:right w:val="single" w:sz="4" w:space="0" w:color="auto"/>
            </w:tcBorders>
            <w:shd w:val="clear" w:color="auto" w:fill="auto"/>
            <w:vAlign w:val="center"/>
          </w:tcPr>
          <w:p w14:paraId="1041599B" w14:textId="77777777" w:rsidR="00816677" w:rsidRPr="0054775B" w:rsidRDefault="00816677" w:rsidP="00603677">
            <w:pPr>
              <w:pStyle w:val="2024TABLETEXT"/>
              <w:framePr w:wrap="around"/>
            </w:pPr>
          </w:p>
        </w:tc>
        <w:tc>
          <w:tcPr>
            <w:tcW w:w="1229" w:type="dxa"/>
            <w:vMerge/>
            <w:tcBorders>
              <w:left w:val="nil"/>
              <w:right w:val="single" w:sz="4" w:space="0" w:color="auto"/>
            </w:tcBorders>
            <w:shd w:val="clear" w:color="auto" w:fill="auto"/>
            <w:vAlign w:val="center"/>
          </w:tcPr>
          <w:p w14:paraId="36174735" w14:textId="77777777" w:rsidR="00816677" w:rsidRPr="0054775B" w:rsidRDefault="00816677" w:rsidP="00603677">
            <w:pPr>
              <w:pStyle w:val="2024TABLETEXT"/>
              <w:framePr w:wrap="around"/>
            </w:pPr>
          </w:p>
        </w:tc>
        <w:tc>
          <w:tcPr>
            <w:tcW w:w="758" w:type="dxa"/>
            <w:tcBorders>
              <w:top w:val="nil"/>
              <w:left w:val="nil"/>
              <w:bottom w:val="single" w:sz="4" w:space="0" w:color="auto"/>
              <w:right w:val="single" w:sz="4" w:space="0" w:color="auto"/>
            </w:tcBorders>
            <w:shd w:val="clear" w:color="auto" w:fill="auto"/>
            <w:vAlign w:val="center"/>
          </w:tcPr>
          <w:p w14:paraId="36138310" w14:textId="240681C0" w:rsidR="00816677" w:rsidRPr="0054775B" w:rsidRDefault="00816677" w:rsidP="00603677">
            <w:pPr>
              <w:pStyle w:val="2024TABLETEXT"/>
              <w:framePr w:wrap="around"/>
            </w:pPr>
            <w:r w:rsidRPr="0054775B">
              <w:t>8</w:t>
            </w:r>
          </w:p>
        </w:tc>
        <w:tc>
          <w:tcPr>
            <w:tcW w:w="5412" w:type="dxa"/>
            <w:tcBorders>
              <w:top w:val="nil"/>
              <w:left w:val="nil"/>
              <w:bottom w:val="single" w:sz="4" w:space="0" w:color="auto"/>
              <w:right w:val="single" w:sz="4" w:space="0" w:color="auto"/>
            </w:tcBorders>
            <w:shd w:val="clear" w:color="auto" w:fill="auto"/>
            <w:vAlign w:val="center"/>
          </w:tcPr>
          <w:p w14:paraId="2597C93E" w14:textId="28AC76AC" w:rsidR="00816677" w:rsidRPr="0054775B" w:rsidRDefault="00816677" w:rsidP="00603677">
            <w:pPr>
              <w:pStyle w:val="2024TABLETEXT"/>
              <w:framePr w:wrap="around"/>
            </w:pPr>
            <w:r w:rsidRPr="0054775B">
              <w:t>Patient's global assessment of condition</w:t>
            </w:r>
          </w:p>
        </w:tc>
      </w:tr>
      <w:tr w:rsidR="002B69D4" w:rsidRPr="0054775B" w14:paraId="03725320" w14:textId="77777777" w:rsidTr="001428E8">
        <w:trPr>
          <w:trHeight w:val="95"/>
        </w:trPr>
        <w:tc>
          <w:tcPr>
            <w:tcW w:w="0" w:type="auto"/>
            <w:vMerge/>
            <w:tcBorders>
              <w:left w:val="single" w:sz="4" w:space="0" w:color="auto"/>
              <w:right w:val="single" w:sz="4" w:space="0" w:color="auto"/>
            </w:tcBorders>
            <w:shd w:val="clear" w:color="auto" w:fill="auto"/>
            <w:vAlign w:val="center"/>
          </w:tcPr>
          <w:p w14:paraId="231FD092" w14:textId="77777777" w:rsidR="00816677" w:rsidRPr="0054775B" w:rsidRDefault="00816677" w:rsidP="00603677">
            <w:pPr>
              <w:pStyle w:val="2024TABLETEXT"/>
              <w:framePr w:wrap="around"/>
            </w:pPr>
          </w:p>
        </w:tc>
        <w:tc>
          <w:tcPr>
            <w:tcW w:w="1275" w:type="dxa"/>
            <w:vMerge/>
            <w:tcBorders>
              <w:left w:val="nil"/>
              <w:right w:val="single" w:sz="4" w:space="0" w:color="auto"/>
            </w:tcBorders>
            <w:shd w:val="clear" w:color="auto" w:fill="auto"/>
            <w:vAlign w:val="center"/>
          </w:tcPr>
          <w:p w14:paraId="169126FE" w14:textId="77777777" w:rsidR="00816677" w:rsidRPr="0054775B" w:rsidRDefault="00816677" w:rsidP="00603677">
            <w:pPr>
              <w:pStyle w:val="2024TABLETEXT"/>
              <w:framePr w:wrap="around"/>
            </w:pPr>
          </w:p>
        </w:tc>
        <w:tc>
          <w:tcPr>
            <w:tcW w:w="1229" w:type="dxa"/>
            <w:vMerge/>
            <w:tcBorders>
              <w:left w:val="nil"/>
              <w:right w:val="single" w:sz="4" w:space="0" w:color="auto"/>
            </w:tcBorders>
            <w:shd w:val="clear" w:color="auto" w:fill="auto"/>
            <w:vAlign w:val="center"/>
          </w:tcPr>
          <w:p w14:paraId="5991895B" w14:textId="77777777" w:rsidR="00816677" w:rsidRPr="0054775B" w:rsidRDefault="00816677" w:rsidP="00603677">
            <w:pPr>
              <w:pStyle w:val="2024TABLETEXT"/>
              <w:framePr w:wrap="around"/>
            </w:pPr>
          </w:p>
        </w:tc>
        <w:tc>
          <w:tcPr>
            <w:tcW w:w="758" w:type="dxa"/>
            <w:tcBorders>
              <w:top w:val="nil"/>
              <w:left w:val="nil"/>
              <w:bottom w:val="single" w:sz="4" w:space="0" w:color="auto"/>
              <w:right w:val="single" w:sz="4" w:space="0" w:color="auto"/>
            </w:tcBorders>
            <w:shd w:val="clear" w:color="auto" w:fill="auto"/>
            <w:vAlign w:val="center"/>
          </w:tcPr>
          <w:p w14:paraId="3F4F52E8" w14:textId="7B5168BE" w:rsidR="00816677" w:rsidRPr="0054775B" w:rsidRDefault="00816677" w:rsidP="00603677">
            <w:pPr>
              <w:pStyle w:val="2024TABLETEXT"/>
              <w:framePr w:wrap="around"/>
            </w:pPr>
            <w:r w:rsidRPr="0054775B">
              <w:t>8</w:t>
            </w:r>
          </w:p>
        </w:tc>
        <w:tc>
          <w:tcPr>
            <w:tcW w:w="5412" w:type="dxa"/>
            <w:tcBorders>
              <w:top w:val="nil"/>
              <w:left w:val="nil"/>
              <w:bottom w:val="single" w:sz="4" w:space="0" w:color="auto"/>
              <w:right w:val="single" w:sz="4" w:space="0" w:color="auto"/>
            </w:tcBorders>
            <w:shd w:val="clear" w:color="auto" w:fill="auto"/>
            <w:vAlign w:val="center"/>
          </w:tcPr>
          <w:p w14:paraId="612C68DE" w14:textId="7D2C2D11" w:rsidR="00816677" w:rsidRPr="0054775B" w:rsidRDefault="00816677" w:rsidP="00603677">
            <w:pPr>
              <w:pStyle w:val="2024TABLETEXT"/>
              <w:framePr w:wrap="around"/>
            </w:pPr>
            <w:r w:rsidRPr="0054775B">
              <w:t>Clinician's global assessment of condition</w:t>
            </w:r>
          </w:p>
        </w:tc>
      </w:tr>
      <w:tr w:rsidR="002B69D4" w:rsidRPr="0054775B" w14:paraId="57DF50B9" w14:textId="77777777" w:rsidTr="001428E8">
        <w:trPr>
          <w:trHeight w:val="95"/>
        </w:trPr>
        <w:tc>
          <w:tcPr>
            <w:tcW w:w="0" w:type="auto"/>
            <w:vMerge/>
            <w:tcBorders>
              <w:left w:val="single" w:sz="4" w:space="0" w:color="auto"/>
              <w:right w:val="single" w:sz="4" w:space="0" w:color="auto"/>
            </w:tcBorders>
            <w:shd w:val="clear" w:color="auto" w:fill="auto"/>
            <w:vAlign w:val="center"/>
          </w:tcPr>
          <w:p w14:paraId="53EB9E4F" w14:textId="77777777" w:rsidR="00816677" w:rsidRPr="0054775B" w:rsidRDefault="00816677" w:rsidP="00603677">
            <w:pPr>
              <w:pStyle w:val="2024TABLETEXT"/>
              <w:framePr w:wrap="around"/>
            </w:pPr>
          </w:p>
        </w:tc>
        <w:tc>
          <w:tcPr>
            <w:tcW w:w="1275" w:type="dxa"/>
            <w:vMerge/>
            <w:tcBorders>
              <w:left w:val="nil"/>
              <w:right w:val="single" w:sz="4" w:space="0" w:color="auto"/>
            </w:tcBorders>
            <w:shd w:val="clear" w:color="auto" w:fill="auto"/>
            <w:vAlign w:val="center"/>
          </w:tcPr>
          <w:p w14:paraId="11251292" w14:textId="77777777" w:rsidR="00816677" w:rsidRPr="0054775B" w:rsidRDefault="00816677" w:rsidP="00603677">
            <w:pPr>
              <w:pStyle w:val="2024TABLETEXT"/>
              <w:framePr w:wrap="around"/>
            </w:pPr>
          </w:p>
        </w:tc>
        <w:tc>
          <w:tcPr>
            <w:tcW w:w="1229" w:type="dxa"/>
            <w:vMerge/>
            <w:tcBorders>
              <w:left w:val="nil"/>
              <w:right w:val="single" w:sz="4" w:space="0" w:color="auto"/>
            </w:tcBorders>
            <w:shd w:val="clear" w:color="auto" w:fill="auto"/>
            <w:vAlign w:val="center"/>
          </w:tcPr>
          <w:p w14:paraId="564624A8" w14:textId="77777777" w:rsidR="00816677" w:rsidRPr="0054775B" w:rsidRDefault="00816677" w:rsidP="00603677">
            <w:pPr>
              <w:pStyle w:val="2024TABLETEXT"/>
              <w:framePr w:wrap="around"/>
            </w:pPr>
          </w:p>
        </w:tc>
        <w:tc>
          <w:tcPr>
            <w:tcW w:w="758" w:type="dxa"/>
            <w:tcBorders>
              <w:top w:val="nil"/>
              <w:left w:val="nil"/>
              <w:bottom w:val="single" w:sz="4" w:space="0" w:color="auto"/>
              <w:right w:val="single" w:sz="4" w:space="0" w:color="auto"/>
            </w:tcBorders>
            <w:shd w:val="clear" w:color="auto" w:fill="auto"/>
            <w:vAlign w:val="center"/>
          </w:tcPr>
          <w:p w14:paraId="5BF93505" w14:textId="22C9E288" w:rsidR="00816677" w:rsidRPr="0054775B" w:rsidRDefault="00816677" w:rsidP="00603677">
            <w:pPr>
              <w:pStyle w:val="2024TABLETEXT"/>
              <w:framePr w:wrap="around"/>
            </w:pPr>
            <w:r w:rsidRPr="0054775B">
              <w:t>8</w:t>
            </w:r>
          </w:p>
        </w:tc>
        <w:tc>
          <w:tcPr>
            <w:tcW w:w="5412" w:type="dxa"/>
            <w:tcBorders>
              <w:top w:val="nil"/>
              <w:left w:val="nil"/>
              <w:bottom w:val="single" w:sz="4" w:space="0" w:color="auto"/>
              <w:right w:val="single" w:sz="4" w:space="0" w:color="auto"/>
            </w:tcBorders>
            <w:shd w:val="clear" w:color="auto" w:fill="auto"/>
          </w:tcPr>
          <w:p w14:paraId="0273E18E" w14:textId="360450E6" w:rsidR="00816677" w:rsidRPr="0054775B" w:rsidRDefault="00816677" w:rsidP="00603677">
            <w:pPr>
              <w:pStyle w:val="2024TABLETEXT"/>
              <w:framePr w:wrap="around"/>
            </w:pPr>
            <w:r w:rsidRPr="0054775B">
              <w:t>Quality of life</w:t>
            </w:r>
          </w:p>
        </w:tc>
      </w:tr>
      <w:tr w:rsidR="00CA696B" w:rsidRPr="0054775B" w14:paraId="729BC3DC" w14:textId="77777777" w:rsidTr="001428E8">
        <w:trPr>
          <w:trHeight w:val="95"/>
        </w:trPr>
        <w:tc>
          <w:tcPr>
            <w:tcW w:w="0" w:type="auto"/>
            <w:vMerge/>
            <w:tcBorders>
              <w:left w:val="single" w:sz="4" w:space="0" w:color="auto"/>
              <w:bottom w:val="single" w:sz="4" w:space="0" w:color="auto"/>
              <w:right w:val="single" w:sz="4" w:space="0" w:color="auto"/>
            </w:tcBorders>
            <w:shd w:val="clear" w:color="auto" w:fill="auto"/>
            <w:vAlign w:val="center"/>
          </w:tcPr>
          <w:p w14:paraId="2D28AA8A" w14:textId="77777777" w:rsidR="00816677" w:rsidRPr="0054775B" w:rsidRDefault="00816677" w:rsidP="00603677">
            <w:pPr>
              <w:pStyle w:val="2024TABLETEXT"/>
              <w:framePr w:wrap="around"/>
            </w:pPr>
          </w:p>
        </w:tc>
        <w:tc>
          <w:tcPr>
            <w:tcW w:w="1275" w:type="dxa"/>
            <w:vMerge/>
            <w:tcBorders>
              <w:left w:val="nil"/>
              <w:bottom w:val="single" w:sz="4" w:space="0" w:color="auto"/>
              <w:right w:val="single" w:sz="4" w:space="0" w:color="auto"/>
            </w:tcBorders>
            <w:shd w:val="clear" w:color="auto" w:fill="auto"/>
            <w:vAlign w:val="center"/>
          </w:tcPr>
          <w:p w14:paraId="0C23481A" w14:textId="77777777" w:rsidR="00816677" w:rsidRPr="0054775B" w:rsidRDefault="00816677" w:rsidP="00603677">
            <w:pPr>
              <w:pStyle w:val="2024TABLETEXT"/>
              <w:framePr w:wrap="around"/>
            </w:pPr>
          </w:p>
        </w:tc>
        <w:tc>
          <w:tcPr>
            <w:tcW w:w="1229" w:type="dxa"/>
            <w:vMerge/>
            <w:tcBorders>
              <w:left w:val="nil"/>
              <w:bottom w:val="single" w:sz="4" w:space="0" w:color="auto"/>
              <w:right w:val="single" w:sz="4" w:space="0" w:color="auto"/>
            </w:tcBorders>
            <w:shd w:val="clear" w:color="auto" w:fill="auto"/>
            <w:vAlign w:val="center"/>
          </w:tcPr>
          <w:p w14:paraId="4091CA5D" w14:textId="77777777" w:rsidR="00816677" w:rsidRPr="0054775B" w:rsidRDefault="00816677" w:rsidP="00603677">
            <w:pPr>
              <w:pStyle w:val="2024TABLETEXT"/>
              <w:framePr w:wrap="around"/>
            </w:pPr>
          </w:p>
        </w:tc>
        <w:tc>
          <w:tcPr>
            <w:tcW w:w="758" w:type="dxa"/>
            <w:tcBorders>
              <w:top w:val="nil"/>
              <w:left w:val="nil"/>
              <w:bottom w:val="single" w:sz="4" w:space="0" w:color="auto"/>
              <w:right w:val="single" w:sz="4" w:space="0" w:color="auto"/>
            </w:tcBorders>
            <w:shd w:val="clear" w:color="auto" w:fill="auto"/>
            <w:vAlign w:val="center"/>
          </w:tcPr>
          <w:p w14:paraId="340D1F1D" w14:textId="5EA06B0F" w:rsidR="00816677" w:rsidRPr="0054775B" w:rsidRDefault="00816677" w:rsidP="00603677">
            <w:pPr>
              <w:pStyle w:val="2024TABLETEXT"/>
              <w:framePr w:wrap="around"/>
            </w:pPr>
            <w:r w:rsidRPr="0054775B">
              <w:t>7</w:t>
            </w:r>
          </w:p>
        </w:tc>
        <w:tc>
          <w:tcPr>
            <w:tcW w:w="5412" w:type="dxa"/>
            <w:tcBorders>
              <w:top w:val="nil"/>
              <w:left w:val="nil"/>
              <w:bottom w:val="single" w:sz="4" w:space="0" w:color="auto"/>
              <w:right w:val="single" w:sz="4" w:space="0" w:color="auto"/>
            </w:tcBorders>
            <w:shd w:val="clear" w:color="auto" w:fill="auto"/>
          </w:tcPr>
          <w:p w14:paraId="766F6064" w14:textId="4B3800AE" w:rsidR="00816677" w:rsidRPr="0054775B" w:rsidRDefault="00816677" w:rsidP="00603677">
            <w:pPr>
              <w:pStyle w:val="2024TABLETEXT"/>
              <w:framePr w:wrap="around"/>
            </w:pPr>
            <w:r w:rsidRPr="0054775B">
              <w:t>Arthritis self-efficacy</w:t>
            </w:r>
          </w:p>
        </w:tc>
      </w:tr>
    </w:tbl>
    <w:p w14:paraId="2FA49605" w14:textId="77777777" w:rsidR="00881DB3" w:rsidRPr="0054775B" w:rsidRDefault="00881DB3" w:rsidP="006F63D3">
      <w:pPr>
        <w:pStyle w:val="2024TABLEFOOTER"/>
      </w:pPr>
      <w:r w:rsidRPr="0054775B">
        <w:t>Abbreviations: BP=blood pressure; HRQoL=health-related quality of life; NTWC=Natural Therapies Working Group</w:t>
      </w:r>
    </w:p>
    <w:p w14:paraId="1598B604" w14:textId="1410E1CF" w:rsidR="00881DB3" w:rsidRPr="0054775B" w:rsidRDefault="00881DB3" w:rsidP="006F63D3">
      <w:pPr>
        <w:pStyle w:val="2024TABLEFOOTER"/>
      </w:pPr>
      <w:r w:rsidRPr="0054775B">
        <w:t>*1-3 = of limited importance to decision making; 4-6 = important, but not critical, to decision making; 7-9 = critical for decision-making</w:t>
      </w:r>
    </w:p>
    <w:p w14:paraId="0FD6DF59" w14:textId="77777777" w:rsidR="00C13A5E" w:rsidRPr="0054775B" w:rsidRDefault="00C13A5E" w:rsidP="009E6F7F">
      <w:pPr>
        <w:pStyle w:val="2024HEADER3"/>
        <w:rPr>
          <w:rFonts w:ascii="Aptos" w:hAnsi="Aptos"/>
        </w:rPr>
      </w:pPr>
      <w:r w:rsidRPr="0054775B">
        <w:rPr>
          <w:rFonts w:ascii="Aptos" w:hAnsi="Aptos"/>
        </w:rPr>
        <w:t>Search findings</w:t>
      </w:r>
    </w:p>
    <w:p w14:paraId="41431FC4" w14:textId="6EE211F8" w:rsidR="00C13A5E" w:rsidRPr="0054775B" w:rsidRDefault="00C13A5E" w:rsidP="009E6F7F">
      <w:r w:rsidRPr="0054775B">
        <w:t xml:space="preserve">In total, </w:t>
      </w:r>
      <w:r w:rsidR="003747F7" w:rsidRPr="0054775B">
        <w:t>55</w:t>
      </w:r>
      <w:r w:rsidR="00E80421" w:rsidRPr="0054775B">
        <w:t>3</w:t>
      </w:r>
      <w:r w:rsidRPr="0054775B">
        <w:t xml:space="preserve"> </w:t>
      </w:r>
      <w:r w:rsidR="003C2AC9">
        <w:t>reviews</w:t>
      </w:r>
      <w:r w:rsidR="003C2AC9" w:rsidRPr="0054775B">
        <w:t xml:space="preserve"> </w:t>
      </w:r>
      <w:r w:rsidR="0000324A" w:rsidRPr="0054775B">
        <w:t>were screened following de-duplication. One</w:t>
      </w:r>
      <w:r w:rsidR="0000324A" w:rsidRPr="0054775B" w:rsidDel="003C2AC9">
        <w:t xml:space="preserve"> </w:t>
      </w:r>
      <w:r w:rsidR="003C2AC9">
        <w:t>review</w:t>
      </w:r>
      <w:r w:rsidR="003C2AC9" w:rsidRPr="0054775B">
        <w:t xml:space="preserve"> </w:t>
      </w:r>
      <w:r w:rsidR="0000324A" w:rsidRPr="0054775B">
        <w:t>provided by the Department’s call for evidence was relevant to this population-</w:t>
      </w:r>
      <w:r w:rsidR="0032560B">
        <w:t>supplement pair</w:t>
      </w:r>
      <w:r w:rsidR="0000324A" w:rsidRPr="0054775B">
        <w:t xml:space="preserve">, which was already identified in database searching and excluded as a duplicate </w:t>
      </w:r>
      <w:r w:rsidR="00FB54BC" w:rsidRPr="0054775B">
        <w:t xml:space="preserve">(see Appendix </w:t>
      </w:r>
      <w:r w:rsidR="00BC6C8E">
        <w:t>C2</w:t>
      </w:r>
      <w:r w:rsidR="00FB54BC" w:rsidRPr="0054775B">
        <w:t>)</w:t>
      </w:r>
      <w:r w:rsidRPr="0054775B">
        <w:t xml:space="preserve">. After title and abstract screening, </w:t>
      </w:r>
      <w:r w:rsidR="00E80421" w:rsidRPr="0054775B">
        <w:t>2</w:t>
      </w:r>
      <w:r w:rsidRPr="0054775B">
        <w:t xml:space="preserve"> </w:t>
      </w:r>
      <w:r w:rsidR="003C2AC9">
        <w:t>reviews</w:t>
      </w:r>
      <w:r w:rsidR="003C2AC9" w:rsidRPr="0054775B">
        <w:t xml:space="preserve"> </w:t>
      </w:r>
      <w:r w:rsidRPr="0054775B">
        <w:t xml:space="preserve">were assessed for eligibility at full-text screening, where: </w:t>
      </w:r>
    </w:p>
    <w:p w14:paraId="47267227" w14:textId="5261ADD6" w:rsidR="00C13A5E" w:rsidRPr="0054775B" w:rsidRDefault="008875F1" w:rsidP="00107BEE">
      <w:pPr>
        <w:pStyle w:val="ListParagraph"/>
        <w:numPr>
          <w:ilvl w:val="0"/>
          <w:numId w:val="6"/>
        </w:numPr>
      </w:pPr>
      <w:r w:rsidRPr="0054775B">
        <w:t>2</w:t>
      </w:r>
      <w:r w:rsidR="00C13A5E" w:rsidRPr="0054775B">
        <w:t xml:space="preserve"> </w:t>
      </w:r>
      <w:r w:rsidR="003C2AC9">
        <w:t>reviews</w:t>
      </w:r>
      <w:r w:rsidR="003C2AC9" w:rsidRPr="0054775B">
        <w:t xml:space="preserve"> </w:t>
      </w:r>
      <w:r w:rsidR="00C13A5E" w:rsidRPr="0054775B">
        <w:t xml:space="preserve">did not meet inclusion criteria (citation details and </w:t>
      </w:r>
      <w:r w:rsidR="001332AF" w:rsidRPr="0054775B">
        <w:t xml:space="preserve">reasons for exclusion recorded in Appendix </w:t>
      </w:r>
      <w:r w:rsidR="00BC6C8E">
        <w:t>C1</w:t>
      </w:r>
      <w:r w:rsidR="00C13A5E" w:rsidRPr="0054775B">
        <w:t xml:space="preserve">) </w:t>
      </w:r>
    </w:p>
    <w:p w14:paraId="503FF7E6" w14:textId="77777777" w:rsidR="00E80421" w:rsidRPr="0054775B" w:rsidRDefault="00E80421" w:rsidP="009E6F7F">
      <w:r w:rsidRPr="0054775B">
        <w:t>Following assessment, no reviews met the inclusion criteria. A full PRISMA flowchart is presented below.</w:t>
      </w:r>
      <w:r w:rsidRPr="0054775B">
        <w:rPr>
          <w:highlight w:val="yellow"/>
        </w:rPr>
        <w:t xml:space="preserve"> </w:t>
      </w:r>
    </w:p>
    <w:p w14:paraId="28870F7F" w14:textId="01996854" w:rsidR="00C13A5E" w:rsidRPr="0054775B" w:rsidRDefault="00C13A5E" w:rsidP="006F63D3">
      <w:pPr>
        <w:pStyle w:val="2024TABLECAPTION"/>
        <w:rPr>
          <w:rFonts w:ascii="Aptos" w:hAnsi="Aptos"/>
        </w:rPr>
      </w:pPr>
      <w:bookmarkStart w:id="116" w:name="_Toc178348014"/>
      <w:r w:rsidRPr="0054775B">
        <w:rPr>
          <w:rFonts w:ascii="Aptos" w:hAnsi="Aptos"/>
        </w:rPr>
        <w:lastRenderedPageBreak/>
        <w:t xml:space="preserve">Figure </w:t>
      </w:r>
      <w:r w:rsidR="002F1F6C" w:rsidRPr="001428E8">
        <w:rPr>
          <w:b w:val="0"/>
          <w:i/>
        </w:rPr>
        <w:fldChar w:fldCharType="begin"/>
      </w:r>
      <w:r w:rsidR="002F1F6C" w:rsidRPr="0054775B">
        <w:rPr>
          <w:rFonts w:ascii="Aptos" w:hAnsi="Aptos"/>
        </w:rPr>
        <w:instrText xml:space="preserve"> SEQ Figure \* ARABIC </w:instrText>
      </w:r>
      <w:r w:rsidR="002F1F6C" w:rsidRPr="001428E8">
        <w:rPr>
          <w:b w:val="0"/>
          <w:i/>
        </w:rPr>
        <w:fldChar w:fldCharType="separate"/>
      </w:r>
      <w:r w:rsidR="003D4896">
        <w:rPr>
          <w:noProof/>
        </w:rPr>
        <w:t>11</w:t>
      </w:r>
      <w:r w:rsidR="002F1F6C" w:rsidRPr="001428E8">
        <w:rPr>
          <w:b w:val="0"/>
          <w:i/>
        </w:rPr>
        <w:fldChar w:fldCharType="end"/>
      </w:r>
      <w:r w:rsidRPr="0054775B">
        <w:rPr>
          <w:rFonts w:ascii="Aptos" w:hAnsi="Aptos"/>
        </w:rPr>
        <w:t xml:space="preserve">. PRISMA flowchart – </w:t>
      </w:r>
      <w:r w:rsidR="00973E3A" w:rsidRPr="0054775B">
        <w:rPr>
          <w:rFonts w:ascii="Aptos" w:hAnsi="Aptos"/>
        </w:rPr>
        <w:t>Arthritis/Osteoarthritis, Magnesium</w:t>
      </w:r>
      <w:r w:rsidRPr="0054775B">
        <w:rPr>
          <w:rFonts w:ascii="Aptos" w:hAnsi="Aptos"/>
        </w:rPr>
        <w:t>.</w:t>
      </w:r>
      <w:bookmarkEnd w:id="116"/>
    </w:p>
    <w:p w14:paraId="606A4397" w14:textId="77777777" w:rsidR="00C13A5E" w:rsidRPr="0054775B" w:rsidRDefault="00C13A5E" w:rsidP="009E6F7F">
      <w:r w:rsidRPr="0054775B">
        <w:rPr>
          <w:noProof/>
          <w:highlight w:val="yellow"/>
        </w:rPr>
        <mc:AlternateContent>
          <mc:Choice Requires="wpg">
            <w:drawing>
              <wp:anchor distT="0" distB="0" distL="114300" distR="114300" simplePos="0" relativeHeight="251658247" behindDoc="0" locked="0" layoutInCell="1" allowOverlap="1" wp14:anchorId="48B48B39" wp14:editId="2D7D82FB">
                <wp:simplePos x="0" y="0"/>
                <wp:positionH relativeFrom="column">
                  <wp:posOffset>17780</wp:posOffset>
                </wp:positionH>
                <wp:positionV relativeFrom="paragraph">
                  <wp:posOffset>55245</wp:posOffset>
                </wp:positionV>
                <wp:extent cx="5410200" cy="3909695"/>
                <wp:effectExtent l="0" t="0" r="12700" b="14605"/>
                <wp:wrapSquare wrapText="bothSides"/>
                <wp:docPr id="157139491" name="Group 157139491"/>
                <wp:cNvGraphicFramePr/>
                <a:graphic xmlns:a="http://schemas.openxmlformats.org/drawingml/2006/main">
                  <a:graphicData uri="http://schemas.microsoft.com/office/word/2010/wordprocessingGroup">
                    <wpg:wgp>
                      <wpg:cNvGrpSpPr/>
                      <wpg:grpSpPr>
                        <a:xfrm>
                          <a:off x="0" y="0"/>
                          <a:ext cx="5410200" cy="3909695"/>
                          <a:chOff x="21762" y="-101229"/>
                          <a:chExt cx="5536496" cy="4653553"/>
                        </a:xfrm>
                      </wpg:grpSpPr>
                      <wps:wsp>
                        <wps:cNvPr id="1836956863" name="Rectangle 1836956863"/>
                        <wps:cNvSpPr/>
                        <wps:spPr>
                          <a:xfrm>
                            <a:off x="3180705" y="425302"/>
                            <a:ext cx="2355790" cy="83947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7C41874" w14:textId="77777777" w:rsidR="00C13A5E" w:rsidRPr="000A34EA" w:rsidRDefault="00C13A5E" w:rsidP="006F63D3">
                              <w:pPr>
                                <w:pStyle w:val="2024-PRISMA"/>
                              </w:pPr>
                              <w:r w:rsidRPr="000A34EA">
                                <w:t>Records removed before screening:</w:t>
                              </w:r>
                            </w:p>
                            <w:p w14:paraId="08EAD5DD" w14:textId="02B841D6" w:rsidR="00C13A5E" w:rsidRPr="000A34EA" w:rsidRDefault="00C13A5E" w:rsidP="006F63D3">
                              <w:pPr>
                                <w:pStyle w:val="2024-PRISMA"/>
                              </w:pPr>
                              <w:r w:rsidRPr="000A34EA">
                                <w:t xml:space="preserve">Duplicate records removed (n = </w:t>
                              </w:r>
                              <w:r>
                                <w:t>1</w:t>
                              </w:r>
                              <w:r w:rsidR="00E80421">
                                <w:t>0</w:t>
                              </w:r>
                              <w:r w:rsidRPr="000A34EA">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77999977" name="Rectangle 2077999977"/>
                        <wps:cNvSpPr/>
                        <wps:spPr>
                          <a:xfrm>
                            <a:off x="2987749" y="1509823"/>
                            <a:ext cx="1887220" cy="52641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12123E8" w14:textId="77777777" w:rsidR="00C13A5E" w:rsidRPr="000A34EA" w:rsidRDefault="00C13A5E" w:rsidP="006F63D3">
                              <w:pPr>
                                <w:pStyle w:val="2024-PRISMA"/>
                              </w:pPr>
                              <w:r w:rsidRPr="000A34EA">
                                <w:t>Records excluded</w:t>
                              </w:r>
                            </w:p>
                            <w:p w14:paraId="3F6B25FE" w14:textId="71B25536" w:rsidR="00C13A5E" w:rsidRPr="000A34EA" w:rsidRDefault="00C13A5E" w:rsidP="006F63D3">
                              <w:pPr>
                                <w:pStyle w:val="2024-PRISMA"/>
                              </w:pPr>
                              <w:r w:rsidRPr="000A34EA">
                                <w:t xml:space="preserve">(n = </w:t>
                              </w:r>
                              <w:r w:rsidR="00E80421">
                                <w:t>551</w:t>
                              </w:r>
                              <w:r w:rsidRPr="000A34EA">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1240100" name="Rectangle 221240100"/>
                        <wps:cNvSpPr/>
                        <wps:spPr>
                          <a:xfrm>
                            <a:off x="2987749" y="2118623"/>
                            <a:ext cx="2351878" cy="753846"/>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91117FD" w14:textId="5876A7E3" w:rsidR="00C13A5E" w:rsidRDefault="00C13A5E" w:rsidP="006F63D3">
                              <w:pPr>
                                <w:pStyle w:val="2024-PRISMA"/>
                              </w:pPr>
                              <w:r>
                                <w:t>Discontinued study</w:t>
                              </w:r>
                              <w:r w:rsidRPr="000A34EA">
                                <w:t xml:space="preserve"> (n</w:t>
                              </w:r>
                              <w:r>
                                <w:t xml:space="preserve"> = </w:t>
                              </w:r>
                              <w:r w:rsidR="008C2ECB">
                                <w:t>0</w:t>
                              </w:r>
                              <w:r w:rsidRPr="000A34EA">
                                <w:t>)</w:t>
                              </w:r>
                            </w:p>
                            <w:p w14:paraId="6FD20DAA" w14:textId="24C11C85" w:rsidR="00C13A5E" w:rsidRPr="000A34EA" w:rsidRDefault="00C13A5E" w:rsidP="006F63D3">
                              <w:pPr>
                                <w:pStyle w:val="2024-PRISMA"/>
                              </w:pPr>
                              <w:r>
                                <w:t>Ongoing study</w:t>
                              </w:r>
                              <w:r w:rsidRPr="000A34EA">
                                <w:t xml:space="preserve"> (n</w:t>
                              </w:r>
                              <w:r>
                                <w:t xml:space="preserve"> = </w:t>
                              </w:r>
                              <w:r w:rsidR="00E80421">
                                <w:t>0</w:t>
                              </w:r>
                              <w:r w:rsidRPr="000A34EA">
                                <w:t>)</w:t>
                              </w:r>
                            </w:p>
                            <w:p w14:paraId="4DCE1784" w14:textId="77777777" w:rsidR="001D2614" w:rsidRDefault="001D2614" w:rsidP="001D2614">
                              <w:pPr>
                                <w:pStyle w:val="2024-PRISMA"/>
                              </w:pPr>
                              <w:r>
                                <w:t>Conference abstracts (n = 0)</w:t>
                              </w:r>
                            </w:p>
                            <w:p w14:paraId="68631AE8" w14:textId="174ECD81" w:rsidR="00C13A5E" w:rsidRPr="000A34EA" w:rsidRDefault="00F41ADB" w:rsidP="006F63D3">
                              <w:pPr>
                                <w:pStyle w:val="2024-PRISMA"/>
                              </w:pPr>
                              <w:r>
                                <w:t>Reviews</w:t>
                              </w:r>
                              <w:r w:rsidR="00C13A5E" w:rsidRPr="000A34EA">
                                <w:t xml:space="preserve"> Awaiting Classification (n = </w:t>
                              </w:r>
                              <w:r w:rsidR="00C13A5E">
                                <w:t>0</w:t>
                              </w:r>
                              <w:r w:rsidR="00C13A5E" w:rsidRPr="000A34EA">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28615384" name="Rectangle 2028615384"/>
                        <wps:cNvSpPr/>
                        <wps:spPr>
                          <a:xfrm>
                            <a:off x="2987749" y="2955851"/>
                            <a:ext cx="2179320" cy="65539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596671F" w14:textId="46211826" w:rsidR="00C13A5E" w:rsidRPr="000A34EA" w:rsidRDefault="00C13A5E" w:rsidP="006F63D3">
                              <w:pPr>
                                <w:pStyle w:val="2024-PRISMA"/>
                              </w:pPr>
                              <w:r w:rsidRPr="000A34EA">
                                <w:t xml:space="preserve">Reports excluded (n = </w:t>
                              </w:r>
                              <w:r w:rsidR="008C2ECB">
                                <w:t>2</w:t>
                              </w:r>
                              <w:r w:rsidRPr="000A34EA">
                                <w:t>):</w:t>
                              </w:r>
                            </w:p>
                            <w:p w14:paraId="49257145" w14:textId="03E6E15C" w:rsidR="00C13A5E" w:rsidRPr="000A34EA" w:rsidRDefault="00C13A5E" w:rsidP="006F63D3">
                              <w:pPr>
                                <w:pStyle w:val="2024-PRISMA"/>
                              </w:pPr>
                              <w:r>
                                <w:t xml:space="preserve">Wrong population (n = </w:t>
                              </w:r>
                              <w:r w:rsidR="008C2ECB">
                                <w:t>2</w:t>
                              </w:r>
                              <w: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34845400" name="Straight Arrow Connector 634845400"/>
                        <wps:cNvCnPr/>
                        <wps:spPr>
                          <a:xfrm>
                            <a:off x="2424224" y="975833"/>
                            <a:ext cx="756482"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741294395" name="Straight Arrow Connector 741294395"/>
                        <wps:cNvCnPr/>
                        <wps:spPr>
                          <a:xfrm>
                            <a:off x="2392326" y="1720112"/>
                            <a:ext cx="563245"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541125795" name="Straight Arrow Connector 1541125795"/>
                        <wps:cNvCnPr/>
                        <wps:spPr>
                          <a:xfrm>
                            <a:off x="2402958" y="2421861"/>
                            <a:ext cx="563245"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971692685" name="Straight Arrow Connector 1971692685"/>
                        <wps:cNvCnPr/>
                        <wps:spPr>
                          <a:xfrm>
                            <a:off x="2413591" y="3155507"/>
                            <a:ext cx="563245"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39170117" name="Flowchart: Alternate Process 31"/>
                        <wps:cNvSpPr/>
                        <wps:spPr>
                          <a:xfrm rot="16200000">
                            <a:off x="-347776" y="754973"/>
                            <a:ext cx="1086704" cy="326389"/>
                          </a:xfrm>
                          <a:prstGeom prst="flowChartAlternateProcess">
                            <a:avLst/>
                          </a:prstGeom>
                          <a:solidFill>
                            <a:schemeClr val="accent5">
                              <a:lumMod val="60000"/>
                              <a:lumOff val="40000"/>
                            </a:schemeClr>
                          </a:solidFill>
                          <a:ln>
                            <a:solidFill>
                              <a:schemeClr val="tx1"/>
                            </a:solidFill>
                          </a:ln>
                        </wps:spPr>
                        <wps:style>
                          <a:lnRef idx="2">
                            <a:schemeClr val="accent4">
                              <a:shade val="50000"/>
                            </a:schemeClr>
                          </a:lnRef>
                          <a:fillRef idx="1">
                            <a:schemeClr val="accent4"/>
                          </a:fillRef>
                          <a:effectRef idx="0">
                            <a:schemeClr val="accent4"/>
                          </a:effectRef>
                          <a:fontRef idx="minor">
                            <a:schemeClr val="lt1"/>
                          </a:fontRef>
                        </wps:style>
                        <wps:txbx>
                          <w:txbxContent>
                            <w:p w14:paraId="4546E230" w14:textId="77777777" w:rsidR="00C13A5E" w:rsidRPr="00E729F7" w:rsidRDefault="00C13A5E" w:rsidP="006F63D3">
                              <w:pPr>
                                <w:pStyle w:val="2024-PRISMA"/>
                                <w:rPr>
                                  <w:b/>
                                </w:rPr>
                              </w:pPr>
                              <w:r w:rsidRPr="00E729F7">
                                <w:rPr>
                                  <w:b/>
                                </w:rPr>
                                <w:t>Identification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84300809" name="Flowchart: Alternate Process 32"/>
                        <wps:cNvSpPr/>
                        <wps:spPr>
                          <a:xfrm rot="16200000">
                            <a:off x="-849526" y="2402658"/>
                            <a:ext cx="2090795" cy="326387"/>
                          </a:xfrm>
                          <a:prstGeom prst="flowChartAlternateProcess">
                            <a:avLst/>
                          </a:prstGeom>
                          <a:solidFill>
                            <a:schemeClr val="accent5">
                              <a:lumMod val="60000"/>
                              <a:lumOff val="40000"/>
                            </a:schemeClr>
                          </a:solidFill>
                          <a:ln>
                            <a:solidFill>
                              <a:schemeClr val="tx1"/>
                            </a:solidFill>
                          </a:ln>
                        </wps:spPr>
                        <wps:style>
                          <a:lnRef idx="2">
                            <a:schemeClr val="accent4">
                              <a:shade val="50000"/>
                            </a:schemeClr>
                          </a:lnRef>
                          <a:fillRef idx="1">
                            <a:schemeClr val="accent4"/>
                          </a:fillRef>
                          <a:effectRef idx="0">
                            <a:schemeClr val="accent4"/>
                          </a:effectRef>
                          <a:fontRef idx="minor">
                            <a:schemeClr val="lt1"/>
                          </a:fontRef>
                        </wps:style>
                        <wps:txbx>
                          <w:txbxContent>
                            <w:p w14:paraId="40A2DC10" w14:textId="77777777" w:rsidR="00C13A5E" w:rsidRPr="00E729F7" w:rsidRDefault="00C13A5E" w:rsidP="00E729F7">
                              <w:pPr>
                                <w:pStyle w:val="2024-PRISMA"/>
                                <w:jc w:val="center"/>
                                <w:rPr>
                                  <w:b/>
                                </w:rPr>
                              </w:pPr>
                              <w:r w:rsidRPr="00E729F7">
                                <w:rPr>
                                  <w:b/>
                                </w:rPr>
                                <w:t>Screening</w:t>
                              </w:r>
                            </w:p>
                            <w:p w14:paraId="42E128E1" w14:textId="77777777" w:rsidR="00C13A5E" w:rsidRPr="00E729F7" w:rsidRDefault="00C13A5E" w:rsidP="00E729F7">
                              <w:pPr>
                                <w:pStyle w:val="2024-PRISMA"/>
                                <w:jc w:val="center"/>
                                <w:rPr>
                                  <w: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90074943" name="Flowchart: Alternate Process 33"/>
                        <wps:cNvSpPr/>
                        <wps:spPr>
                          <a:xfrm rot="16200000">
                            <a:off x="-245429" y="3955911"/>
                            <a:ext cx="874595" cy="318228"/>
                          </a:xfrm>
                          <a:prstGeom prst="flowChartAlternateProcess">
                            <a:avLst/>
                          </a:prstGeom>
                          <a:solidFill>
                            <a:schemeClr val="accent5">
                              <a:lumMod val="60000"/>
                              <a:lumOff val="40000"/>
                            </a:schemeClr>
                          </a:solidFill>
                          <a:ln>
                            <a:solidFill>
                              <a:schemeClr val="tx1"/>
                            </a:solidFill>
                          </a:ln>
                        </wps:spPr>
                        <wps:style>
                          <a:lnRef idx="2">
                            <a:schemeClr val="accent4">
                              <a:shade val="50000"/>
                            </a:schemeClr>
                          </a:lnRef>
                          <a:fillRef idx="1">
                            <a:schemeClr val="accent4"/>
                          </a:fillRef>
                          <a:effectRef idx="0">
                            <a:schemeClr val="accent4"/>
                          </a:effectRef>
                          <a:fontRef idx="minor">
                            <a:schemeClr val="lt1"/>
                          </a:fontRef>
                        </wps:style>
                        <wps:txbx>
                          <w:txbxContent>
                            <w:p w14:paraId="7A45D00A" w14:textId="77777777" w:rsidR="00C13A5E" w:rsidRPr="00E729F7" w:rsidRDefault="00C13A5E" w:rsidP="006F63D3">
                              <w:pPr>
                                <w:pStyle w:val="2024-PRISMA"/>
                                <w:rPr>
                                  <w:b/>
                                </w:rPr>
                              </w:pPr>
                              <w:r w:rsidRPr="00E729F7">
                                <w:rPr>
                                  <w:b/>
                                </w:rPr>
                                <w:t>Included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22959925" name="Straight Arrow Connector 422959925"/>
                        <wps:cNvCnPr/>
                        <wps:spPr>
                          <a:xfrm>
                            <a:off x="1339407" y="1233377"/>
                            <a:ext cx="0" cy="28130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150634972" name="Straight Arrow Connector 1150634972"/>
                        <wps:cNvCnPr/>
                        <wps:spPr>
                          <a:xfrm>
                            <a:off x="1339407" y="1967023"/>
                            <a:ext cx="0" cy="28130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553319081" name="Straight Arrow Connector 1553319081"/>
                        <wps:cNvCnPr/>
                        <wps:spPr>
                          <a:xfrm>
                            <a:off x="1350040" y="2690037"/>
                            <a:ext cx="0" cy="28130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953767999" name="Straight Arrow Connector 1953767999"/>
                        <wps:cNvCnPr/>
                        <wps:spPr>
                          <a:xfrm>
                            <a:off x="1339407" y="3296093"/>
                            <a:ext cx="0" cy="74612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892874636" name="Flowchart: Alternate Process 29"/>
                        <wps:cNvSpPr/>
                        <wps:spPr>
                          <a:xfrm>
                            <a:off x="21762" y="-101229"/>
                            <a:ext cx="5536496" cy="374815"/>
                          </a:xfrm>
                          <a:prstGeom prst="flowChartAlternateProcess">
                            <a:avLst/>
                          </a:prstGeom>
                        </wps:spPr>
                        <wps:style>
                          <a:lnRef idx="2">
                            <a:schemeClr val="accent4">
                              <a:shade val="50000"/>
                            </a:schemeClr>
                          </a:lnRef>
                          <a:fillRef idx="1">
                            <a:schemeClr val="accent4"/>
                          </a:fillRef>
                          <a:effectRef idx="0">
                            <a:schemeClr val="accent4"/>
                          </a:effectRef>
                          <a:fontRef idx="minor">
                            <a:schemeClr val="lt1"/>
                          </a:fontRef>
                        </wps:style>
                        <wps:txbx>
                          <w:txbxContent>
                            <w:p w14:paraId="4DDA0276" w14:textId="702D38A5" w:rsidR="00C13A5E" w:rsidRPr="00E729F7" w:rsidRDefault="00C13A5E" w:rsidP="00E729F7">
                              <w:pPr>
                                <w:pStyle w:val="2024-PRISMA"/>
                                <w:jc w:val="center"/>
                                <w:rPr>
                                  <w:b/>
                                </w:rPr>
                              </w:pPr>
                              <w:r w:rsidRPr="00E729F7">
                                <w:rPr>
                                  <w:b/>
                                </w:rPr>
                                <w:t xml:space="preserve">Identification of </w:t>
                              </w:r>
                              <w:r w:rsidR="000F0EDA">
                                <w:rPr>
                                  <w:b/>
                                </w:rPr>
                                <w:t>reviews</w:t>
                              </w:r>
                              <w:r w:rsidR="000F0EDA" w:rsidRPr="00E729F7">
                                <w:rPr>
                                  <w:b/>
                                </w:rPr>
                                <w:t xml:space="preserve"> </w:t>
                              </w:r>
                              <w:r w:rsidRPr="00E729F7">
                                <w:rPr>
                                  <w:b/>
                                </w:rPr>
                                <w:t>via databases and registers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89604313" name="Rectangle 589604313"/>
                        <wps:cNvSpPr/>
                        <wps:spPr>
                          <a:xfrm>
                            <a:off x="499730" y="425302"/>
                            <a:ext cx="2455839" cy="839972"/>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D519FBC" w14:textId="52B2F021" w:rsidR="00C13A5E" w:rsidRPr="000A34EA" w:rsidRDefault="00C13A5E" w:rsidP="006F63D3">
                              <w:pPr>
                                <w:pStyle w:val="2024-PRISMA"/>
                              </w:pPr>
                              <w:r w:rsidRPr="000A34EA">
                                <w:t>Records identified from:</w:t>
                              </w:r>
                            </w:p>
                            <w:p w14:paraId="0F699D28" w14:textId="6A54941B" w:rsidR="00C13A5E" w:rsidRPr="000A34EA" w:rsidRDefault="00C13A5E" w:rsidP="006F63D3">
                              <w:pPr>
                                <w:pStyle w:val="2024-PRISMA"/>
                              </w:pPr>
                              <w:r w:rsidRPr="000A34EA">
                                <w:t xml:space="preserve">Databases and registers (n = </w:t>
                              </w:r>
                              <w:r w:rsidR="00E80421">
                                <w:t>562</w:t>
                              </w:r>
                              <w:r w:rsidRPr="000A34EA">
                                <w:t>)</w:t>
                              </w:r>
                            </w:p>
                            <w:p w14:paraId="61BEC14D" w14:textId="77777777" w:rsidR="00C13A5E" w:rsidRDefault="00C13A5E" w:rsidP="006F63D3">
                              <w:pPr>
                                <w:pStyle w:val="2024-PRISMA"/>
                              </w:pPr>
                              <w:r w:rsidRPr="000A34EA">
                                <w:t>Manual</w:t>
                              </w:r>
                              <w:r>
                                <w:t xml:space="preserve"> or </w:t>
                              </w:r>
                              <w:r w:rsidRPr="000A34EA">
                                <w:t xml:space="preserve">citation </w:t>
                              </w:r>
                              <w:r>
                                <w:t xml:space="preserve">searching </w:t>
                              </w:r>
                              <w:r w:rsidRPr="000A34EA">
                                <w:t xml:space="preserve">(n = </w:t>
                              </w:r>
                              <w:r>
                                <w:t>0</w:t>
                              </w:r>
                              <w:r w:rsidRPr="000A34EA">
                                <w:t>)</w:t>
                              </w:r>
                            </w:p>
                            <w:p w14:paraId="6E0A8288" w14:textId="24961B7F" w:rsidR="00C13A5E" w:rsidRPr="000A34EA" w:rsidRDefault="00C13A5E" w:rsidP="006F63D3">
                              <w:pPr>
                                <w:pStyle w:val="2024-PRISMA"/>
                              </w:pPr>
                              <w:r>
                                <w:t>Department’s call for evidence</w:t>
                              </w:r>
                              <w:r w:rsidRPr="000A34EA">
                                <w:t xml:space="preserve"> (n = </w:t>
                              </w:r>
                              <w:r w:rsidR="00E80421">
                                <w:t>1</w:t>
                              </w:r>
                              <w:r w:rsidRPr="000A34EA">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49965819" name="Rectangle 1149965819"/>
                        <wps:cNvSpPr/>
                        <wps:spPr>
                          <a:xfrm>
                            <a:off x="499731" y="1520456"/>
                            <a:ext cx="1887220" cy="52641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0B0C3C0" w14:textId="77777777" w:rsidR="00C13A5E" w:rsidRPr="000A34EA" w:rsidRDefault="00C13A5E" w:rsidP="006F63D3">
                              <w:pPr>
                                <w:pStyle w:val="2024-PRISMA"/>
                              </w:pPr>
                              <w:r w:rsidRPr="000A34EA">
                                <w:t>Records screened</w:t>
                              </w:r>
                            </w:p>
                            <w:p w14:paraId="68525432" w14:textId="22437224" w:rsidR="00C13A5E" w:rsidRPr="000A34EA" w:rsidRDefault="00C13A5E" w:rsidP="006F63D3">
                              <w:pPr>
                                <w:pStyle w:val="2024-PRISMA"/>
                              </w:pPr>
                              <w:r w:rsidRPr="000A34EA">
                                <w:t xml:space="preserve">(n = </w:t>
                              </w:r>
                              <w:r w:rsidR="00E80421">
                                <w:t>553</w:t>
                              </w:r>
                              <w:r w:rsidRPr="000A34EA">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69691476" name="Rectangle 769691476"/>
                        <wps:cNvSpPr/>
                        <wps:spPr>
                          <a:xfrm>
                            <a:off x="499731" y="2977116"/>
                            <a:ext cx="1887220" cy="52641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58A489E" w14:textId="77777777" w:rsidR="00C13A5E" w:rsidRPr="000A34EA" w:rsidRDefault="00C13A5E" w:rsidP="006F63D3">
                              <w:pPr>
                                <w:pStyle w:val="2024-PRISMA"/>
                              </w:pPr>
                              <w:r w:rsidRPr="000A34EA">
                                <w:t>Reports assessed for eligibility</w:t>
                              </w:r>
                            </w:p>
                            <w:p w14:paraId="3510B77B" w14:textId="6B9AF2F2" w:rsidR="00C13A5E" w:rsidRPr="000A34EA" w:rsidRDefault="00C13A5E" w:rsidP="006F63D3">
                              <w:pPr>
                                <w:pStyle w:val="2024-PRISMA"/>
                              </w:pPr>
                              <w:r w:rsidRPr="000A34EA">
                                <w:t xml:space="preserve">(n = </w:t>
                              </w:r>
                              <w:r w:rsidR="006F33EA">
                                <w:t>2</w:t>
                              </w:r>
                              <w:r w:rsidRPr="000A34EA">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13075594" name="Rectangle 1913075594"/>
                        <wps:cNvSpPr/>
                        <wps:spPr>
                          <a:xfrm>
                            <a:off x="489098" y="4040372"/>
                            <a:ext cx="1887220" cy="511952"/>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312ACBE" w14:textId="00ED1D59" w:rsidR="00C13A5E" w:rsidRPr="000A34EA" w:rsidRDefault="000F0EDA" w:rsidP="006F63D3">
                              <w:pPr>
                                <w:pStyle w:val="2024-PRISMA"/>
                              </w:pPr>
                              <w:r>
                                <w:t>Reviews</w:t>
                              </w:r>
                              <w:r w:rsidRPr="000A34EA">
                                <w:t xml:space="preserve"> </w:t>
                              </w:r>
                              <w:r w:rsidR="00C13A5E" w:rsidRPr="000A34EA">
                                <w:t xml:space="preserve">included in </w:t>
                              </w:r>
                              <w:r>
                                <w:t>over</w:t>
                              </w:r>
                              <w:r w:rsidR="00C13A5E" w:rsidRPr="000A34EA">
                                <w:t>view</w:t>
                              </w:r>
                            </w:p>
                            <w:p w14:paraId="1E79C619" w14:textId="3D2743BA" w:rsidR="00C13A5E" w:rsidRPr="000A34EA" w:rsidRDefault="00C13A5E" w:rsidP="006F63D3">
                              <w:pPr>
                                <w:pStyle w:val="2024-PRISMA"/>
                              </w:pPr>
                              <w:r w:rsidRPr="000A34EA">
                                <w:t xml:space="preserve">(n = </w:t>
                              </w:r>
                              <w:r w:rsidR="00E80421">
                                <w:t>0</w:t>
                              </w:r>
                              <w:r w:rsidRPr="000A34EA">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37245826" name="Rectangle 1737245826"/>
                        <wps:cNvSpPr/>
                        <wps:spPr>
                          <a:xfrm>
                            <a:off x="499731" y="2243470"/>
                            <a:ext cx="1887220" cy="52641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2E5BC2F" w14:textId="77777777" w:rsidR="00C13A5E" w:rsidRPr="000A34EA" w:rsidRDefault="00C13A5E" w:rsidP="006F63D3">
                              <w:pPr>
                                <w:pStyle w:val="2024-PRISMA"/>
                              </w:pPr>
                              <w:r w:rsidRPr="000A34EA">
                                <w:t>Reports sought for retrieval</w:t>
                              </w:r>
                            </w:p>
                            <w:p w14:paraId="72714631" w14:textId="6B16CCB1" w:rsidR="00C13A5E" w:rsidRPr="000A34EA" w:rsidRDefault="00C13A5E" w:rsidP="006F63D3">
                              <w:pPr>
                                <w:pStyle w:val="2024-PRISMA"/>
                              </w:pPr>
                              <w:r w:rsidRPr="000A34EA">
                                <w:t xml:space="preserve">(n = </w:t>
                              </w:r>
                              <w:r>
                                <w:t>2</w:t>
                              </w:r>
                              <w:r w:rsidRPr="000A34EA">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8B48B39" id="Group 157139491" o:spid="_x0000_s1246" style="position:absolute;margin-left:1.4pt;margin-top:4.35pt;width:426pt;height:307.85pt;z-index:251658247;mso-width-relative:margin;mso-height-relative:margin" coordorigin="217,-1012" coordsize="55364,465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">
                <v:rect id="Rectangle 1836956863" o:spid="_x0000_s1247" style="position:absolute;left:31807;top:4253;width:23557;height:83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" filled="f" strokecolor="black [3213]" strokeweight="1pt">
                  <v:textbox>
                    <w:txbxContent>
                      <w:p w14:paraId="07C41874" w14:textId="77777777" w:rsidR="00C13A5E" w:rsidRPr="000A34EA" w:rsidRDefault="00C13A5E" w:rsidP="006F63D3">
                        <w:pPr>
                          <w:pStyle w:val="2024-PRISMA"/>
                        </w:pPr>
                        <w:r w:rsidRPr="000A34EA">
                          <w:t>Records removed before screening:</w:t>
                        </w:r>
                      </w:p>
                      <w:p w14:paraId="08EAD5DD" w14:textId="02B841D6" w:rsidR="00C13A5E" w:rsidRPr="000A34EA" w:rsidRDefault="00C13A5E" w:rsidP="006F63D3">
                        <w:pPr>
                          <w:pStyle w:val="2024-PRISMA"/>
                        </w:pPr>
                        <w:r w:rsidRPr="000A34EA">
                          <w:t xml:space="preserve">Duplicate records removed (n = </w:t>
                        </w:r>
                        <w:r>
                          <w:t>1</w:t>
                        </w:r>
                        <w:r w:rsidR="00E80421">
                          <w:t>0</w:t>
                        </w:r>
                        <w:r w:rsidRPr="000A34EA">
                          <w:t>)</w:t>
                        </w:r>
                      </w:p>
                    </w:txbxContent>
                  </v:textbox>
                </v:rect>
                <v:rect id="Rectangle 2077999977" o:spid="_x0000_s1248" style="position:absolute;left:29877;top:15098;width:18872;height:52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" filled="f" strokecolor="black [3213]" strokeweight="1pt">
                  <v:textbox>
                    <w:txbxContent>
                      <w:p w14:paraId="112123E8" w14:textId="77777777" w:rsidR="00C13A5E" w:rsidRPr="000A34EA" w:rsidRDefault="00C13A5E" w:rsidP="006F63D3">
                        <w:pPr>
                          <w:pStyle w:val="2024-PRISMA"/>
                        </w:pPr>
                        <w:r w:rsidRPr="000A34EA">
                          <w:t>Records excluded</w:t>
                        </w:r>
                      </w:p>
                      <w:p w14:paraId="3F6B25FE" w14:textId="71B25536" w:rsidR="00C13A5E" w:rsidRPr="000A34EA" w:rsidRDefault="00C13A5E" w:rsidP="006F63D3">
                        <w:pPr>
                          <w:pStyle w:val="2024-PRISMA"/>
                        </w:pPr>
                        <w:r w:rsidRPr="000A34EA">
                          <w:t xml:space="preserve">(n = </w:t>
                        </w:r>
                        <w:r w:rsidR="00E80421">
                          <w:t>551</w:t>
                        </w:r>
                        <w:r w:rsidRPr="000A34EA">
                          <w:t>)</w:t>
                        </w:r>
                      </w:p>
                    </w:txbxContent>
                  </v:textbox>
                </v:rect>
                <v:rect id="Rectangle 221240100" o:spid="_x0000_s1249" style="position:absolute;left:29877;top:21186;width:23519;height:75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" filled="f" strokecolor="black [3213]" strokeweight="1pt">
                  <v:textbox>
                    <w:txbxContent>
                      <w:p w14:paraId="091117FD" w14:textId="5876A7E3" w:rsidR="00C13A5E" w:rsidRDefault="00C13A5E" w:rsidP="006F63D3">
                        <w:pPr>
                          <w:pStyle w:val="2024-PRISMA"/>
                        </w:pPr>
                        <w:r>
                          <w:t>Discontinued study</w:t>
                        </w:r>
                        <w:r w:rsidRPr="000A34EA">
                          <w:t xml:space="preserve"> (n</w:t>
                        </w:r>
                        <w:r>
                          <w:t xml:space="preserve"> = </w:t>
                        </w:r>
                        <w:r w:rsidR="008C2ECB">
                          <w:t>0</w:t>
                        </w:r>
                        <w:r w:rsidRPr="000A34EA">
                          <w:t>)</w:t>
                        </w:r>
                      </w:p>
                      <w:p w14:paraId="6FD20DAA" w14:textId="24C11C85" w:rsidR="00C13A5E" w:rsidRPr="000A34EA" w:rsidRDefault="00C13A5E" w:rsidP="006F63D3">
                        <w:pPr>
                          <w:pStyle w:val="2024-PRISMA"/>
                        </w:pPr>
                        <w:r>
                          <w:t>Ongoing study</w:t>
                        </w:r>
                        <w:r w:rsidRPr="000A34EA">
                          <w:t xml:space="preserve"> (n</w:t>
                        </w:r>
                        <w:r>
                          <w:t xml:space="preserve"> = </w:t>
                        </w:r>
                        <w:r w:rsidR="00E80421">
                          <w:t>0</w:t>
                        </w:r>
                        <w:r w:rsidRPr="000A34EA">
                          <w:t>)</w:t>
                        </w:r>
                      </w:p>
                      <w:p w14:paraId="4DCE1784" w14:textId="77777777" w:rsidR="001D2614" w:rsidRDefault="001D2614" w:rsidP="001D2614">
                        <w:pPr>
                          <w:pStyle w:val="2024-PRISMA"/>
                        </w:pPr>
                        <w:r>
                          <w:t>Conference abstracts (n = 0)</w:t>
                        </w:r>
                      </w:p>
                      <w:p w14:paraId="68631AE8" w14:textId="174ECD81" w:rsidR="00C13A5E" w:rsidRPr="000A34EA" w:rsidRDefault="00F41ADB" w:rsidP="006F63D3">
                        <w:pPr>
                          <w:pStyle w:val="2024-PRISMA"/>
                        </w:pPr>
                        <w:r>
                          <w:t>Reviews</w:t>
                        </w:r>
                        <w:r w:rsidR="00C13A5E" w:rsidRPr="000A34EA">
                          <w:t xml:space="preserve"> Awaiting Classification (n = </w:t>
                        </w:r>
                        <w:r w:rsidR="00C13A5E">
                          <w:t>0</w:t>
                        </w:r>
                        <w:r w:rsidR="00C13A5E" w:rsidRPr="000A34EA">
                          <w:t>)</w:t>
                        </w:r>
                      </w:p>
                    </w:txbxContent>
                  </v:textbox>
                </v:rect>
                <v:rect id="Rectangle 2028615384" o:spid="_x0000_s1250" style="position:absolute;left:29877;top:29558;width:21793;height:65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" filled="f" strokecolor="black [3213]" strokeweight="1pt">
                  <v:textbox>
                    <w:txbxContent>
                      <w:p w14:paraId="1596671F" w14:textId="46211826" w:rsidR="00C13A5E" w:rsidRPr="000A34EA" w:rsidRDefault="00C13A5E" w:rsidP="006F63D3">
                        <w:pPr>
                          <w:pStyle w:val="2024-PRISMA"/>
                        </w:pPr>
                        <w:r w:rsidRPr="000A34EA">
                          <w:t xml:space="preserve">Reports excluded (n = </w:t>
                        </w:r>
                        <w:r w:rsidR="008C2ECB">
                          <w:t>2</w:t>
                        </w:r>
                        <w:r w:rsidRPr="000A34EA">
                          <w:t>):</w:t>
                        </w:r>
                      </w:p>
                      <w:p w14:paraId="49257145" w14:textId="03E6E15C" w:rsidR="00C13A5E" w:rsidRPr="000A34EA" w:rsidRDefault="00C13A5E" w:rsidP="006F63D3">
                        <w:pPr>
                          <w:pStyle w:val="2024-PRISMA"/>
                        </w:pPr>
                        <w:r>
                          <w:t xml:space="preserve">Wrong population (n = </w:t>
                        </w:r>
                        <w:r w:rsidR="008C2ECB">
                          <w:t>2</w:t>
                        </w:r>
                        <w:r>
                          <w:t>)</w:t>
                        </w:r>
                      </w:p>
                    </w:txbxContent>
                  </v:textbox>
                </v:rect>
                <v:shape id="Straight Arrow Connector 634845400" o:spid="_x0000_s1251" type="#_x0000_t32" style="position:absolute;left:24242;top:9758;width:756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" strokecolor="black [3213]" strokeweight=".5pt">
                  <v:stroke endarrow="block" joinstyle="miter"/>
                </v:shape>
                <v:shape id="Straight Arrow Connector 741294395" o:spid="_x0000_s1252" type="#_x0000_t32" style="position:absolute;left:23923;top:17201;width:563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" strokecolor="black [3213]" strokeweight=".5pt">
                  <v:stroke endarrow="block" joinstyle="miter"/>
                </v:shape>
                <v:shape id="Straight Arrow Connector 1541125795" o:spid="_x0000_s1253" type="#_x0000_t32" style="position:absolute;left:24029;top:24218;width:563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" strokecolor="black [3213]" strokeweight=".5pt">
                  <v:stroke endarrow="block" joinstyle="miter"/>
                </v:shape>
                <v:shape id="Straight Arrow Connector 1971692685" o:spid="_x0000_s1254" type="#_x0000_t32" style="position:absolute;left:24135;top:31555;width:563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" strokecolor="black [3213]" strokeweight=".5pt">
                  <v:stroke endarrow="block" joinstyle="miter"/>
                </v:shape>
                <v:shape id="Flowchart: Alternate Process 31" o:spid="_x0000_s1255" type="#_x0000_t176" style="position:absolute;left:-3479;top:7550;width:10867;height:3264;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" fillcolor="#9cc2e5 [1944]" strokecolor="black [3213]" strokeweight="1pt">
                  <v:textbox>
                    <w:txbxContent>
                      <w:p w14:paraId="4546E230" w14:textId="77777777" w:rsidR="00C13A5E" w:rsidRPr="00E729F7" w:rsidRDefault="00C13A5E" w:rsidP="006F63D3">
                        <w:pPr>
                          <w:pStyle w:val="2024-PRISMA"/>
                          <w:rPr>
                            <w:b/>
                          </w:rPr>
                        </w:pPr>
                        <w:r w:rsidRPr="00E729F7">
                          <w:rPr>
                            <w:b/>
                          </w:rPr>
                          <w:t>Identification</w:t>
                        </w:r>
                      </w:p>
                    </w:txbxContent>
                  </v:textbox>
                </v:shape>
                <v:shape id="Flowchart: Alternate Process 32" o:spid="_x0000_s1256" type="#_x0000_t176" style="position:absolute;left:-8496;top:24026;width:20908;height:3264;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" fillcolor="#9cc2e5 [1944]" strokecolor="black [3213]" strokeweight="1pt">
                  <v:textbox>
                    <w:txbxContent>
                      <w:p w14:paraId="40A2DC10" w14:textId="77777777" w:rsidR="00C13A5E" w:rsidRPr="00E729F7" w:rsidRDefault="00C13A5E" w:rsidP="00E729F7">
                        <w:pPr>
                          <w:pStyle w:val="2024-PRISMA"/>
                          <w:jc w:val="center"/>
                          <w:rPr>
                            <w:b/>
                          </w:rPr>
                        </w:pPr>
                        <w:r w:rsidRPr="00E729F7">
                          <w:rPr>
                            <w:b/>
                          </w:rPr>
                          <w:t>Screening</w:t>
                        </w:r>
                      </w:p>
                      <w:p w14:paraId="42E128E1" w14:textId="77777777" w:rsidR="00C13A5E" w:rsidRPr="00E729F7" w:rsidRDefault="00C13A5E" w:rsidP="00E729F7">
                        <w:pPr>
                          <w:pStyle w:val="2024-PRISMA"/>
                          <w:jc w:val="center"/>
                          <w:rPr>
                            <w:b/>
                          </w:rPr>
                        </w:pPr>
                      </w:p>
                    </w:txbxContent>
                  </v:textbox>
                </v:shape>
                <v:shape id="Flowchart: Alternate Process 33" o:spid="_x0000_s1257" type="#_x0000_t176" style="position:absolute;left:-2455;top:39559;width:8746;height:3182;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" fillcolor="#9cc2e5 [1944]" strokecolor="black [3213]" strokeweight="1pt">
                  <v:textbox>
                    <w:txbxContent>
                      <w:p w14:paraId="7A45D00A" w14:textId="77777777" w:rsidR="00C13A5E" w:rsidRPr="00E729F7" w:rsidRDefault="00C13A5E" w:rsidP="006F63D3">
                        <w:pPr>
                          <w:pStyle w:val="2024-PRISMA"/>
                          <w:rPr>
                            <w:b/>
                          </w:rPr>
                        </w:pPr>
                        <w:r w:rsidRPr="00E729F7">
                          <w:rPr>
                            <w:b/>
                          </w:rPr>
                          <w:t>Included</w:t>
                        </w:r>
                      </w:p>
                    </w:txbxContent>
                  </v:textbox>
                </v:shape>
                <v:shape id="Straight Arrow Connector 422959925" o:spid="_x0000_s1258" type="#_x0000_t32" style="position:absolute;left:13394;top:12333;width:0;height:281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" strokecolor="black [3213]" strokeweight=".5pt">
                  <v:stroke endarrow="block" joinstyle="miter"/>
                </v:shape>
                <v:shape id="Straight Arrow Connector 1150634972" o:spid="_x0000_s1259" type="#_x0000_t32" style="position:absolute;left:13394;top:19670;width:0;height:281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" strokecolor="black [3213]" strokeweight=".5pt">
                  <v:stroke endarrow="block" joinstyle="miter"/>
                </v:shape>
                <v:shape id="Straight Arrow Connector 1553319081" o:spid="_x0000_s1260" type="#_x0000_t32" style="position:absolute;left:13500;top:26900;width:0;height:281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" strokecolor="black [3213]" strokeweight=".5pt">
                  <v:stroke endarrow="block" joinstyle="miter"/>
                </v:shape>
                <v:shape id="Straight Arrow Connector 1953767999" o:spid="_x0000_s1261" type="#_x0000_t32" style="position:absolute;left:13394;top:32960;width:0;height:746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" strokecolor="black [3213]" strokeweight=".5pt">
                  <v:stroke endarrow="block" joinstyle="miter"/>
                </v:shape>
                <v:shape id="Flowchart: Alternate Process 29" o:spid="_x0000_s1262" type="#_x0000_t176" style="position:absolute;left:217;top:-1012;width:55365;height:37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" fillcolor="#ffc000 [3207]" strokecolor="#7f5f00 [1607]" strokeweight="1pt">
                  <v:textbox>
                    <w:txbxContent>
                      <w:p w14:paraId="4DDA0276" w14:textId="702D38A5" w:rsidR="00C13A5E" w:rsidRPr="00E729F7" w:rsidRDefault="00C13A5E" w:rsidP="00E729F7">
                        <w:pPr>
                          <w:pStyle w:val="2024-PRISMA"/>
                          <w:jc w:val="center"/>
                          <w:rPr>
                            <w:b/>
                          </w:rPr>
                        </w:pPr>
                        <w:r w:rsidRPr="00E729F7">
                          <w:rPr>
                            <w:b/>
                          </w:rPr>
                          <w:t xml:space="preserve">Identification of </w:t>
                        </w:r>
                        <w:r w:rsidR="000F0EDA">
                          <w:rPr>
                            <w:b/>
                          </w:rPr>
                          <w:t>reviews</w:t>
                        </w:r>
                        <w:r w:rsidR="000F0EDA" w:rsidRPr="00E729F7">
                          <w:rPr>
                            <w:b/>
                          </w:rPr>
                          <w:t xml:space="preserve"> </w:t>
                        </w:r>
                        <w:r w:rsidRPr="00E729F7">
                          <w:rPr>
                            <w:b/>
                          </w:rPr>
                          <w:t>via databases and registers</w:t>
                        </w:r>
                      </w:p>
                    </w:txbxContent>
                  </v:textbox>
                </v:shape>
                <v:rect id="Rectangle 589604313" o:spid="_x0000_s1263" style="position:absolute;left:4997;top:4253;width:24558;height:83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" fillcolor="white [3212]" strokecolor="black [3213]" strokeweight="1pt">
                  <v:textbox>
                    <w:txbxContent>
                      <w:p w14:paraId="0D519FBC" w14:textId="52B2F021" w:rsidR="00C13A5E" w:rsidRPr="000A34EA" w:rsidRDefault="00C13A5E" w:rsidP="006F63D3">
                        <w:pPr>
                          <w:pStyle w:val="2024-PRISMA"/>
                        </w:pPr>
                        <w:r w:rsidRPr="000A34EA">
                          <w:t>Records identified from:</w:t>
                        </w:r>
                      </w:p>
                      <w:p w14:paraId="0F699D28" w14:textId="6A54941B" w:rsidR="00C13A5E" w:rsidRPr="000A34EA" w:rsidRDefault="00C13A5E" w:rsidP="006F63D3">
                        <w:pPr>
                          <w:pStyle w:val="2024-PRISMA"/>
                        </w:pPr>
                        <w:r w:rsidRPr="000A34EA">
                          <w:t xml:space="preserve">Databases and registers (n = </w:t>
                        </w:r>
                        <w:r w:rsidR="00E80421">
                          <w:t>562</w:t>
                        </w:r>
                        <w:r w:rsidRPr="000A34EA">
                          <w:t>)</w:t>
                        </w:r>
                      </w:p>
                      <w:p w14:paraId="61BEC14D" w14:textId="77777777" w:rsidR="00C13A5E" w:rsidRDefault="00C13A5E" w:rsidP="006F63D3">
                        <w:pPr>
                          <w:pStyle w:val="2024-PRISMA"/>
                        </w:pPr>
                        <w:r w:rsidRPr="000A34EA">
                          <w:t>Manual</w:t>
                        </w:r>
                        <w:r>
                          <w:t xml:space="preserve"> or </w:t>
                        </w:r>
                        <w:r w:rsidRPr="000A34EA">
                          <w:t xml:space="preserve">citation </w:t>
                        </w:r>
                        <w:r>
                          <w:t xml:space="preserve">searching </w:t>
                        </w:r>
                        <w:r w:rsidRPr="000A34EA">
                          <w:t xml:space="preserve">(n = </w:t>
                        </w:r>
                        <w:r>
                          <w:t>0</w:t>
                        </w:r>
                        <w:r w:rsidRPr="000A34EA">
                          <w:t>)</w:t>
                        </w:r>
                      </w:p>
                      <w:p w14:paraId="6E0A8288" w14:textId="24961B7F" w:rsidR="00C13A5E" w:rsidRPr="000A34EA" w:rsidRDefault="00C13A5E" w:rsidP="006F63D3">
                        <w:pPr>
                          <w:pStyle w:val="2024-PRISMA"/>
                        </w:pPr>
                        <w:r>
                          <w:t>Department’s call for evidence</w:t>
                        </w:r>
                        <w:r w:rsidRPr="000A34EA">
                          <w:t xml:space="preserve"> (n = </w:t>
                        </w:r>
                        <w:r w:rsidR="00E80421">
                          <w:t>1</w:t>
                        </w:r>
                        <w:r w:rsidRPr="000A34EA">
                          <w:t>)</w:t>
                        </w:r>
                      </w:p>
                    </w:txbxContent>
                  </v:textbox>
                </v:rect>
                <v:rect id="Rectangle 1149965819" o:spid="_x0000_s1264" style="position:absolute;left:4997;top:15204;width:18872;height:52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" fillcolor="white [3212]" strokecolor="black [3213]" strokeweight="1pt">
                  <v:textbox>
                    <w:txbxContent>
                      <w:p w14:paraId="10B0C3C0" w14:textId="77777777" w:rsidR="00C13A5E" w:rsidRPr="000A34EA" w:rsidRDefault="00C13A5E" w:rsidP="006F63D3">
                        <w:pPr>
                          <w:pStyle w:val="2024-PRISMA"/>
                        </w:pPr>
                        <w:r w:rsidRPr="000A34EA">
                          <w:t>Records screened</w:t>
                        </w:r>
                      </w:p>
                      <w:p w14:paraId="68525432" w14:textId="22437224" w:rsidR="00C13A5E" w:rsidRPr="000A34EA" w:rsidRDefault="00C13A5E" w:rsidP="006F63D3">
                        <w:pPr>
                          <w:pStyle w:val="2024-PRISMA"/>
                        </w:pPr>
                        <w:r w:rsidRPr="000A34EA">
                          <w:t xml:space="preserve">(n = </w:t>
                        </w:r>
                        <w:r w:rsidR="00E80421">
                          <w:t>553</w:t>
                        </w:r>
                        <w:r w:rsidRPr="000A34EA">
                          <w:t>)</w:t>
                        </w:r>
                      </w:p>
                    </w:txbxContent>
                  </v:textbox>
                </v:rect>
                <v:rect id="Rectangle 769691476" o:spid="_x0000_s1265" style="position:absolute;left:4997;top:29771;width:18872;height:52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" fillcolor="white [3212]" strokecolor="black [3213]" strokeweight="1pt">
                  <v:textbox>
                    <w:txbxContent>
                      <w:p w14:paraId="558A489E" w14:textId="77777777" w:rsidR="00C13A5E" w:rsidRPr="000A34EA" w:rsidRDefault="00C13A5E" w:rsidP="006F63D3">
                        <w:pPr>
                          <w:pStyle w:val="2024-PRISMA"/>
                        </w:pPr>
                        <w:r w:rsidRPr="000A34EA">
                          <w:t>Reports assessed for eligibility</w:t>
                        </w:r>
                      </w:p>
                      <w:p w14:paraId="3510B77B" w14:textId="6B9AF2F2" w:rsidR="00C13A5E" w:rsidRPr="000A34EA" w:rsidRDefault="00C13A5E" w:rsidP="006F63D3">
                        <w:pPr>
                          <w:pStyle w:val="2024-PRISMA"/>
                        </w:pPr>
                        <w:r w:rsidRPr="000A34EA">
                          <w:t xml:space="preserve">(n = </w:t>
                        </w:r>
                        <w:r w:rsidR="006F33EA">
                          <w:t>2</w:t>
                        </w:r>
                        <w:r w:rsidRPr="000A34EA">
                          <w:t>)</w:t>
                        </w:r>
                      </w:p>
                    </w:txbxContent>
                  </v:textbox>
                </v:rect>
                <v:rect id="Rectangle 1913075594" o:spid="_x0000_s1266" style="position:absolute;left:4890;top:40403;width:18873;height:51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" fillcolor="white [3212]" strokecolor="black [3213]" strokeweight="1pt">
                  <v:textbox>
                    <w:txbxContent>
                      <w:p w14:paraId="2312ACBE" w14:textId="00ED1D59" w:rsidR="00C13A5E" w:rsidRPr="000A34EA" w:rsidRDefault="000F0EDA" w:rsidP="006F63D3">
                        <w:pPr>
                          <w:pStyle w:val="2024-PRISMA"/>
                        </w:pPr>
                        <w:r>
                          <w:t>Reviews</w:t>
                        </w:r>
                        <w:r w:rsidRPr="000A34EA">
                          <w:t xml:space="preserve"> </w:t>
                        </w:r>
                        <w:r w:rsidR="00C13A5E" w:rsidRPr="000A34EA">
                          <w:t xml:space="preserve">included in </w:t>
                        </w:r>
                        <w:r>
                          <w:t>over</w:t>
                        </w:r>
                        <w:r w:rsidR="00C13A5E" w:rsidRPr="000A34EA">
                          <w:t>view</w:t>
                        </w:r>
                      </w:p>
                      <w:p w14:paraId="1E79C619" w14:textId="3D2743BA" w:rsidR="00C13A5E" w:rsidRPr="000A34EA" w:rsidRDefault="00C13A5E" w:rsidP="006F63D3">
                        <w:pPr>
                          <w:pStyle w:val="2024-PRISMA"/>
                        </w:pPr>
                        <w:r w:rsidRPr="000A34EA">
                          <w:t xml:space="preserve">(n = </w:t>
                        </w:r>
                        <w:r w:rsidR="00E80421">
                          <w:t>0</w:t>
                        </w:r>
                        <w:r w:rsidRPr="000A34EA">
                          <w:t>)</w:t>
                        </w:r>
                      </w:p>
                    </w:txbxContent>
                  </v:textbox>
                </v:rect>
                <v:rect id="Rectangle 1737245826" o:spid="_x0000_s1267" style="position:absolute;left:4997;top:22434;width:18872;height:52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" fillcolor="white [3212]" strokecolor="black [3213]" strokeweight="1pt">
                  <v:textbox>
                    <w:txbxContent>
                      <w:p w14:paraId="72E5BC2F" w14:textId="77777777" w:rsidR="00C13A5E" w:rsidRPr="000A34EA" w:rsidRDefault="00C13A5E" w:rsidP="006F63D3">
                        <w:pPr>
                          <w:pStyle w:val="2024-PRISMA"/>
                        </w:pPr>
                        <w:r w:rsidRPr="000A34EA">
                          <w:t>Reports sought for retrieval</w:t>
                        </w:r>
                      </w:p>
                      <w:p w14:paraId="72714631" w14:textId="6B16CCB1" w:rsidR="00C13A5E" w:rsidRPr="000A34EA" w:rsidRDefault="00C13A5E" w:rsidP="006F63D3">
                        <w:pPr>
                          <w:pStyle w:val="2024-PRISMA"/>
                        </w:pPr>
                        <w:r w:rsidRPr="000A34EA">
                          <w:t xml:space="preserve">(n = </w:t>
                        </w:r>
                        <w:r>
                          <w:t>2</w:t>
                        </w:r>
                        <w:r w:rsidRPr="000A34EA">
                          <w:t>)</w:t>
                        </w:r>
                      </w:p>
                    </w:txbxContent>
                  </v:textbox>
                </v:rect>
                <w10:wrap type="square"/>
              </v:group>
            </w:pict>
          </mc:Fallback>
        </mc:AlternateContent>
      </w:r>
    </w:p>
    <w:p w14:paraId="67AFEA7E" w14:textId="77777777" w:rsidR="00C13A5E" w:rsidRPr="0054775B" w:rsidRDefault="00C13A5E" w:rsidP="009E6F7F"/>
    <w:p w14:paraId="62C3E087" w14:textId="77777777" w:rsidR="00C13A5E" w:rsidRPr="0054775B" w:rsidRDefault="00C13A5E" w:rsidP="009E6F7F"/>
    <w:p w14:paraId="0F898572" w14:textId="77777777" w:rsidR="00C13A5E" w:rsidRPr="0054775B" w:rsidRDefault="00C13A5E" w:rsidP="009E6F7F"/>
    <w:p w14:paraId="29D11732" w14:textId="77777777" w:rsidR="00C13A5E" w:rsidRPr="0054775B" w:rsidRDefault="00C13A5E" w:rsidP="009E6F7F"/>
    <w:p w14:paraId="55739628" w14:textId="77777777" w:rsidR="00C13A5E" w:rsidRPr="0054775B" w:rsidRDefault="00C13A5E" w:rsidP="009E6F7F"/>
    <w:p w14:paraId="4E5450D3" w14:textId="77777777" w:rsidR="00C13A5E" w:rsidRPr="0054775B" w:rsidRDefault="00C13A5E" w:rsidP="009E6F7F"/>
    <w:p w14:paraId="13AD95C2" w14:textId="77777777" w:rsidR="00C13A5E" w:rsidRPr="0054775B" w:rsidRDefault="00C13A5E" w:rsidP="009E6F7F"/>
    <w:p w14:paraId="0556E48F" w14:textId="77777777" w:rsidR="00C13A5E" w:rsidRPr="0054775B" w:rsidRDefault="00C13A5E" w:rsidP="009E6F7F"/>
    <w:p w14:paraId="718AF473" w14:textId="77777777" w:rsidR="00C13A5E" w:rsidRPr="0054775B" w:rsidRDefault="00C13A5E" w:rsidP="009E6F7F"/>
    <w:p w14:paraId="7AD0C9F3" w14:textId="77777777" w:rsidR="00C13A5E" w:rsidRPr="0054775B" w:rsidRDefault="00C13A5E" w:rsidP="009E6F7F"/>
    <w:p w14:paraId="36E057F4" w14:textId="77777777" w:rsidR="00C13A5E" w:rsidRPr="0054775B" w:rsidRDefault="00C13A5E" w:rsidP="009E6F7F"/>
    <w:p w14:paraId="579AFC0A" w14:textId="77777777" w:rsidR="00C13A5E" w:rsidRPr="0054775B" w:rsidRDefault="00C13A5E" w:rsidP="009E6F7F"/>
    <w:p w14:paraId="6C68B3BC" w14:textId="77777777" w:rsidR="00C13A5E" w:rsidRPr="0054775B" w:rsidRDefault="00C13A5E" w:rsidP="009E6F7F"/>
    <w:p w14:paraId="7539B1AD" w14:textId="77777777" w:rsidR="008308E9" w:rsidRPr="0054775B" w:rsidRDefault="008308E9" w:rsidP="009E6F7F">
      <w:pPr>
        <w:pStyle w:val="2024HEADER3"/>
        <w:rPr>
          <w:rFonts w:ascii="Aptos" w:hAnsi="Aptos"/>
        </w:rPr>
      </w:pPr>
      <w:r w:rsidRPr="0054775B">
        <w:rPr>
          <w:rFonts w:ascii="Aptos" w:hAnsi="Aptos"/>
        </w:rPr>
        <w:t>Description of included reviews</w:t>
      </w:r>
    </w:p>
    <w:p w14:paraId="252BEC5A" w14:textId="4E368593" w:rsidR="003F0319" w:rsidRPr="0054775B" w:rsidRDefault="003F0319" w:rsidP="009E6F7F">
      <w:r w:rsidRPr="0054775B">
        <w:t>No reviews met inclusion criteria.</w:t>
      </w:r>
    </w:p>
    <w:p w14:paraId="41623375" w14:textId="77777777" w:rsidR="008308E9" w:rsidRPr="0054775B" w:rsidRDefault="008308E9" w:rsidP="009E6F7F">
      <w:pPr>
        <w:pStyle w:val="2024HEADER3"/>
        <w:rPr>
          <w:rFonts w:ascii="Aptos" w:hAnsi="Aptos"/>
        </w:rPr>
      </w:pPr>
      <w:r w:rsidRPr="0054775B">
        <w:rPr>
          <w:rFonts w:ascii="Aptos" w:hAnsi="Aptos"/>
        </w:rPr>
        <w:t>Assessment of risk of bias of included systematic reviews</w:t>
      </w:r>
    </w:p>
    <w:p w14:paraId="10C39032" w14:textId="0C905CA8" w:rsidR="008308E9" w:rsidRPr="0054775B" w:rsidRDefault="003F0319" w:rsidP="009E6F7F">
      <w:r w:rsidRPr="0054775B">
        <w:t>No reviews met inclusion criteria.</w:t>
      </w:r>
    </w:p>
    <w:p w14:paraId="6C625DBF" w14:textId="77777777" w:rsidR="00916962" w:rsidRPr="0054775B" w:rsidRDefault="00916962" w:rsidP="00107BEE">
      <w:pPr>
        <w:pStyle w:val="2024HEADER3"/>
        <w:numPr>
          <w:ilvl w:val="2"/>
          <w:numId w:val="17"/>
        </w:numPr>
        <w:rPr>
          <w:rFonts w:ascii="Aptos" w:hAnsi="Aptos"/>
        </w:rPr>
      </w:pPr>
      <w:r w:rsidRPr="0054775B">
        <w:rPr>
          <w:rFonts w:ascii="Aptos" w:hAnsi="Aptos"/>
        </w:rPr>
        <w:t xml:space="preserve">Results </w:t>
      </w:r>
    </w:p>
    <w:p w14:paraId="3B19EB3D" w14:textId="608AE954" w:rsidR="00916962" w:rsidRPr="0054775B" w:rsidRDefault="00916962" w:rsidP="009E6F7F">
      <w:r w:rsidRPr="0054775B">
        <w:t>No reviews met inclusion criteria.</w:t>
      </w:r>
    </w:p>
    <w:p w14:paraId="397F816A" w14:textId="77777777" w:rsidR="008308E9" w:rsidRPr="0054775B" w:rsidRDefault="008308E9" w:rsidP="009E6F7F">
      <w:pPr>
        <w:pStyle w:val="2024HEADER3"/>
        <w:rPr>
          <w:rFonts w:ascii="Aptos" w:hAnsi="Aptos"/>
        </w:rPr>
      </w:pPr>
      <w:r w:rsidRPr="0054775B">
        <w:rPr>
          <w:rFonts w:ascii="Aptos" w:hAnsi="Aptos"/>
        </w:rPr>
        <w:t>Summary of findings and evidence statements</w:t>
      </w:r>
    </w:p>
    <w:p w14:paraId="769AF7DB" w14:textId="29DC952F" w:rsidR="003F0319" w:rsidRPr="0054775B" w:rsidRDefault="003F0319" w:rsidP="009E6F7F">
      <w:r w:rsidRPr="0054775B">
        <w:t>The effect of magnesium on pain, physical function, pain interference/work-related limitations, patient's global assessment of condition, clinician's global assessment of condition, quality of life, arthritis self-efficacy in people with arthritis</w:t>
      </w:r>
      <w:r w:rsidR="00916962" w:rsidRPr="0054775B">
        <w:t>/</w:t>
      </w:r>
      <w:r w:rsidRPr="0054775B">
        <w:t>osteoarthritis is unknown.</w:t>
      </w:r>
    </w:p>
    <w:p w14:paraId="01B281A7" w14:textId="77777777" w:rsidR="00C80EAA" w:rsidRPr="0054775B" w:rsidRDefault="00C80EAA" w:rsidP="009E6F7F">
      <w:pPr>
        <w:rPr>
          <w:color w:val="C00000"/>
          <w:spacing w:val="-2"/>
          <w:w w:val="105"/>
          <w:sz w:val="28"/>
          <w:szCs w:val="28"/>
        </w:rPr>
      </w:pPr>
      <w:r w:rsidRPr="0054775B">
        <w:br w:type="page"/>
      </w:r>
    </w:p>
    <w:p w14:paraId="692A615B" w14:textId="5101F578" w:rsidR="00764746" w:rsidRPr="0054775B" w:rsidRDefault="00980972" w:rsidP="00F9201F">
      <w:pPr>
        <w:pStyle w:val="2024HEADER2"/>
      </w:pPr>
      <w:bookmarkStart w:id="117" w:name="_Toc179379627"/>
      <w:r w:rsidRPr="0054775B">
        <w:lastRenderedPageBreak/>
        <w:t xml:space="preserve">Hypertension, </w:t>
      </w:r>
      <w:r w:rsidR="0012437F" w:rsidRPr="0054775B">
        <w:t>O</w:t>
      </w:r>
      <w:r w:rsidRPr="0054775B">
        <w:t>mega-3</w:t>
      </w:r>
      <w:bookmarkEnd w:id="117"/>
      <w:r w:rsidR="00444421">
        <w:t xml:space="preserve"> fatty acids</w:t>
      </w:r>
    </w:p>
    <w:p w14:paraId="00B4EEA6" w14:textId="77777777" w:rsidR="008308E9" w:rsidRPr="0054775B" w:rsidRDefault="008308E9" w:rsidP="009E6F7F">
      <w:pPr>
        <w:pStyle w:val="2024HEADER3"/>
        <w:rPr>
          <w:rFonts w:ascii="Aptos" w:hAnsi="Aptos"/>
        </w:rPr>
      </w:pPr>
      <w:r w:rsidRPr="0054775B">
        <w:rPr>
          <w:rFonts w:ascii="Aptos" w:hAnsi="Aptos"/>
        </w:rPr>
        <w:t>Description of condition</w:t>
      </w:r>
    </w:p>
    <w:p w14:paraId="2B230285" w14:textId="55575B0F" w:rsidR="00704066" w:rsidRPr="0054775B" w:rsidRDefault="00D63E80" w:rsidP="009E6F7F">
      <w:r w:rsidRPr="0054775B">
        <w:t>Hypertension</w:t>
      </w:r>
      <w:r w:rsidR="00950FD9" w:rsidRPr="0054775B">
        <w:t xml:space="preserve"> </w:t>
      </w:r>
      <w:r w:rsidRPr="0054775B">
        <w:t>is a chronic condition characteri</w:t>
      </w:r>
      <w:r w:rsidR="00950FD9" w:rsidRPr="0054775B">
        <w:t>s</w:t>
      </w:r>
      <w:r w:rsidRPr="0054775B">
        <w:t>ed by persistently elevated blood pressure readings that put undue stress on the cardiovascular system</w:t>
      </w:r>
      <w:r w:rsidR="00D17C36" w:rsidRPr="0054775B">
        <w:t xml:space="preserve">, impacting an estimated 3 million people in Australia </w:t>
      </w:r>
      <w:r w:rsidR="00227084">
        <w:rPr>
          <w:noProof/>
        </w:rPr>
        <w:t>(171)</w:t>
      </w:r>
      <w:r w:rsidRPr="0054775B">
        <w:t xml:space="preserve">. Often called the "silent killer," hypertension frequently presents without overt symptoms until significant damage has occurred </w:t>
      </w:r>
      <w:r w:rsidR="00227084">
        <w:rPr>
          <w:noProof/>
        </w:rPr>
        <w:t>(172)</w:t>
      </w:r>
      <w:r w:rsidR="00704D78" w:rsidRPr="0054775B">
        <w:t>.</w:t>
      </w:r>
      <w:r w:rsidR="00663387" w:rsidRPr="0054775B">
        <w:t xml:space="preserve"> Over time, uncontrolled hypertension causes damage to blood vessels, accelerating atherosclerosis and putting individuals at heightened risk for heart disease, stroke, kidney failure, cognitive decline, and vision problems </w:t>
      </w:r>
      <w:r w:rsidR="00227084">
        <w:rPr>
          <w:noProof/>
        </w:rPr>
        <w:t>(172)</w:t>
      </w:r>
      <w:r w:rsidR="00663387" w:rsidRPr="0054775B">
        <w:t>.</w:t>
      </w:r>
      <w:r w:rsidR="00AE6D21" w:rsidRPr="0054775B">
        <w:t xml:space="preserve"> </w:t>
      </w:r>
      <w:r w:rsidR="000840F3" w:rsidRPr="0054775B">
        <w:t>P</w:t>
      </w:r>
      <w:r w:rsidR="00704066" w:rsidRPr="0054775B">
        <w:t xml:space="preserve">revalence increases with age, and other risk factors include family history, obesity, sedentary lifestyle, high salt intake, and excessive alcohol consumption </w:t>
      </w:r>
      <w:r w:rsidR="00227084">
        <w:rPr>
          <w:noProof/>
        </w:rPr>
        <w:t>(171)</w:t>
      </w:r>
      <w:r w:rsidR="00091E10" w:rsidRPr="0054775B">
        <w:t>.</w:t>
      </w:r>
    </w:p>
    <w:p w14:paraId="142A52A4" w14:textId="6F72C011" w:rsidR="007B70F3" w:rsidRPr="0054775B" w:rsidRDefault="00704066" w:rsidP="009E6F7F">
      <w:r w:rsidRPr="0054775B">
        <w:t>In Australia, h</w:t>
      </w:r>
      <w:r w:rsidR="007B70F3" w:rsidRPr="0054775B">
        <w:t xml:space="preserve">ypertension is diagnosed based on </w:t>
      </w:r>
      <w:r w:rsidRPr="0054775B">
        <w:t>published</w:t>
      </w:r>
      <w:r w:rsidR="00F91292" w:rsidRPr="0054775B">
        <w:t xml:space="preserve"> </w:t>
      </w:r>
      <w:r w:rsidRPr="0054775B">
        <w:t xml:space="preserve">guidelines </w:t>
      </w:r>
      <w:r w:rsidR="00227084">
        <w:rPr>
          <w:noProof/>
        </w:rPr>
        <w:t>(173)</w:t>
      </w:r>
      <w:r w:rsidRPr="0054775B">
        <w:t>.</w:t>
      </w:r>
      <w:r w:rsidR="007B70F3" w:rsidRPr="0054775B">
        <w:t xml:space="preserve"> </w:t>
      </w:r>
      <w:r w:rsidR="00AB3246" w:rsidRPr="0054775B">
        <w:t xml:space="preserve">Treatment approaches generally prioritise lifestyle modifications, including regular physical activity, a heart-healthy diet (low in salt, high in fruits and vegetables), weight management, and smoking cessation. </w:t>
      </w:r>
      <w:r w:rsidR="00FC42F8" w:rsidRPr="0054775B">
        <w:t>P</w:t>
      </w:r>
      <w:r w:rsidR="00AB3246" w:rsidRPr="0054775B">
        <w:t xml:space="preserve">harmacological therapy is </w:t>
      </w:r>
      <w:r w:rsidR="00FC42F8" w:rsidRPr="0054775B">
        <w:t>also used in certain instances</w:t>
      </w:r>
      <w:r w:rsidR="00A370EC" w:rsidRPr="0054775B">
        <w:t>, with choice</w:t>
      </w:r>
      <w:r w:rsidR="00AB3246" w:rsidRPr="0054775B">
        <w:t xml:space="preserve"> of medication depend</w:t>
      </w:r>
      <w:r w:rsidR="00A370EC" w:rsidRPr="0054775B">
        <w:t>ent</w:t>
      </w:r>
      <w:r w:rsidR="00AB3246" w:rsidRPr="0054775B">
        <w:t xml:space="preserve"> on individual patient factors, including </w:t>
      </w:r>
      <w:r w:rsidR="00A370EC" w:rsidRPr="0054775B">
        <w:t xml:space="preserve">indications, </w:t>
      </w:r>
      <w:r w:rsidR="00AB3246" w:rsidRPr="0054775B">
        <w:t>age, comorbidities, and potential side effects</w:t>
      </w:r>
      <w:r w:rsidR="00A370EC" w:rsidRPr="0054775B">
        <w:t xml:space="preserve"> </w:t>
      </w:r>
      <w:r w:rsidR="00227084">
        <w:rPr>
          <w:noProof/>
        </w:rPr>
        <w:t>(173)</w:t>
      </w:r>
      <w:r w:rsidR="00AB3246" w:rsidRPr="0054775B">
        <w:t>.</w:t>
      </w:r>
    </w:p>
    <w:p w14:paraId="5F8C0168" w14:textId="754F90B4" w:rsidR="002B0D54" w:rsidRPr="0054775B" w:rsidRDefault="002B0D54" w:rsidP="009E6F7F">
      <w:pPr>
        <w:rPr>
          <w:noProof/>
        </w:rPr>
      </w:pPr>
      <w:r w:rsidRPr="0054775B">
        <w:rPr>
          <w:noProof/>
        </w:rPr>
        <w:t xml:space="preserve">Blood pressure </w:t>
      </w:r>
      <w:r w:rsidR="00644C68" w:rsidRPr="0054775B">
        <w:rPr>
          <w:noProof/>
        </w:rPr>
        <w:t>includes</w:t>
      </w:r>
      <w:r w:rsidRPr="0054775B">
        <w:rPr>
          <w:noProof/>
        </w:rPr>
        <w:t xml:space="preserve"> systolic pressure </w:t>
      </w:r>
      <w:r w:rsidR="00644C68" w:rsidRPr="0054775B">
        <w:rPr>
          <w:noProof/>
        </w:rPr>
        <w:t>(w</w:t>
      </w:r>
      <w:r w:rsidRPr="0054775B">
        <w:rPr>
          <w:noProof/>
        </w:rPr>
        <w:t xml:space="preserve">hen </w:t>
      </w:r>
      <w:r w:rsidR="00644C68" w:rsidRPr="0054775B">
        <w:rPr>
          <w:noProof/>
        </w:rPr>
        <w:t>the</w:t>
      </w:r>
      <w:r w:rsidRPr="0054775B">
        <w:rPr>
          <w:noProof/>
        </w:rPr>
        <w:t xml:space="preserve"> heart pushes blood out</w:t>
      </w:r>
      <w:r w:rsidR="00644C68" w:rsidRPr="0054775B">
        <w:rPr>
          <w:noProof/>
        </w:rPr>
        <w:t>) and</w:t>
      </w:r>
      <w:r w:rsidRPr="0054775B">
        <w:rPr>
          <w:noProof/>
        </w:rPr>
        <w:t xml:space="preserve"> diastolic pressure </w:t>
      </w:r>
      <w:r w:rsidR="00644C68" w:rsidRPr="0054775B">
        <w:rPr>
          <w:noProof/>
        </w:rPr>
        <w:t>(</w:t>
      </w:r>
      <w:r w:rsidRPr="0054775B">
        <w:rPr>
          <w:noProof/>
        </w:rPr>
        <w:t xml:space="preserve">when </w:t>
      </w:r>
      <w:r w:rsidR="00644C68" w:rsidRPr="0054775B">
        <w:rPr>
          <w:noProof/>
        </w:rPr>
        <w:t>the</w:t>
      </w:r>
      <w:r w:rsidRPr="0054775B">
        <w:rPr>
          <w:noProof/>
        </w:rPr>
        <w:t xml:space="preserve"> heart rests between beats</w:t>
      </w:r>
      <w:r w:rsidR="00644C68" w:rsidRPr="0054775B">
        <w:rPr>
          <w:noProof/>
        </w:rPr>
        <w:t>). It is measured by millimetres of mercury (mmHg</w:t>
      </w:r>
      <w:r w:rsidR="007A02F1" w:rsidRPr="0054775B">
        <w:rPr>
          <w:noProof/>
        </w:rPr>
        <w:t>). Generally,</w:t>
      </w:r>
      <w:r w:rsidR="007A02F1" w:rsidRPr="0054775B" w:rsidDel="00AC6205">
        <w:rPr>
          <w:noProof/>
        </w:rPr>
        <w:t xml:space="preserve"> </w:t>
      </w:r>
      <w:r w:rsidR="007A02F1" w:rsidRPr="0054775B">
        <w:rPr>
          <w:noProof/>
        </w:rPr>
        <w:t xml:space="preserve">blood pressure is considered </w:t>
      </w:r>
      <w:r w:rsidR="00AC6205" w:rsidRPr="0054775B">
        <w:rPr>
          <w:noProof/>
        </w:rPr>
        <w:t xml:space="preserve">normal </w:t>
      </w:r>
      <w:r w:rsidR="007A02F1" w:rsidRPr="0054775B">
        <w:rPr>
          <w:noProof/>
        </w:rPr>
        <w:t>when systolic levels are less than 120mmHg and diastolic levels are less than 80mmHg.</w:t>
      </w:r>
      <w:r w:rsidR="00FE10FD" w:rsidRPr="0054775B">
        <w:rPr>
          <w:noProof/>
        </w:rPr>
        <w:t xml:space="preserve"> </w:t>
      </w:r>
      <w:r w:rsidR="000E7969" w:rsidRPr="0054775B">
        <w:rPr>
          <w:noProof/>
        </w:rPr>
        <w:t>H</w:t>
      </w:r>
      <w:r w:rsidR="00FE10FD" w:rsidRPr="0054775B">
        <w:rPr>
          <w:noProof/>
        </w:rPr>
        <w:t xml:space="preserve">ypertension </w:t>
      </w:r>
      <w:r w:rsidR="000E7969" w:rsidRPr="0054775B">
        <w:rPr>
          <w:noProof/>
        </w:rPr>
        <w:t>is considered</w:t>
      </w:r>
      <w:r w:rsidR="00FE10FD" w:rsidRPr="0054775B">
        <w:rPr>
          <w:noProof/>
        </w:rPr>
        <w:t xml:space="preserve"> when systolic levels are greater than 1</w:t>
      </w:r>
      <w:r w:rsidR="000E7969" w:rsidRPr="0054775B">
        <w:rPr>
          <w:noProof/>
        </w:rPr>
        <w:t>4</w:t>
      </w:r>
      <w:r w:rsidR="00FE10FD" w:rsidRPr="0054775B">
        <w:rPr>
          <w:noProof/>
        </w:rPr>
        <w:t xml:space="preserve">0mmHg </w:t>
      </w:r>
      <w:r w:rsidR="00FA0673" w:rsidRPr="0054775B">
        <w:rPr>
          <w:noProof/>
        </w:rPr>
        <w:t>or</w:t>
      </w:r>
      <w:r w:rsidR="00FE10FD" w:rsidRPr="0054775B">
        <w:rPr>
          <w:noProof/>
        </w:rPr>
        <w:t xml:space="preserve"> diastolic levels are </w:t>
      </w:r>
      <w:r w:rsidR="00FA0673" w:rsidRPr="0054775B">
        <w:rPr>
          <w:noProof/>
        </w:rPr>
        <w:t>greater</w:t>
      </w:r>
      <w:r w:rsidR="00FE10FD" w:rsidRPr="0054775B">
        <w:rPr>
          <w:noProof/>
        </w:rPr>
        <w:t xml:space="preserve"> than </w:t>
      </w:r>
      <w:r w:rsidR="000E7969" w:rsidRPr="0054775B">
        <w:rPr>
          <w:noProof/>
        </w:rPr>
        <w:t>9</w:t>
      </w:r>
      <w:r w:rsidR="00FE10FD" w:rsidRPr="0054775B">
        <w:rPr>
          <w:noProof/>
        </w:rPr>
        <w:t>0mmHg.</w:t>
      </w:r>
    </w:p>
    <w:p w14:paraId="79A7A35B" w14:textId="235B92A6" w:rsidR="00C36D2A" w:rsidRPr="0054775B" w:rsidRDefault="008308E9" w:rsidP="009E6F7F">
      <w:pPr>
        <w:pStyle w:val="2024HEADER3"/>
        <w:rPr>
          <w:rFonts w:ascii="Aptos" w:hAnsi="Aptos"/>
        </w:rPr>
      </w:pPr>
      <w:r w:rsidRPr="0054775B">
        <w:rPr>
          <w:rFonts w:ascii="Aptos" w:hAnsi="Aptos"/>
        </w:rPr>
        <w:t>Description of the intervention</w:t>
      </w:r>
    </w:p>
    <w:p w14:paraId="159509E4" w14:textId="12862555" w:rsidR="00C36D2A" w:rsidRPr="0054775B" w:rsidRDefault="00C36D2A" w:rsidP="009E6F7F">
      <w:r w:rsidRPr="0054775B">
        <w:t xml:space="preserve">Omega-3 fatty acids are a group of polyunsaturated fats essential for human health. There is evidence that Omega-3 </w:t>
      </w:r>
      <w:r w:rsidR="00F37EBD">
        <w:t xml:space="preserve">fatty acids </w:t>
      </w:r>
      <w:r w:rsidRPr="0054775B">
        <w:t xml:space="preserve">play crucial roles in various physiological processes, including brain function, inflammation, and cardiovascular health </w:t>
      </w:r>
      <w:r w:rsidR="00A61385">
        <w:rPr>
          <w:noProof/>
        </w:rPr>
        <w:t>(87, 88)</w:t>
      </w:r>
      <w:r w:rsidRPr="0054775B">
        <w:t>. Main types of omega-3 fatty acids important for dietary considerations include eicosapentaenoic acid (EPA), docosahexaenoic acid (DHA) and alpha-linolenic acid (</w:t>
      </w:r>
      <w:r w:rsidR="00A61385">
        <w:rPr>
          <w:noProof/>
        </w:rPr>
        <w:t>89)</w:t>
      </w:r>
      <w:r w:rsidRPr="0054775B">
        <w:t xml:space="preserve">. Common dietary sources of omega-3 fatty acids include fatty fish (salmon, mackerel, herring, sardines, anchovies, tuna), nuts and seeds (walnuts, chia seeds, flaxseeds) and plant-based oils (flaxseed oil, soybean oil). The recommended </w:t>
      </w:r>
      <w:r w:rsidR="002741B8" w:rsidRPr="0054775B">
        <w:t>d</w:t>
      </w:r>
      <w:r w:rsidR="002741B8">
        <w:t>ietary</w:t>
      </w:r>
      <w:r w:rsidRPr="0054775B">
        <w:t xml:space="preserve"> intake of omega-3 fatty acids varies depending on age, sex, and health status </w:t>
      </w:r>
      <w:r w:rsidR="00A61385">
        <w:rPr>
          <w:noProof/>
        </w:rPr>
        <w:t>(</w:t>
      </w:r>
      <w:r w:rsidR="002741B8">
        <w:rPr>
          <w:noProof/>
        </w:rPr>
        <w:t>19,</w:t>
      </w:r>
      <w:r w:rsidR="00A61385">
        <w:rPr>
          <w:noProof/>
        </w:rPr>
        <w:t>89)</w:t>
      </w:r>
      <w:r w:rsidRPr="0054775B">
        <w:t>. Omega-3 supplements are available without prescription, often taken as fish oil, krill oil, cod liver oil, or vegetarian products that contain algae oil.</w:t>
      </w:r>
    </w:p>
    <w:p w14:paraId="157B156E" w14:textId="21CF8D45" w:rsidR="000E3718" w:rsidRPr="0054775B" w:rsidRDefault="000E3718" w:rsidP="009E6F7F">
      <w:r w:rsidRPr="0054775B">
        <w:t xml:space="preserve">Omega-3 fatty acids may offer effects in managing hypertension through vascular tone regulation, anti-inflammatory properties, endothelial function enhancement, and </w:t>
      </w:r>
      <w:r w:rsidR="00D66A51" w:rsidRPr="0054775B">
        <w:t>enhanced</w:t>
      </w:r>
      <w:r w:rsidRPr="0054775B">
        <w:t xml:space="preserve"> </w:t>
      </w:r>
      <w:r w:rsidR="00D27CB5">
        <w:t>n</w:t>
      </w:r>
      <w:r w:rsidRPr="0054775B">
        <w:t xml:space="preserve">itric </w:t>
      </w:r>
      <w:r w:rsidR="00D27CB5">
        <w:t>o</w:t>
      </w:r>
      <w:r w:rsidRPr="0054775B">
        <w:t xml:space="preserve">xide (NO) </w:t>
      </w:r>
      <w:r w:rsidR="00D66A51" w:rsidRPr="0054775B">
        <w:t>p</w:t>
      </w:r>
      <w:r w:rsidRPr="0054775B">
        <w:t>roduction</w:t>
      </w:r>
      <w:r w:rsidR="004A19B5" w:rsidRPr="0054775B">
        <w:t xml:space="preserve"> </w:t>
      </w:r>
      <w:r w:rsidR="00227084">
        <w:rPr>
          <w:noProof/>
        </w:rPr>
        <w:t>(174)</w:t>
      </w:r>
      <w:r w:rsidR="00D66A51" w:rsidRPr="0054775B">
        <w:t>.</w:t>
      </w:r>
      <w:r w:rsidR="008E04CB" w:rsidRPr="0054775B">
        <w:t xml:space="preserve"> </w:t>
      </w:r>
      <w:r w:rsidR="00980018" w:rsidRPr="0054775B">
        <w:t xml:space="preserve">It is thought that these effects </w:t>
      </w:r>
      <w:r w:rsidRPr="0054775B">
        <w:t>primarily occur through the regulation of vascular tone</w:t>
      </w:r>
      <w:r w:rsidR="00980018" w:rsidRPr="0054775B">
        <w:t xml:space="preserve"> </w:t>
      </w:r>
      <w:r w:rsidR="00DE15C0" w:rsidRPr="0054775B">
        <w:t>as o</w:t>
      </w:r>
      <w:r w:rsidRPr="0054775B">
        <w:t>mega-3</w:t>
      </w:r>
      <w:r w:rsidR="0006407B">
        <w:t xml:space="preserve"> fatty acids</w:t>
      </w:r>
      <w:r w:rsidRPr="0054775B">
        <w:t xml:space="preserve"> may influence endothelium-dependent </w:t>
      </w:r>
      <w:r w:rsidR="00AF0F53" w:rsidRPr="0054775B">
        <w:t xml:space="preserve">(improve endothelial function) </w:t>
      </w:r>
      <w:r w:rsidRPr="0054775B">
        <w:t>and independent mechanisms, contributing to blood pressure control</w:t>
      </w:r>
      <w:r w:rsidR="004A19B5" w:rsidRPr="0054775B">
        <w:t xml:space="preserve"> </w:t>
      </w:r>
      <w:r w:rsidR="00227084">
        <w:rPr>
          <w:noProof/>
        </w:rPr>
        <w:t>(175)</w:t>
      </w:r>
      <w:r w:rsidRPr="0054775B">
        <w:t>.</w:t>
      </w:r>
      <w:r w:rsidR="00E877A3" w:rsidRPr="0054775B">
        <w:t xml:space="preserve"> </w:t>
      </w:r>
      <w:r w:rsidR="00C44374" w:rsidRPr="0054775B">
        <w:t>B</w:t>
      </w:r>
      <w:r w:rsidRPr="0054775B">
        <w:t xml:space="preserve">y reducing inflammation, </w:t>
      </w:r>
      <w:r w:rsidR="00C44374" w:rsidRPr="0054775B">
        <w:t>omega 3</w:t>
      </w:r>
      <w:r w:rsidR="0006407B">
        <w:t xml:space="preserve"> fatty acids </w:t>
      </w:r>
      <w:r w:rsidR="00C44374" w:rsidRPr="0054775B">
        <w:t>may</w:t>
      </w:r>
      <w:r w:rsidRPr="0054775B">
        <w:t xml:space="preserve"> indirectly impact blood vessel function and blood pressure</w:t>
      </w:r>
      <w:r w:rsidR="00C44374" w:rsidRPr="0054775B">
        <w:t xml:space="preserve">. </w:t>
      </w:r>
      <w:r w:rsidR="00D27CB5">
        <w:t>Nitric oxide</w:t>
      </w:r>
      <w:r w:rsidR="00D27CB5" w:rsidRPr="0054775B">
        <w:t xml:space="preserve"> </w:t>
      </w:r>
      <w:r w:rsidRPr="0054775B">
        <w:t>is a vasodilator, relaxing blood vessels and promoting healthy blood pressure levels</w:t>
      </w:r>
      <w:r w:rsidR="00AF0F53" w:rsidRPr="0054775B">
        <w:t xml:space="preserve">, Mg may </w:t>
      </w:r>
      <w:r w:rsidR="00555F6D" w:rsidRPr="0054775B">
        <w:t>enhance nitric oxide</w:t>
      </w:r>
      <w:r w:rsidR="00555F6D" w:rsidRPr="0054775B" w:rsidDel="00D27CB5">
        <w:t xml:space="preserve"> </w:t>
      </w:r>
      <w:r w:rsidR="00555F6D" w:rsidRPr="0054775B">
        <w:t>bioavailability</w:t>
      </w:r>
      <w:r w:rsidRPr="0054775B">
        <w:t>.</w:t>
      </w:r>
    </w:p>
    <w:p w14:paraId="403FA5A1" w14:textId="77777777" w:rsidR="008308E9" w:rsidRPr="0054775B" w:rsidRDefault="008308E9" w:rsidP="009E6F7F">
      <w:pPr>
        <w:pStyle w:val="2024HEADER3"/>
        <w:rPr>
          <w:rFonts w:ascii="Aptos" w:hAnsi="Aptos"/>
        </w:rPr>
      </w:pPr>
      <w:r w:rsidRPr="0054775B">
        <w:rPr>
          <w:rFonts w:ascii="Aptos" w:hAnsi="Aptos"/>
        </w:rPr>
        <w:t>Prioritised outcomes</w:t>
      </w:r>
    </w:p>
    <w:p w14:paraId="5BA9571D" w14:textId="13E468AA" w:rsidR="00184383" w:rsidRPr="0054775B" w:rsidRDefault="00184383" w:rsidP="009E6F7F">
      <w:r w:rsidRPr="0054775B">
        <w:lastRenderedPageBreak/>
        <w:t xml:space="preserve">Five priority outcomes were </w:t>
      </w:r>
      <w:r w:rsidR="007F404D" w:rsidRPr="0054775B">
        <w:t xml:space="preserve">identified by NTWC as part of the Outcome Prioritisation Exercise. These are listed below by order of priority. </w:t>
      </w:r>
      <w:r w:rsidRPr="0054775B">
        <w:t>Outcomes were rated by their importance to decision-making, with those rated 7-9 being critical for decision-making.</w:t>
      </w:r>
    </w:p>
    <w:p w14:paraId="033A06B8" w14:textId="5FCCABAA" w:rsidR="00764746" w:rsidRPr="0054775B" w:rsidRDefault="00C36D2A" w:rsidP="006F63D3">
      <w:pPr>
        <w:pStyle w:val="2024TABLECAPTION"/>
        <w:rPr>
          <w:rFonts w:ascii="Aptos" w:hAnsi="Aptos"/>
        </w:rPr>
      </w:pPr>
      <w:bookmarkStart w:id="118" w:name="_Toc185261616"/>
      <w:r w:rsidRPr="0054775B">
        <w:rPr>
          <w:rFonts w:ascii="Aptos" w:hAnsi="Aptos"/>
        </w:rPr>
        <w:t xml:space="preserve">Table </w:t>
      </w:r>
      <w:r w:rsidR="002F1F6C" w:rsidRPr="0054775B">
        <w:rPr>
          <w:rFonts w:ascii="Aptos" w:hAnsi="Aptos"/>
        </w:rPr>
        <w:fldChar w:fldCharType="begin"/>
      </w:r>
      <w:r w:rsidR="002F1F6C" w:rsidRPr="0054775B">
        <w:rPr>
          <w:rFonts w:ascii="Aptos" w:hAnsi="Aptos"/>
        </w:rPr>
        <w:instrText xml:space="preserve"> SEQ Table \* ARABIC </w:instrText>
      </w:r>
      <w:r w:rsidR="002F1F6C" w:rsidRPr="0054775B">
        <w:rPr>
          <w:rFonts w:ascii="Aptos" w:hAnsi="Aptos"/>
        </w:rPr>
        <w:fldChar w:fldCharType="separate"/>
      </w:r>
      <w:r w:rsidR="00CB3AAD" w:rsidRPr="0054775B" w:rsidDel="004E7C54">
        <w:rPr>
          <w:rFonts w:ascii="Aptos" w:hAnsi="Aptos"/>
          <w:noProof/>
        </w:rPr>
        <w:t>38</w:t>
      </w:r>
      <w:r w:rsidR="002F1F6C" w:rsidRPr="0054775B">
        <w:rPr>
          <w:rFonts w:ascii="Aptos" w:hAnsi="Aptos"/>
          <w:noProof/>
        </w:rPr>
        <w:fldChar w:fldCharType="end"/>
      </w:r>
      <w:r w:rsidRPr="0054775B">
        <w:rPr>
          <w:rFonts w:ascii="Aptos" w:hAnsi="Aptos"/>
        </w:rPr>
        <w:t xml:space="preserve">. </w:t>
      </w:r>
      <w:r w:rsidR="00764746" w:rsidRPr="0054775B">
        <w:rPr>
          <w:rFonts w:ascii="Aptos" w:hAnsi="Aptos"/>
        </w:rPr>
        <w:t xml:space="preserve">List of prioritised outcomes – </w:t>
      </w:r>
      <w:r w:rsidR="008951DF" w:rsidRPr="0054775B">
        <w:rPr>
          <w:rFonts w:ascii="Aptos" w:hAnsi="Aptos"/>
        </w:rPr>
        <w:t>h</w:t>
      </w:r>
      <w:r w:rsidR="0012437F" w:rsidRPr="0054775B">
        <w:rPr>
          <w:rFonts w:ascii="Aptos" w:hAnsi="Aptos"/>
        </w:rPr>
        <w:t xml:space="preserve">ypertension, </w:t>
      </w:r>
      <w:r w:rsidR="008951DF" w:rsidRPr="0054775B">
        <w:rPr>
          <w:rFonts w:ascii="Aptos" w:hAnsi="Aptos"/>
        </w:rPr>
        <w:t>o</w:t>
      </w:r>
      <w:r w:rsidR="0012437F" w:rsidRPr="0054775B">
        <w:rPr>
          <w:rFonts w:ascii="Aptos" w:hAnsi="Aptos"/>
        </w:rPr>
        <w:t>mega-3</w:t>
      </w:r>
      <w:r w:rsidR="0006407B">
        <w:rPr>
          <w:rFonts w:ascii="Aptos" w:hAnsi="Aptos"/>
        </w:rPr>
        <w:t xml:space="preserve"> </w:t>
      </w:r>
      <w:r w:rsidR="0006407B">
        <w:t>fatty acids</w:t>
      </w:r>
      <w:r w:rsidR="0012437F" w:rsidRPr="0054775B">
        <w:rPr>
          <w:rFonts w:ascii="Aptos" w:hAnsi="Aptos"/>
        </w:rPr>
        <w:t xml:space="preserve"> </w:t>
      </w:r>
      <w:r w:rsidR="00764746" w:rsidRPr="0054775B">
        <w:rPr>
          <w:rFonts w:ascii="Aptos" w:hAnsi="Aptos"/>
        </w:rPr>
        <w:t>(as assessed as part of the Outcome Prioritisation Exercise by NTWC).</w:t>
      </w:r>
      <w:bookmarkEnd w:id="118"/>
      <w:r w:rsidR="00764746" w:rsidRPr="0054775B">
        <w:rPr>
          <w:rFonts w:ascii="Aptos" w:hAnsi="Aptos"/>
        </w:rPr>
        <w:t> </w:t>
      </w:r>
    </w:p>
    <w:tbl>
      <w:tblPr>
        <w:tblW w:w="9209" w:type="dxa"/>
        <w:tblCellMar>
          <w:top w:w="28" w:type="dxa"/>
          <w:left w:w="57" w:type="dxa"/>
          <w:bottom w:w="28" w:type="dxa"/>
          <w:right w:w="28" w:type="dxa"/>
        </w:tblCellMar>
        <w:tblLook w:val="04A0" w:firstRow="1" w:lastRow="0" w:firstColumn="1" w:lastColumn="0" w:noHBand="0" w:noVBand="1"/>
      </w:tblPr>
      <w:tblGrid>
        <w:gridCol w:w="391"/>
        <w:gridCol w:w="1258"/>
        <w:gridCol w:w="1214"/>
        <w:gridCol w:w="741"/>
        <w:gridCol w:w="5605"/>
      </w:tblGrid>
      <w:tr w:rsidR="00A70B1C" w:rsidRPr="0054775B" w14:paraId="562A7D25" w14:textId="77777777" w:rsidTr="00816677">
        <w:trPr>
          <w:trHeight w:val="95"/>
        </w:trPr>
        <w:tc>
          <w:tcPr>
            <w:tcW w:w="0" w:type="auto"/>
            <w:vMerge w:val="restart"/>
            <w:tcBorders>
              <w:top w:val="single" w:sz="4" w:space="0" w:color="auto"/>
              <w:left w:val="single" w:sz="4" w:space="0" w:color="auto"/>
              <w:right w:val="single" w:sz="4" w:space="0" w:color="auto"/>
            </w:tcBorders>
            <w:shd w:val="clear" w:color="auto" w:fill="D9D9D9" w:themeFill="background1" w:themeFillShade="D9"/>
            <w:vAlign w:val="center"/>
            <w:hideMark/>
          </w:tcPr>
          <w:p w14:paraId="64207691" w14:textId="77777777" w:rsidR="00816677" w:rsidRPr="0054775B" w:rsidRDefault="00816677" w:rsidP="0084578E">
            <w:pPr>
              <w:pStyle w:val="2024TABLEHEADER"/>
            </w:pPr>
            <w:r w:rsidRPr="0054775B">
              <w:t> #</w:t>
            </w:r>
          </w:p>
        </w:tc>
        <w:tc>
          <w:tcPr>
            <w:tcW w:w="1258" w:type="dxa"/>
            <w:vMerge w:val="restart"/>
            <w:tcBorders>
              <w:top w:val="single" w:sz="4" w:space="0" w:color="auto"/>
              <w:left w:val="nil"/>
              <w:right w:val="single" w:sz="4" w:space="0" w:color="auto"/>
            </w:tcBorders>
            <w:shd w:val="clear" w:color="auto" w:fill="D9D9D9" w:themeFill="background1" w:themeFillShade="D9"/>
            <w:vAlign w:val="center"/>
            <w:hideMark/>
          </w:tcPr>
          <w:p w14:paraId="4C717B95" w14:textId="77777777" w:rsidR="00816677" w:rsidRPr="0054775B" w:rsidRDefault="00816677" w:rsidP="0084578E">
            <w:pPr>
              <w:pStyle w:val="2024TABLEHEADER"/>
              <w:rPr>
                <w:color w:val="000000"/>
              </w:rPr>
            </w:pPr>
            <w:r w:rsidRPr="0054775B">
              <w:t>Priority population</w:t>
            </w:r>
          </w:p>
        </w:tc>
        <w:tc>
          <w:tcPr>
            <w:tcW w:w="1214" w:type="dxa"/>
            <w:vMerge w:val="restart"/>
            <w:tcBorders>
              <w:top w:val="single" w:sz="4" w:space="0" w:color="auto"/>
              <w:left w:val="nil"/>
              <w:right w:val="single" w:sz="4" w:space="0" w:color="auto"/>
            </w:tcBorders>
            <w:shd w:val="clear" w:color="auto" w:fill="D9D9D9" w:themeFill="background1" w:themeFillShade="D9"/>
            <w:vAlign w:val="center"/>
            <w:hideMark/>
          </w:tcPr>
          <w:p w14:paraId="389EEAFB" w14:textId="77777777" w:rsidR="00816677" w:rsidRPr="0054775B" w:rsidRDefault="00816677" w:rsidP="0084578E">
            <w:pPr>
              <w:pStyle w:val="2024TABLEHEADER"/>
              <w:rPr>
                <w:color w:val="000000"/>
              </w:rPr>
            </w:pPr>
            <w:r w:rsidRPr="0054775B">
              <w:t xml:space="preserve">Priority intervention </w:t>
            </w:r>
          </w:p>
        </w:tc>
        <w:tc>
          <w:tcPr>
            <w:tcW w:w="6346" w:type="dxa"/>
            <w:gridSpan w:val="2"/>
            <w:tcBorders>
              <w:top w:val="single" w:sz="4" w:space="0" w:color="auto"/>
              <w:left w:val="nil"/>
              <w:bottom w:val="single" w:sz="4" w:space="0" w:color="auto"/>
              <w:right w:val="single" w:sz="4" w:space="0" w:color="auto"/>
            </w:tcBorders>
            <w:shd w:val="clear" w:color="auto" w:fill="D9D9D9" w:themeFill="background1" w:themeFillShade="D9"/>
            <w:vAlign w:val="center"/>
          </w:tcPr>
          <w:p w14:paraId="468E5D37" w14:textId="77777777" w:rsidR="00816677" w:rsidRPr="0054775B" w:rsidRDefault="00816677" w:rsidP="0084578E">
            <w:pPr>
              <w:pStyle w:val="2024TABLEHEADER"/>
            </w:pPr>
            <w:r w:rsidRPr="0054775B">
              <w:t>Priority outcomes</w:t>
            </w:r>
          </w:p>
        </w:tc>
      </w:tr>
      <w:tr w:rsidR="00A70B1C" w:rsidRPr="0054775B" w14:paraId="3AAC90C4" w14:textId="77777777" w:rsidTr="00816677">
        <w:trPr>
          <w:trHeight w:val="95"/>
        </w:trPr>
        <w:tc>
          <w:tcPr>
            <w:tcW w:w="0" w:type="auto"/>
            <w:vMerge/>
            <w:tcBorders>
              <w:left w:val="single" w:sz="4" w:space="0" w:color="auto"/>
              <w:bottom w:val="single" w:sz="4" w:space="0" w:color="auto"/>
              <w:right w:val="single" w:sz="4" w:space="0" w:color="auto"/>
            </w:tcBorders>
            <w:shd w:val="clear" w:color="auto" w:fill="D9D9D9" w:themeFill="background1" w:themeFillShade="D9"/>
            <w:vAlign w:val="center"/>
          </w:tcPr>
          <w:p w14:paraId="370FE25D" w14:textId="77777777" w:rsidR="00816677" w:rsidRPr="0054775B" w:rsidRDefault="00816677" w:rsidP="00816677">
            <w:pPr>
              <w:pStyle w:val="2024TABLEHEADER"/>
            </w:pPr>
          </w:p>
        </w:tc>
        <w:tc>
          <w:tcPr>
            <w:tcW w:w="1258" w:type="dxa"/>
            <w:vMerge/>
            <w:tcBorders>
              <w:left w:val="nil"/>
              <w:bottom w:val="single" w:sz="4" w:space="0" w:color="auto"/>
              <w:right w:val="single" w:sz="4" w:space="0" w:color="auto"/>
            </w:tcBorders>
            <w:shd w:val="clear" w:color="auto" w:fill="D9D9D9" w:themeFill="background1" w:themeFillShade="D9"/>
            <w:vAlign w:val="center"/>
          </w:tcPr>
          <w:p w14:paraId="776BCF2A" w14:textId="77777777" w:rsidR="00816677" w:rsidRPr="0054775B" w:rsidRDefault="00816677" w:rsidP="00816677">
            <w:pPr>
              <w:pStyle w:val="2024TABLEHEADER"/>
            </w:pPr>
          </w:p>
        </w:tc>
        <w:tc>
          <w:tcPr>
            <w:tcW w:w="1214" w:type="dxa"/>
            <w:vMerge/>
            <w:tcBorders>
              <w:left w:val="nil"/>
              <w:bottom w:val="single" w:sz="4" w:space="0" w:color="auto"/>
              <w:right w:val="single" w:sz="4" w:space="0" w:color="auto"/>
            </w:tcBorders>
            <w:shd w:val="clear" w:color="auto" w:fill="D9D9D9" w:themeFill="background1" w:themeFillShade="D9"/>
            <w:vAlign w:val="center"/>
          </w:tcPr>
          <w:p w14:paraId="7DF78619" w14:textId="77777777" w:rsidR="00816677" w:rsidRPr="0054775B" w:rsidRDefault="00816677" w:rsidP="00816677">
            <w:pPr>
              <w:pStyle w:val="2024TABLEHEADER"/>
            </w:pPr>
          </w:p>
        </w:tc>
        <w:tc>
          <w:tcPr>
            <w:tcW w:w="741" w:type="dxa"/>
            <w:tcBorders>
              <w:top w:val="nil"/>
              <w:left w:val="nil"/>
              <w:bottom w:val="single" w:sz="4" w:space="0" w:color="auto"/>
              <w:right w:val="single" w:sz="4" w:space="0" w:color="auto"/>
            </w:tcBorders>
            <w:shd w:val="clear" w:color="auto" w:fill="D9D9D9" w:themeFill="background1" w:themeFillShade="D9"/>
            <w:vAlign w:val="center"/>
          </w:tcPr>
          <w:p w14:paraId="1BE0796D" w14:textId="77777777" w:rsidR="00816677" w:rsidRPr="0054775B" w:rsidRDefault="00816677" w:rsidP="00816677">
            <w:pPr>
              <w:pStyle w:val="2024TABLEHEADER"/>
            </w:pPr>
            <w:r w:rsidRPr="0054775B">
              <w:t>NTWC Rating</w:t>
            </w:r>
          </w:p>
        </w:tc>
        <w:tc>
          <w:tcPr>
            <w:tcW w:w="5605" w:type="dxa"/>
            <w:tcBorders>
              <w:top w:val="nil"/>
              <w:left w:val="nil"/>
              <w:bottom w:val="single" w:sz="4" w:space="0" w:color="auto"/>
              <w:right w:val="single" w:sz="4" w:space="0" w:color="auto"/>
            </w:tcBorders>
            <w:shd w:val="clear" w:color="auto" w:fill="D9D9D9" w:themeFill="background1" w:themeFillShade="D9"/>
            <w:vAlign w:val="center"/>
          </w:tcPr>
          <w:p w14:paraId="0D9F0652" w14:textId="6AEDD8E9" w:rsidR="00816677" w:rsidRPr="0054775B" w:rsidRDefault="00816677" w:rsidP="00816677">
            <w:pPr>
              <w:pStyle w:val="2024TABLEHEADER"/>
            </w:pPr>
            <w:r w:rsidRPr="0054775B">
              <w:t xml:space="preserve">Outcome </w:t>
            </w:r>
            <w:r w:rsidR="00A8448B">
              <w:t>d</w:t>
            </w:r>
            <w:r w:rsidRPr="0054775B">
              <w:t>omain</w:t>
            </w:r>
          </w:p>
        </w:tc>
      </w:tr>
      <w:tr w:rsidR="002B69D4" w:rsidRPr="0054775B" w14:paraId="581E883F" w14:textId="77777777" w:rsidTr="001428E8">
        <w:trPr>
          <w:trHeight w:val="95"/>
        </w:trPr>
        <w:tc>
          <w:tcPr>
            <w:tcW w:w="0" w:type="auto"/>
            <w:vMerge w:val="restart"/>
            <w:tcBorders>
              <w:top w:val="single" w:sz="4" w:space="0" w:color="auto"/>
              <w:left w:val="single" w:sz="4" w:space="0" w:color="auto"/>
              <w:right w:val="single" w:sz="4" w:space="0" w:color="auto"/>
            </w:tcBorders>
            <w:shd w:val="clear" w:color="auto" w:fill="auto"/>
            <w:vAlign w:val="center"/>
          </w:tcPr>
          <w:p w14:paraId="093A8047" w14:textId="7712D1C0" w:rsidR="00816677" w:rsidRPr="0054775B" w:rsidRDefault="00816677" w:rsidP="0084578E">
            <w:pPr>
              <w:pStyle w:val="2024TABLETEXT"/>
              <w:framePr w:hSpace="0" w:wrap="auto" w:vAnchor="margin" w:yAlign="inline"/>
              <w:suppressOverlap w:val="0"/>
            </w:pPr>
            <w:r w:rsidRPr="0054775B">
              <w:t>12</w:t>
            </w:r>
          </w:p>
        </w:tc>
        <w:tc>
          <w:tcPr>
            <w:tcW w:w="1258" w:type="dxa"/>
            <w:vMerge w:val="restart"/>
            <w:tcBorders>
              <w:top w:val="single" w:sz="4" w:space="0" w:color="auto"/>
              <w:left w:val="nil"/>
              <w:right w:val="single" w:sz="4" w:space="0" w:color="auto"/>
            </w:tcBorders>
            <w:shd w:val="clear" w:color="auto" w:fill="auto"/>
            <w:vAlign w:val="center"/>
          </w:tcPr>
          <w:p w14:paraId="2457EBCD" w14:textId="0703DC0D" w:rsidR="00816677" w:rsidRPr="0054775B" w:rsidRDefault="00816677" w:rsidP="0084578E">
            <w:pPr>
              <w:pStyle w:val="2024TABLETEXT"/>
              <w:framePr w:hSpace="0" w:wrap="auto" w:vAnchor="margin" w:yAlign="inline"/>
              <w:suppressOverlap w:val="0"/>
            </w:pPr>
            <w:r w:rsidRPr="0054775B">
              <w:t>Hypertension</w:t>
            </w:r>
          </w:p>
        </w:tc>
        <w:tc>
          <w:tcPr>
            <w:tcW w:w="1214" w:type="dxa"/>
            <w:vMerge w:val="restart"/>
            <w:tcBorders>
              <w:top w:val="single" w:sz="4" w:space="0" w:color="auto"/>
              <w:left w:val="nil"/>
              <w:right w:val="single" w:sz="4" w:space="0" w:color="auto"/>
            </w:tcBorders>
            <w:shd w:val="clear" w:color="auto" w:fill="auto"/>
            <w:vAlign w:val="center"/>
          </w:tcPr>
          <w:p w14:paraId="5BFDE04D" w14:textId="479694A1" w:rsidR="00816677" w:rsidRPr="0054775B" w:rsidRDefault="00816677" w:rsidP="0084578E">
            <w:pPr>
              <w:pStyle w:val="2024TABLETEXT"/>
              <w:framePr w:hSpace="0" w:wrap="auto" w:vAnchor="margin" w:yAlign="inline"/>
              <w:suppressOverlap w:val="0"/>
            </w:pPr>
            <w:r w:rsidRPr="0054775B">
              <w:t>Omega-3</w:t>
            </w:r>
            <w:r w:rsidR="0006407B">
              <w:t xml:space="preserve"> fatty acids</w:t>
            </w:r>
          </w:p>
        </w:tc>
        <w:tc>
          <w:tcPr>
            <w:tcW w:w="741" w:type="dxa"/>
            <w:tcBorders>
              <w:top w:val="single" w:sz="4" w:space="0" w:color="auto"/>
              <w:left w:val="nil"/>
              <w:bottom w:val="single" w:sz="4" w:space="0" w:color="auto"/>
              <w:right w:val="single" w:sz="4" w:space="0" w:color="auto"/>
            </w:tcBorders>
            <w:shd w:val="clear" w:color="auto" w:fill="auto"/>
            <w:vAlign w:val="center"/>
          </w:tcPr>
          <w:p w14:paraId="3592D918" w14:textId="74006C6C" w:rsidR="00816677" w:rsidRPr="0054775B" w:rsidRDefault="00816677" w:rsidP="0084578E">
            <w:pPr>
              <w:pStyle w:val="2024TABLETEXT"/>
              <w:framePr w:hSpace="0" w:wrap="auto" w:vAnchor="margin" w:yAlign="inline"/>
              <w:suppressOverlap w:val="0"/>
            </w:pPr>
            <w:r w:rsidRPr="0054775B">
              <w:t>9</w:t>
            </w:r>
          </w:p>
        </w:tc>
        <w:tc>
          <w:tcPr>
            <w:tcW w:w="5605" w:type="dxa"/>
            <w:tcBorders>
              <w:top w:val="single" w:sz="4" w:space="0" w:color="auto"/>
              <w:left w:val="nil"/>
              <w:bottom w:val="single" w:sz="4" w:space="0" w:color="auto"/>
              <w:right w:val="single" w:sz="4" w:space="0" w:color="auto"/>
            </w:tcBorders>
            <w:shd w:val="clear" w:color="auto" w:fill="auto"/>
            <w:vAlign w:val="center"/>
          </w:tcPr>
          <w:p w14:paraId="5D9F2F81" w14:textId="4F4C5F4C" w:rsidR="00816677" w:rsidRPr="0054775B" w:rsidRDefault="00816677" w:rsidP="0084578E">
            <w:pPr>
              <w:pStyle w:val="2024TABLETEXT"/>
              <w:framePr w:hSpace="0" w:wrap="auto" w:vAnchor="margin" w:yAlign="inline"/>
              <w:suppressOverlap w:val="0"/>
            </w:pPr>
            <w:r w:rsidRPr="0054775B">
              <w:t>Blood pressure (systolic, diastolic)</w:t>
            </w:r>
          </w:p>
        </w:tc>
      </w:tr>
      <w:tr w:rsidR="002B69D4" w:rsidRPr="0054775B" w14:paraId="19771919" w14:textId="77777777" w:rsidTr="001428E8">
        <w:trPr>
          <w:trHeight w:val="95"/>
        </w:trPr>
        <w:tc>
          <w:tcPr>
            <w:tcW w:w="0" w:type="auto"/>
            <w:vMerge/>
            <w:tcBorders>
              <w:left w:val="single" w:sz="4" w:space="0" w:color="auto"/>
              <w:right w:val="single" w:sz="4" w:space="0" w:color="auto"/>
            </w:tcBorders>
            <w:shd w:val="clear" w:color="auto" w:fill="auto"/>
            <w:vAlign w:val="center"/>
          </w:tcPr>
          <w:p w14:paraId="265DC84F" w14:textId="77777777" w:rsidR="00816677" w:rsidRPr="0054775B" w:rsidRDefault="00816677" w:rsidP="0084578E">
            <w:pPr>
              <w:pStyle w:val="2024TABLETEXT"/>
              <w:framePr w:hSpace="0" w:wrap="auto" w:vAnchor="margin" w:yAlign="inline"/>
              <w:suppressOverlap w:val="0"/>
            </w:pPr>
          </w:p>
        </w:tc>
        <w:tc>
          <w:tcPr>
            <w:tcW w:w="1258" w:type="dxa"/>
            <w:vMerge/>
            <w:tcBorders>
              <w:left w:val="nil"/>
              <w:right w:val="single" w:sz="4" w:space="0" w:color="auto"/>
            </w:tcBorders>
            <w:shd w:val="clear" w:color="auto" w:fill="auto"/>
            <w:vAlign w:val="center"/>
          </w:tcPr>
          <w:p w14:paraId="76DA35FE" w14:textId="77777777" w:rsidR="00816677" w:rsidRPr="0054775B" w:rsidRDefault="00816677" w:rsidP="0084578E">
            <w:pPr>
              <w:pStyle w:val="2024TABLETEXT"/>
              <w:framePr w:hSpace="0" w:wrap="auto" w:vAnchor="margin" w:yAlign="inline"/>
              <w:suppressOverlap w:val="0"/>
            </w:pPr>
          </w:p>
        </w:tc>
        <w:tc>
          <w:tcPr>
            <w:tcW w:w="1214" w:type="dxa"/>
            <w:vMerge/>
            <w:tcBorders>
              <w:left w:val="nil"/>
              <w:right w:val="single" w:sz="4" w:space="0" w:color="auto"/>
            </w:tcBorders>
            <w:shd w:val="clear" w:color="auto" w:fill="auto"/>
            <w:vAlign w:val="center"/>
          </w:tcPr>
          <w:p w14:paraId="2C56536D" w14:textId="77777777" w:rsidR="00816677" w:rsidRPr="0054775B" w:rsidRDefault="00816677" w:rsidP="0084578E">
            <w:pPr>
              <w:pStyle w:val="2024TABLETEXT"/>
              <w:framePr w:hSpace="0" w:wrap="auto" w:vAnchor="margin" w:yAlign="inline"/>
              <w:suppressOverlap w:val="0"/>
            </w:pPr>
          </w:p>
        </w:tc>
        <w:tc>
          <w:tcPr>
            <w:tcW w:w="741" w:type="dxa"/>
            <w:tcBorders>
              <w:top w:val="nil"/>
              <w:left w:val="nil"/>
              <w:bottom w:val="single" w:sz="4" w:space="0" w:color="auto"/>
              <w:right w:val="single" w:sz="4" w:space="0" w:color="auto"/>
            </w:tcBorders>
            <w:shd w:val="clear" w:color="auto" w:fill="auto"/>
            <w:vAlign w:val="center"/>
          </w:tcPr>
          <w:p w14:paraId="06CB43B5" w14:textId="3FF0CE63" w:rsidR="00816677" w:rsidRPr="0054775B" w:rsidRDefault="00816677" w:rsidP="0084578E">
            <w:pPr>
              <w:pStyle w:val="2024TABLETEXT"/>
              <w:framePr w:hSpace="0" w:wrap="auto" w:vAnchor="margin" w:yAlign="inline"/>
              <w:suppressOverlap w:val="0"/>
            </w:pPr>
            <w:r w:rsidRPr="0054775B">
              <w:t>8</w:t>
            </w:r>
          </w:p>
        </w:tc>
        <w:tc>
          <w:tcPr>
            <w:tcW w:w="5605" w:type="dxa"/>
            <w:tcBorders>
              <w:top w:val="nil"/>
              <w:left w:val="nil"/>
              <w:bottom w:val="single" w:sz="4" w:space="0" w:color="auto"/>
              <w:right w:val="single" w:sz="4" w:space="0" w:color="auto"/>
            </w:tcBorders>
            <w:shd w:val="clear" w:color="auto" w:fill="auto"/>
            <w:vAlign w:val="center"/>
          </w:tcPr>
          <w:p w14:paraId="3EF138B1" w14:textId="142A7566" w:rsidR="00816677" w:rsidRPr="0054775B" w:rsidRDefault="00816677" w:rsidP="0084578E">
            <w:pPr>
              <w:pStyle w:val="2024TABLETEXT"/>
              <w:framePr w:hSpace="0" w:wrap="auto" w:vAnchor="margin" w:yAlign="inline"/>
              <w:suppressOverlap w:val="0"/>
            </w:pPr>
            <w:r w:rsidRPr="0054775B">
              <w:t>Quality of life</w:t>
            </w:r>
          </w:p>
        </w:tc>
      </w:tr>
      <w:tr w:rsidR="002B69D4" w:rsidRPr="0054775B" w14:paraId="4A2FBDC0" w14:textId="77777777" w:rsidTr="001428E8">
        <w:trPr>
          <w:trHeight w:val="95"/>
        </w:trPr>
        <w:tc>
          <w:tcPr>
            <w:tcW w:w="0" w:type="auto"/>
            <w:vMerge/>
            <w:tcBorders>
              <w:left w:val="single" w:sz="4" w:space="0" w:color="auto"/>
              <w:right w:val="single" w:sz="4" w:space="0" w:color="auto"/>
            </w:tcBorders>
            <w:shd w:val="clear" w:color="auto" w:fill="auto"/>
            <w:vAlign w:val="center"/>
          </w:tcPr>
          <w:p w14:paraId="090A9DE4" w14:textId="77777777" w:rsidR="00816677" w:rsidRPr="0054775B" w:rsidRDefault="00816677" w:rsidP="0084578E">
            <w:pPr>
              <w:pStyle w:val="2024TABLETEXT"/>
              <w:framePr w:hSpace="0" w:wrap="auto" w:vAnchor="margin" w:yAlign="inline"/>
              <w:suppressOverlap w:val="0"/>
            </w:pPr>
          </w:p>
        </w:tc>
        <w:tc>
          <w:tcPr>
            <w:tcW w:w="1258" w:type="dxa"/>
            <w:vMerge/>
            <w:tcBorders>
              <w:left w:val="nil"/>
              <w:right w:val="single" w:sz="4" w:space="0" w:color="auto"/>
            </w:tcBorders>
            <w:shd w:val="clear" w:color="auto" w:fill="auto"/>
            <w:vAlign w:val="center"/>
          </w:tcPr>
          <w:p w14:paraId="7757E414" w14:textId="77777777" w:rsidR="00816677" w:rsidRPr="0054775B" w:rsidRDefault="00816677" w:rsidP="0084578E">
            <w:pPr>
              <w:pStyle w:val="2024TABLETEXT"/>
              <w:framePr w:hSpace="0" w:wrap="auto" w:vAnchor="margin" w:yAlign="inline"/>
              <w:suppressOverlap w:val="0"/>
            </w:pPr>
          </w:p>
        </w:tc>
        <w:tc>
          <w:tcPr>
            <w:tcW w:w="1214" w:type="dxa"/>
            <w:vMerge/>
            <w:tcBorders>
              <w:left w:val="nil"/>
              <w:right w:val="single" w:sz="4" w:space="0" w:color="auto"/>
            </w:tcBorders>
            <w:shd w:val="clear" w:color="auto" w:fill="auto"/>
            <w:vAlign w:val="center"/>
          </w:tcPr>
          <w:p w14:paraId="01D5D293" w14:textId="77777777" w:rsidR="00816677" w:rsidRPr="0054775B" w:rsidRDefault="00816677" w:rsidP="0084578E">
            <w:pPr>
              <w:pStyle w:val="2024TABLETEXT"/>
              <w:framePr w:hSpace="0" w:wrap="auto" w:vAnchor="margin" w:yAlign="inline"/>
              <w:suppressOverlap w:val="0"/>
            </w:pPr>
          </w:p>
        </w:tc>
        <w:tc>
          <w:tcPr>
            <w:tcW w:w="741" w:type="dxa"/>
            <w:tcBorders>
              <w:top w:val="nil"/>
              <w:left w:val="nil"/>
              <w:bottom w:val="single" w:sz="4" w:space="0" w:color="auto"/>
              <w:right w:val="single" w:sz="4" w:space="0" w:color="auto"/>
            </w:tcBorders>
            <w:shd w:val="clear" w:color="auto" w:fill="auto"/>
            <w:vAlign w:val="center"/>
          </w:tcPr>
          <w:p w14:paraId="02FBF5E5" w14:textId="3BE67DD5" w:rsidR="00816677" w:rsidRPr="0054775B" w:rsidRDefault="00816677" w:rsidP="0084578E">
            <w:pPr>
              <w:pStyle w:val="2024TABLETEXT"/>
              <w:framePr w:hSpace="0" w:wrap="auto" w:vAnchor="margin" w:yAlign="inline"/>
              <w:suppressOverlap w:val="0"/>
            </w:pPr>
            <w:r w:rsidRPr="0054775B">
              <w:t>8</w:t>
            </w:r>
          </w:p>
        </w:tc>
        <w:tc>
          <w:tcPr>
            <w:tcW w:w="5605" w:type="dxa"/>
            <w:tcBorders>
              <w:top w:val="nil"/>
              <w:left w:val="nil"/>
              <w:bottom w:val="single" w:sz="4" w:space="0" w:color="auto"/>
              <w:right w:val="single" w:sz="4" w:space="0" w:color="auto"/>
            </w:tcBorders>
            <w:shd w:val="clear" w:color="auto" w:fill="auto"/>
            <w:vAlign w:val="center"/>
          </w:tcPr>
          <w:p w14:paraId="17151748" w14:textId="14761B90" w:rsidR="00816677" w:rsidRPr="0054775B" w:rsidRDefault="00816677" w:rsidP="0084578E">
            <w:pPr>
              <w:pStyle w:val="2024TABLETEXT"/>
              <w:framePr w:hSpace="0" w:wrap="auto" w:vAnchor="margin" w:yAlign="inline"/>
              <w:suppressOverlap w:val="0"/>
            </w:pPr>
            <w:r w:rsidRPr="0054775B">
              <w:t>Cardiovascular events (fatal or non</w:t>
            </w:r>
            <w:r w:rsidRPr="0054775B">
              <w:rPr>
                <w:rFonts w:ascii="Cambria Math" w:hAnsi="Cambria Math" w:cs="Cambria Math"/>
              </w:rPr>
              <w:t>‐</w:t>
            </w:r>
            <w:r w:rsidRPr="0054775B">
              <w:t>fatal myocardial infarction, excluding heart failure and if possible angina)</w:t>
            </w:r>
          </w:p>
        </w:tc>
      </w:tr>
      <w:tr w:rsidR="002B69D4" w:rsidRPr="0054775B" w14:paraId="50A866C3" w14:textId="77777777" w:rsidTr="001428E8">
        <w:trPr>
          <w:trHeight w:val="95"/>
        </w:trPr>
        <w:tc>
          <w:tcPr>
            <w:tcW w:w="0" w:type="auto"/>
            <w:vMerge/>
            <w:tcBorders>
              <w:left w:val="single" w:sz="4" w:space="0" w:color="auto"/>
              <w:right w:val="single" w:sz="4" w:space="0" w:color="auto"/>
            </w:tcBorders>
            <w:shd w:val="clear" w:color="auto" w:fill="auto"/>
            <w:vAlign w:val="center"/>
          </w:tcPr>
          <w:p w14:paraId="248F536B" w14:textId="77777777" w:rsidR="00816677" w:rsidRPr="0054775B" w:rsidRDefault="00816677" w:rsidP="0084578E">
            <w:pPr>
              <w:pStyle w:val="2024TABLETEXT"/>
              <w:framePr w:hSpace="0" w:wrap="auto" w:vAnchor="margin" w:yAlign="inline"/>
              <w:suppressOverlap w:val="0"/>
            </w:pPr>
          </w:p>
        </w:tc>
        <w:tc>
          <w:tcPr>
            <w:tcW w:w="1258" w:type="dxa"/>
            <w:vMerge/>
            <w:tcBorders>
              <w:left w:val="nil"/>
              <w:right w:val="single" w:sz="4" w:space="0" w:color="auto"/>
            </w:tcBorders>
            <w:shd w:val="clear" w:color="auto" w:fill="auto"/>
            <w:vAlign w:val="center"/>
          </w:tcPr>
          <w:p w14:paraId="297FF7E1" w14:textId="77777777" w:rsidR="00816677" w:rsidRPr="0054775B" w:rsidRDefault="00816677" w:rsidP="0084578E">
            <w:pPr>
              <w:pStyle w:val="2024TABLETEXT"/>
              <w:framePr w:hSpace="0" w:wrap="auto" w:vAnchor="margin" w:yAlign="inline"/>
              <w:suppressOverlap w:val="0"/>
            </w:pPr>
          </w:p>
        </w:tc>
        <w:tc>
          <w:tcPr>
            <w:tcW w:w="1214" w:type="dxa"/>
            <w:vMerge/>
            <w:tcBorders>
              <w:left w:val="nil"/>
              <w:right w:val="single" w:sz="4" w:space="0" w:color="auto"/>
            </w:tcBorders>
            <w:shd w:val="clear" w:color="auto" w:fill="auto"/>
            <w:vAlign w:val="center"/>
          </w:tcPr>
          <w:p w14:paraId="2D553B92" w14:textId="77777777" w:rsidR="00816677" w:rsidRPr="0054775B" w:rsidRDefault="00816677" w:rsidP="0084578E">
            <w:pPr>
              <w:pStyle w:val="2024TABLETEXT"/>
              <w:framePr w:hSpace="0" w:wrap="auto" w:vAnchor="margin" w:yAlign="inline"/>
              <w:suppressOverlap w:val="0"/>
            </w:pPr>
          </w:p>
        </w:tc>
        <w:tc>
          <w:tcPr>
            <w:tcW w:w="741" w:type="dxa"/>
            <w:tcBorders>
              <w:top w:val="nil"/>
              <w:left w:val="nil"/>
              <w:bottom w:val="single" w:sz="4" w:space="0" w:color="auto"/>
              <w:right w:val="single" w:sz="4" w:space="0" w:color="auto"/>
            </w:tcBorders>
            <w:shd w:val="clear" w:color="auto" w:fill="auto"/>
            <w:vAlign w:val="center"/>
          </w:tcPr>
          <w:p w14:paraId="39DB18CC" w14:textId="120C2C39" w:rsidR="00816677" w:rsidRPr="0054775B" w:rsidRDefault="00816677" w:rsidP="0084578E">
            <w:pPr>
              <w:pStyle w:val="2024TABLETEXT"/>
              <w:framePr w:hSpace="0" w:wrap="auto" w:vAnchor="margin" w:yAlign="inline"/>
              <w:suppressOverlap w:val="0"/>
            </w:pPr>
            <w:r w:rsidRPr="0054775B">
              <w:t>8</w:t>
            </w:r>
          </w:p>
        </w:tc>
        <w:tc>
          <w:tcPr>
            <w:tcW w:w="5605" w:type="dxa"/>
            <w:tcBorders>
              <w:top w:val="nil"/>
              <w:left w:val="nil"/>
              <w:bottom w:val="single" w:sz="4" w:space="0" w:color="auto"/>
              <w:right w:val="single" w:sz="4" w:space="0" w:color="auto"/>
            </w:tcBorders>
            <w:shd w:val="clear" w:color="auto" w:fill="auto"/>
            <w:vAlign w:val="center"/>
          </w:tcPr>
          <w:p w14:paraId="25530BE6" w14:textId="78093010" w:rsidR="00816677" w:rsidRPr="0054775B" w:rsidRDefault="00816677" w:rsidP="0084578E">
            <w:pPr>
              <w:pStyle w:val="2024TABLETEXT"/>
              <w:framePr w:hSpace="0" w:wrap="auto" w:vAnchor="margin" w:yAlign="inline"/>
              <w:suppressOverlap w:val="0"/>
            </w:pPr>
            <w:r w:rsidRPr="0054775B">
              <w:t>Cerebrovascular events (fatal or non</w:t>
            </w:r>
            <w:r w:rsidRPr="0054775B">
              <w:rPr>
                <w:rFonts w:ascii="Cambria Math" w:hAnsi="Cambria Math" w:cs="Cambria Math"/>
              </w:rPr>
              <w:t>‐</w:t>
            </w:r>
            <w:r w:rsidRPr="0054775B">
              <w:t>fatal strokes, excluding transient ischaemic attacks if possible)</w:t>
            </w:r>
          </w:p>
        </w:tc>
      </w:tr>
      <w:tr w:rsidR="00CA696B" w:rsidRPr="0054775B" w14:paraId="6E7115EC" w14:textId="77777777" w:rsidTr="001428E8">
        <w:trPr>
          <w:trHeight w:val="53"/>
        </w:trPr>
        <w:tc>
          <w:tcPr>
            <w:tcW w:w="0" w:type="auto"/>
            <w:vMerge/>
            <w:tcBorders>
              <w:left w:val="single" w:sz="4" w:space="0" w:color="auto"/>
              <w:bottom w:val="single" w:sz="4" w:space="0" w:color="auto"/>
              <w:right w:val="single" w:sz="4" w:space="0" w:color="auto"/>
            </w:tcBorders>
            <w:shd w:val="clear" w:color="auto" w:fill="auto"/>
            <w:vAlign w:val="center"/>
          </w:tcPr>
          <w:p w14:paraId="677B3642" w14:textId="77777777" w:rsidR="00816677" w:rsidRPr="0054775B" w:rsidRDefault="00816677" w:rsidP="0084578E">
            <w:pPr>
              <w:pStyle w:val="2024TABLETEXT"/>
              <w:framePr w:hSpace="0" w:wrap="auto" w:vAnchor="margin" w:yAlign="inline"/>
              <w:suppressOverlap w:val="0"/>
            </w:pPr>
          </w:p>
        </w:tc>
        <w:tc>
          <w:tcPr>
            <w:tcW w:w="1258" w:type="dxa"/>
            <w:vMerge/>
            <w:tcBorders>
              <w:left w:val="nil"/>
              <w:bottom w:val="single" w:sz="4" w:space="0" w:color="auto"/>
              <w:right w:val="single" w:sz="4" w:space="0" w:color="auto"/>
            </w:tcBorders>
            <w:shd w:val="clear" w:color="auto" w:fill="auto"/>
            <w:vAlign w:val="center"/>
          </w:tcPr>
          <w:p w14:paraId="7CDD5FA2" w14:textId="77777777" w:rsidR="00816677" w:rsidRPr="0054775B" w:rsidRDefault="00816677" w:rsidP="0084578E">
            <w:pPr>
              <w:pStyle w:val="2024TABLETEXT"/>
              <w:framePr w:hSpace="0" w:wrap="auto" w:vAnchor="margin" w:yAlign="inline"/>
              <w:suppressOverlap w:val="0"/>
            </w:pPr>
          </w:p>
        </w:tc>
        <w:tc>
          <w:tcPr>
            <w:tcW w:w="1214" w:type="dxa"/>
            <w:vMerge/>
            <w:tcBorders>
              <w:left w:val="nil"/>
              <w:bottom w:val="single" w:sz="4" w:space="0" w:color="auto"/>
              <w:right w:val="single" w:sz="4" w:space="0" w:color="auto"/>
            </w:tcBorders>
            <w:shd w:val="clear" w:color="auto" w:fill="auto"/>
            <w:vAlign w:val="center"/>
          </w:tcPr>
          <w:p w14:paraId="53AACC00" w14:textId="77777777" w:rsidR="00816677" w:rsidRPr="0054775B" w:rsidRDefault="00816677" w:rsidP="0084578E">
            <w:pPr>
              <w:pStyle w:val="2024TABLETEXT"/>
              <w:framePr w:hSpace="0" w:wrap="auto" w:vAnchor="margin" w:yAlign="inline"/>
              <w:suppressOverlap w:val="0"/>
            </w:pPr>
          </w:p>
        </w:tc>
        <w:tc>
          <w:tcPr>
            <w:tcW w:w="741" w:type="dxa"/>
            <w:tcBorders>
              <w:top w:val="nil"/>
              <w:left w:val="nil"/>
              <w:bottom w:val="single" w:sz="4" w:space="0" w:color="auto"/>
              <w:right w:val="single" w:sz="4" w:space="0" w:color="auto"/>
            </w:tcBorders>
            <w:shd w:val="clear" w:color="auto" w:fill="auto"/>
            <w:vAlign w:val="center"/>
          </w:tcPr>
          <w:p w14:paraId="5A610978" w14:textId="1385E035" w:rsidR="00816677" w:rsidRPr="0054775B" w:rsidRDefault="00816677" w:rsidP="0084578E">
            <w:pPr>
              <w:pStyle w:val="2024TABLETEXT"/>
              <w:framePr w:hSpace="0" w:wrap="auto" w:vAnchor="margin" w:yAlign="inline"/>
              <w:suppressOverlap w:val="0"/>
            </w:pPr>
            <w:r w:rsidRPr="0054775B">
              <w:t>7</w:t>
            </w:r>
          </w:p>
        </w:tc>
        <w:tc>
          <w:tcPr>
            <w:tcW w:w="5605" w:type="dxa"/>
            <w:tcBorders>
              <w:top w:val="nil"/>
              <w:left w:val="nil"/>
              <w:bottom w:val="single" w:sz="4" w:space="0" w:color="auto"/>
              <w:right w:val="single" w:sz="4" w:space="0" w:color="auto"/>
            </w:tcBorders>
            <w:shd w:val="clear" w:color="auto" w:fill="auto"/>
            <w:vAlign w:val="center"/>
          </w:tcPr>
          <w:p w14:paraId="57B528E5" w14:textId="11F7179D" w:rsidR="00816677" w:rsidRPr="0054775B" w:rsidRDefault="00816677" w:rsidP="0084578E">
            <w:pPr>
              <w:pStyle w:val="2024TABLETEXT"/>
              <w:framePr w:hSpace="0" w:wrap="auto" w:vAnchor="margin" w:yAlign="inline"/>
              <w:suppressOverlap w:val="0"/>
            </w:pPr>
            <w:r w:rsidRPr="0054775B">
              <w:t>Death from cardiovascular</w:t>
            </w:r>
          </w:p>
        </w:tc>
      </w:tr>
    </w:tbl>
    <w:p w14:paraId="3FF5992F" w14:textId="77777777" w:rsidR="00916962" w:rsidRPr="0054775B" w:rsidRDefault="00916962" w:rsidP="00916962">
      <w:pPr>
        <w:pStyle w:val="2024TABLEFOOTER"/>
      </w:pPr>
      <w:r w:rsidRPr="0054775B">
        <w:t>Abbreviations: BP=blood pressure; HRQoL=health-related quality of life; NTWC=Natural Therapies Working Group</w:t>
      </w:r>
    </w:p>
    <w:p w14:paraId="3D1630F9" w14:textId="42729559" w:rsidR="00764746" w:rsidRPr="0054775B" w:rsidRDefault="00916962" w:rsidP="006F63D3">
      <w:pPr>
        <w:pStyle w:val="2024TABLEFOOTER"/>
      </w:pPr>
      <w:r w:rsidRPr="0054775B">
        <w:t>*1-3 = of limited importance to decision making; 4-6 = important, but not critical, to decision making; 7-9 = critical for decision-making</w:t>
      </w:r>
    </w:p>
    <w:p w14:paraId="0AC66A9B" w14:textId="77777777" w:rsidR="00184383" w:rsidRPr="0054775B" w:rsidRDefault="00184383" w:rsidP="006870D8">
      <w:pPr>
        <w:pStyle w:val="2024HEADER3"/>
        <w:rPr>
          <w:rFonts w:ascii="Aptos" w:hAnsi="Aptos"/>
        </w:rPr>
      </w:pPr>
      <w:r w:rsidRPr="0054775B">
        <w:rPr>
          <w:rFonts w:ascii="Aptos" w:hAnsi="Aptos"/>
        </w:rPr>
        <w:t>Search findings</w:t>
      </w:r>
    </w:p>
    <w:p w14:paraId="78F47314" w14:textId="39725CC0" w:rsidR="00184383" w:rsidRPr="0054775B" w:rsidRDefault="00184383" w:rsidP="009E6F7F">
      <w:r w:rsidRPr="0054775B">
        <w:t xml:space="preserve">In total, </w:t>
      </w:r>
      <w:r w:rsidR="005F4F81" w:rsidRPr="0054775B">
        <w:t>1</w:t>
      </w:r>
      <w:r w:rsidR="008875F1" w:rsidRPr="0054775B">
        <w:t>,</w:t>
      </w:r>
      <w:r w:rsidR="005F4F81" w:rsidRPr="0054775B">
        <w:t>047</w:t>
      </w:r>
      <w:r w:rsidRPr="0054775B">
        <w:t xml:space="preserve"> </w:t>
      </w:r>
      <w:r w:rsidR="008E7717">
        <w:t>reviews</w:t>
      </w:r>
      <w:r w:rsidR="008E7717" w:rsidRPr="0054775B">
        <w:t xml:space="preserve"> </w:t>
      </w:r>
      <w:r w:rsidR="008875F1" w:rsidRPr="0054775B">
        <w:t xml:space="preserve">were screened following de-duplication. </w:t>
      </w:r>
      <w:r w:rsidR="00827399" w:rsidRPr="0054775B">
        <w:t>Ten</w:t>
      </w:r>
      <w:r w:rsidRPr="0054775B">
        <w:t xml:space="preserve"> </w:t>
      </w:r>
      <w:r w:rsidR="008E7717">
        <w:t>reviews</w:t>
      </w:r>
      <w:r w:rsidR="008E7717" w:rsidRPr="0054775B">
        <w:t xml:space="preserve"> </w:t>
      </w:r>
      <w:r w:rsidRPr="0054775B">
        <w:t>were provided by the Department’s call for evidence</w:t>
      </w:r>
      <w:r w:rsidR="002307EC" w:rsidRPr="0054775B">
        <w:t xml:space="preserve"> were relevant to the population-</w:t>
      </w:r>
      <w:r w:rsidR="0032560B">
        <w:t>supplement pair</w:t>
      </w:r>
      <w:r w:rsidR="002307EC" w:rsidRPr="0054775B">
        <w:t>;</w:t>
      </w:r>
      <w:r w:rsidR="005D7684" w:rsidRPr="0054775B">
        <w:t xml:space="preserve"> </w:t>
      </w:r>
      <w:r w:rsidR="0081133A" w:rsidRPr="0054775B">
        <w:t xml:space="preserve">five were duplicates already identified in database searching and </w:t>
      </w:r>
      <w:r w:rsidR="00CB1870" w:rsidRPr="0054775B">
        <w:t>five</w:t>
      </w:r>
      <w:r w:rsidR="0081133A" w:rsidRPr="0054775B">
        <w:t xml:space="preserve"> were screened (see Appendix </w:t>
      </w:r>
      <w:r w:rsidR="00BC6C8E">
        <w:t>C2</w:t>
      </w:r>
      <w:r w:rsidR="0081133A" w:rsidRPr="0054775B">
        <w:t xml:space="preserve">). </w:t>
      </w:r>
      <w:r w:rsidRPr="0054775B">
        <w:t xml:space="preserve">After title and abstract screening, </w:t>
      </w:r>
      <w:r w:rsidR="00A10EF9" w:rsidRPr="0054775B">
        <w:t>61</w:t>
      </w:r>
      <w:r w:rsidRPr="0054775B">
        <w:t xml:space="preserve"> </w:t>
      </w:r>
      <w:r w:rsidR="008E7717">
        <w:t>reviews</w:t>
      </w:r>
      <w:r w:rsidR="008E7717" w:rsidRPr="0054775B">
        <w:t xml:space="preserve"> </w:t>
      </w:r>
      <w:r w:rsidRPr="0054775B">
        <w:t xml:space="preserve">were assessed for eligibility at full-text screening, where: </w:t>
      </w:r>
    </w:p>
    <w:p w14:paraId="347479AD" w14:textId="5139AC8E" w:rsidR="00D906AF" w:rsidRPr="0054775B" w:rsidRDefault="00D906AF" w:rsidP="00107BEE">
      <w:pPr>
        <w:pStyle w:val="ListParagraph"/>
        <w:numPr>
          <w:ilvl w:val="0"/>
          <w:numId w:val="6"/>
        </w:numPr>
      </w:pPr>
      <w:r w:rsidRPr="0054775B">
        <w:t xml:space="preserve">14 </w:t>
      </w:r>
      <w:r w:rsidR="008E7717">
        <w:t>reviews</w:t>
      </w:r>
      <w:r w:rsidR="008E7717" w:rsidRPr="0054775B">
        <w:t xml:space="preserve"> </w:t>
      </w:r>
      <w:r w:rsidRPr="0054775B">
        <w:t>were ongoing (</w:t>
      </w:r>
      <w:r w:rsidR="007D2E60" w:rsidRPr="0054775B">
        <w:t xml:space="preserve">citation details recorded in Appendix </w:t>
      </w:r>
      <w:r w:rsidR="00BC6C8E">
        <w:t>C4</w:t>
      </w:r>
      <w:r w:rsidRPr="0054775B">
        <w:t>)</w:t>
      </w:r>
    </w:p>
    <w:p w14:paraId="54EFBE00" w14:textId="3836D30B" w:rsidR="00184383" w:rsidRPr="0054775B" w:rsidRDefault="00387C0C" w:rsidP="00107BEE">
      <w:pPr>
        <w:pStyle w:val="ListParagraph"/>
        <w:numPr>
          <w:ilvl w:val="0"/>
          <w:numId w:val="6"/>
        </w:numPr>
      </w:pPr>
      <w:r w:rsidRPr="0054775B">
        <w:t>44</w:t>
      </w:r>
      <w:r w:rsidR="00184383" w:rsidRPr="0054775B">
        <w:t xml:space="preserve"> </w:t>
      </w:r>
      <w:r w:rsidR="008E7717">
        <w:t>reviews</w:t>
      </w:r>
      <w:r w:rsidR="008E7717" w:rsidRPr="0054775B">
        <w:t xml:space="preserve"> </w:t>
      </w:r>
      <w:r w:rsidR="00184383" w:rsidRPr="0054775B">
        <w:t xml:space="preserve">did not meet inclusion criteria (citation details and </w:t>
      </w:r>
      <w:r w:rsidR="001332AF" w:rsidRPr="0054775B">
        <w:t xml:space="preserve">reasons for exclusion recorded in Appendix </w:t>
      </w:r>
      <w:r w:rsidR="00BC6C8E">
        <w:t>C1</w:t>
      </w:r>
      <w:r w:rsidR="00184383" w:rsidRPr="0054775B">
        <w:t xml:space="preserve">) </w:t>
      </w:r>
    </w:p>
    <w:p w14:paraId="4A113B73" w14:textId="56A7D93D" w:rsidR="00184383" w:rsidRPr="0054775B" w:rsidRDefault="00184383" w:rsidP="009E6F7F">
      <w:r w:rsidRPr="0054775B">
        <w:t xml:space="preserve">A final </w:t>
      </w:r>
      <w:r w:rsidR="00387C0C" w:rsidRPr="0054775B">
        <w:t>3</w:t>
      </w:r>
      <w:r w:rsidRPr="0054775B">
        <w:t xml:space="preserve"> </w:t>
      </w:r>
      <w:r w:rsidR="00104480" w:rsidRPr="0054775B">
        <w:t xml:space="preserve">reviews </w:t>
      </w:r>
      <w:r w:rsidRPr="0054775B">
        <w:t xml:space="preserve">met the inclusion criteria. Characteristics of included reviews are presented in </w:t>
      </w:r>
      <w:r w:rsidR="00FB0A70" w:rsidRPr="0054775B">
        <w:t xml:space="preserve">Appendix </w:t>
      </w:r>
      <w:r w:rsidR="00BC6C8E">
        <w:t>D</w:t>
      </w:r>
      <w:r w:rsidRPr="0054775B">
        <w:t>. A full PRISMA flowchart is presented below.</w:t>
      </w:r>
      <w:r w:rsidRPr="0054775B">
        <w:rPr>
          <w:highlight w:val="yellow"/>
        </w:rPr>
        <w:t xml:space="preserve"> </w:t>
      </w:r>
    </w:p>
    <w:p w14:paraId="48F973E6" w14:textId="640301E7" w:rsidR="00184383" w:rsidRPr="0054775B" w:rsidRDefault="00916962" w:rsidP="00916962">
      <w:pPr>
        <w:pStyle w:val="2024TABLECAPTION"/>
        <w:rPr>
          <w:rFonts w:ascii="Aptos" w:hAnsi="Aptos"/>
        </w:rPr>
      </w:pPr>
      <w:bookmarkStart w:id="119" w:name="_Toc178348015"/>
      <w:r w:rsidRPr="0054775B">
        <w:rPr>
          <w:rFonts w:ascii="Aptos" w:hAnsi="Aptos"/>
          <w:noProof/>
          <w:highlight w:val="yellow"/>
        </w:rPr>
        <w:lastRenderedPageBreak/>
        <mc:AlternateContent>
          <mc:Choice Requires="wpg">
            <w:drawing>
              <wp:anchor distT="0" distB="0" distL="114300" distR="114300" simplePos="0" relativeHeight="251658250" behindDoc="0" locked="0" layoutInCell="1" allowOverlap="1" wp14:anchorId="24E0134D" wp14:editId="1C98B2BB">
                <wp:simplePos x="0" y="0"/>
                <wp:positionH relativeFrom="column">
                  <wp:posOffset>0</wp:posOffset>
                </wp:positionH>
                <wp:positionV relativeFrom="paragraph">
                  <wp:posOffset>284480</wp:posOffset>
                </wp:positionV>
                <wp:extent cx="5545455" cy="4005580"/>
                <wp:effectExtent l="0" t="0" r="17145" b="7620"/>
                <wp:wrapSquare wrapText="bothSides"/>
                <wp:docPr id="640042343" name="Group 640042343"/>
                <wp:cNvGraphicFramePr/>
                <a:graphic xmlns:a="http://schemas.openxmlformats.org/drawingml/2006/main">
                  <a:graphicData uri="http://schemas.microsoft.com/office/word/2010/wordprocessingGroup">
                    <wpg:wgp>
                      <wpg:cNvGrpSpPr/>
                      <wpg:grpSpPr>
                        <a:xfrm>
                          <a:off x="0" y="0"/>
                          <a:ext cx="5545455" cy="4005580"/>
                          <a:chOff x="0" y="-59599"/>
                          <a:chExt cx="5536496" cy="4490586"/>
                        </a:xfrm>
                      </wpg:grpSpPr>
                      <wps:wsp>
                        <wps:cNvPr id="1189928665" name="Rectangle 1189928665"/>
                        <wps:cNvSpPr/>
                        <wps:spPr>
                          <a:xfrm>
                            <a:off x="3180705" y="425302"/>
                            <a:ext cx="2355790" cy="83947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F4362EC" w14:textId="77777777" w:rsidR="00184383" w:rsidRPr="000A34EA" w:rsidRDefault="00184383" w:rsidP="006F63D3">
                              <w:pPr>
                                <w:pStyle w:val="2024-PRISMA"/>
                              </w:pPr>
                              <w:r w:rsidRPr="000A34EA">
                                <w:t>Records removed before screening:</w:t>
                              </w:r>
                            </w:p>
                            <w:p w14:paraId="0736E12A" w14:textId="63174835" w:rsidR="00184383" w:rsidRPr="000A34EA" w:rsidRDefault="00184383" w:rsidP="006F63D3">
                              <w:pPr>
                                <w:pStyle w:val="2024-PRISMA"/>
                              </w:pPr>
                              <w:r w:rsidRPr="000A34EA">
                                <w:t xml:space="preserve">Duplicate records removed (n = </w:t>
                              </w:r>
                              <w:r w:rsidR="006D0BD5">
                                <w:t>23</w:t>
                              </w:r>
                              <w:r w:rsidR="0065752B">
                                <w:t>7</w:t>
                              </w:r>
                              <w:r w:rsidRPr="000A34EA">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9183641" name="Rectangle 59183641"/>
                        <wps:cNvSpPr/>
                        <wps:spPr>
                          <a:xfrm>
                            <a:off x="2987749" y="1509823"/>
                            <a:ext cx="1887220" cy="52641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0EE21D9" w14:textId="77777777" w:rsidR="00184383" w:rsidRPr="000A34EA" w:rsidRDefault="00184383" w:rsidP="006F63D3">
                              <w:pPr>
                                <w:pStyle w:val="2024-PRISMA"/>
                              </w:pPr>
                              <w:r w:rsidRPr="000A34EA">
                                <w:t>Records excluded</w:t>
                              </w:r>
                            </w:p>
                            <w:p w14:paraId="5A955214" w14:textId="4E5D678B" w:rsidR="00184383" w:rsidRPr="000A34EA" w:rsidRDefault="00184383" w:rsidP="006F63D3">
                              <w:pPr>
                                <w:pStyle w:val="2024-PRISMA"/>
                              </w:pPr>
                              <w:r w:rsidRPr="000A34EA">
                                <w:t xml:space="preserve">(n = </w:t>
                              </w:r>
                              <w:r w:rsidR="006D0BD5">
                                <w:t>98</w:t>
                              </w:r>
                              <w:r w:rsidR="005F4979">
                                <w:t>8</w:t>
                              </w:r>
                              <w:r w:rsidRPr="000A34EA">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00024120" name="Rectangle 2100024120"/>
                        <wps:cNvSpPr/>
                        <wps:spPr>
                          <a:xfrm>
                            <a:off x="2987749" y="2122583"/>
                            <a:ext cx="2351878" cy="74988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7E690EA" w14:textId="77777777" w:rsidR="00184383" w:rsidRDefault="00184383" w:rsidP="006F63D3">
                              <w:pPr>
                                <w:pStyle w:val="2024-PRISMA"/>
                              </w:pPr>
                              <w:r>
                                <w:t>Full-text unavailable</w:t>
                              </w:r>
                              <w:r w:rsidRPr="000A34EA">
                                <w:t xml:space="preserve"> (n</w:t>
                              </w:r>
                              <w:r>
                                <w:t xml:space="preserve"> = 0</w:t>
                              </w:r>
                              <w:r w:rsidRPr="000A34EA">
                                <w:t>)</w:t>
                              </w:r>
                            </w:p>
                            <w:p w14:paraId="43524C01" w14:textId="42C4FFEC" w:rsidR="00184383" w:rsidRPr="000A34EA" w:rsidRDefault="00184383" w:rsidP="006F63D3">
                              <w:pPr>
                                <w:pStyle w:val="2024-PRISMA"/>
                              </w:pPr>
                              <w:r>
                                <w:t>Ongoing study</w:t>
                              </w:r>
                              <w:r w:rsidRPr="000A34EA">
                                <w:t xml:space="preserve"> (n</w:t>
                              </w:r>
                              <w:r>
                                <w:t xml:space="preserve"> = </w:t>
                              </w:r>
                              <w:r w:rsidR="00097DC8">
                                <w:t>14</w:t>
                              </w:r>
                              <w:r w:rsidRPr="000A34EA">
                                <w:t>)</w:t>
                              </w:r>
                            </w:p>
                            <w:p w14:paraId="517C56BB" w14:textId="77777777" w:rsidR="001D2614" w:rsidRDefault="001D2614" w:rsidP="001D2614">
                              <w:pPr>
                                <w:pStyle w:val="2024-PRISMA"/>
                              </w:pPr>
                              <w:r>
                                <w:t>Conference abstracts (n = 0)</w:t>
                              </w:r>
                            </w:p>
                            <w:p w14:paraId="473AAAE3" w14:textId="2256E3D2" w:rsidR="00184383" w:rsidRPr="000A34EA" w:rsidRDefault="00F41ADB" w:rsidP="006F63D3">
                              <w:pPr>
                                <w:pStyle w:val="2024-PRISMA"/>
                              </w:pPr>
                              <w:r>
                                <w:t>Reviews</w:t>
                              </w:r>
                              <w:r w:rsidR="00184383" w:rsidRPr="000A34EA">
                                <w:t xml:space="preserve"> Awaiting Classification (n = </w:t>
                              </w:r>
                              <w:r w:rsidR="00184383">
                                <w:t>0</w:t>
                              </w:r>
                              <w:r w:rsidR="00184383" w:rsidRPr="000A34EA">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67568175" name="Rectangle 1867568175"/>
                        <wps:cNvSpPr/>
                        <wps:spPr>
                          <a:xfrm>
                            <a:off x="2987749" y="2955851"/>
                            <a:ext cx="2179320" cy="1411714"/>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4E0A847" w14:textId="1406CD77" w:rsidR="00184383" w:rsidRPr="000A34EA" w:rsidRDefault="00184383" w:rsidP="006F63D3">
                              <w:pPr>
                                <w:pStyle w:val="2024-PRISMA"/>
                              </w:pPr>
                              <w:r w:rsidRPr="000A34EA">
                                <w:t xml:space="preserve">Reports excluded (n = </w:t>
                              </w:r>
                              <w:r w:rsidR="00387C0C">
                                <w:t>44</w:t>
                              </w:r>
                              <w:r w:rsidRPr="000A34EA">
                                <w:t>):</w:t>
                              </w:r>
                            </w:p>
                            <w:p w14:paraId="39A4505C" w14:textId="45F2217A" w:rsidR="00184383" w:rsidRPr="000A34EA" w:rsidRDefault="00184383" w:rsidP="006F63D3">
                              <w:pPr>
                                <w:pStyle w:val="2024-PRISMA"/>
                              </w:pPr>
                              <w:r w:rsidRPr="000A34EA">
                                <w:t xml:space="preserve">Wrong study type (n = </w:t>
                              </w:r>
                              <w:r w:rsidR="00261AFD">
                                <w:t>8</w:t>
                              </w:r>
                              <w:r w:rsidRPr="000A34EA">
                                <w:t>)</w:t>
                              </w:r>
                            </w:p>
                            <w:p w14:paraId="6FABA579" w14:textId="19355785" w:rsidR="00184383" w:rsidRDefault="00184383" w:rsidP="006F63D3">
                              <w:pPr>
                                <w:pStyle w:val="2024-PRISMA"/>
                              </w:pPr>
                              <w:r>
                                <w:t xml:space="preserve">Wrong population (n = </w:t>
                              </w:r>
                              <w:r w:rsidR="00211C6D">
                                <w:t>14</w:t>
                              </w:r>
                              <w:r>
                                <w:t>)</w:t>
                              </w:r>
                            </w:p>
                            <w:p w14:paraId="26F7FACF" w14:textId="1C9931BC" w:rsidR="00184383" w:rsidRPr="000A34EA" w:rsidRDefault="00184383" w:rsidP="006F63D3">
                              <w:pPr>
                                <w:pStyle w:val="2024-PRISMA"/>
                              </w:pPr>
                              <w:r w:rsidRPr="000A34EA">
                                <w:t xml:space="preserve">Wrong intervention (n = </w:t>
                              </w:r>
                              <w:r w:rsidR="00097DC8">
                                <w:t>9)</w:t>
                              </w:r>
                            </w:p>
                            <w:p w14:paraId="125DA79A" w14:textId="3378CD7B" w:rsidR="00184383" w:rsidRPr="000A34EA" w:rsidRDefault="00184383" w:rsidP="006F63D3">
                              <w:pPr>
                                <w:pStyle w:val="2024-PRISMA"/>
                              </w:pPr>
                              <w:r w:rsidRPr="000A34EA">
                                <w:t xml:space="preserve">Wrong outcomes (n = </w:t>
                              </w:r>
                              <w:r w:rsidR="001C01C3">
                                <w:t>9</w:t>
                              </w:r>
                              <w:r w:rsidRPr="000A34EA">
                                <w:t>)</w:t>
                              </w:r>
                            </w:p>
                            <w:p w14:paraId="2DF36E9A" w14:textId="77777777" w:rsidR="00184383" w:rsidRPr="000A34EA" w:rsidRDefault="00184383" w:rsidP="006F63D3">
                              <w:pPr>
                                <w:pStyle w:val="2024-PRISMA"/>
                              </w:pPr>
                              <w:r>
                                <w:t>Does not meet minimum criteria for systematic review (n = 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4498267" name="Straight Arrow Connector 164498267"/>
                        <wps:cNvCnPr/>
                        <wps:spPr>
                          <a:xfrm>
                            <a:off x="2424224" y="975833"/>
                            <a:ext cx="756482"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037621317" name="Straight Arrow Connector 1037621317"/>
                        <wps:cNvCnPr/>
                        <wps:spPr>
                          <a:xfrm>
                            <a:off x="2392326" y="1720112"/>
                            <a:ext cx="563245"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584684929" name="Straight Arrow Connector 1584684929"/>
                        <wps:cNvCnPr/>
                        <wps:spPr>
                          <a:xfrm>
                            <a:off x="2402958" y="2421861"/>
                            <a:ext cx="563245"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842675881" name="Straight Arrow Connector 842675881"/>
                        <wps:cNvCnPr/>
                        <wps:spPr>
                          <a:xfrm>
                            <a:off x="2413591" y="3155507"/>
                            <a:ext cx="563245"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398858702" name="Flowchart: Alternate Process 31"/>
                        <wps:cNvSpPr/>
                        <wps:spPr>
                          <a:xfrm rot="16200000">
                            <a:off x="-309920" y="717673"/>
                            <a:ext cx="1009400" cy="323468"/>
                          </a:xfrm>
                          <a:prstGeom prst="flowChartAlternateProcess">
                            <a:avLst/>
                          </a:prstGeom>
                          <a:solidFill>
                            <a:schemeClr val="accent5">
                              <a:lumMod val="60000"/>
                              <a:lumOff val="40000"/>
                            </a:schemeClr>
                          </a:solidFill>
                          <a:ln>
                            <a:solidFill>
                              <a:schemeClr val="tx1"/>
                            </a:solidFill>
                          </a:ln>
                        </wps:spPr>
                        <wps:style>
                          <a:lnRef idx="2">
                            <a:schemeClr val="accent4">
                              <a:shade val="50000"/>
                            </a:schemeClr>
                          </a:lnRef>
                          <a:fillRef idx="1">
                            <a:schemeClr val="accent4"/>
                          </a:fillRef>
                          <a:effectRef idx="0">
                            <a:schemeClr val="accent4"/>
                          </a:effectRef>
                          <a:fontRef idx="minor">
                            <a:schemeClr val="lt1"/>
                          </a:fontRef>
                        </wps:style>
                        <wps:txbx>
                          <w:txbxContent>
                            <w:p w14:paraId="28000740" w14:textId="77777777" w:rsidR="00184383" w:rsidRPr="00537945" w:rsidRDefault="00184383" w:rsidP="006F63D3">
                              <w:pPr>
                                <w:pStyle w:val="2024-PRISMA"/>
                                <w:rPr>
                                  <w:b/>
                                </w:rPr>
                              </w:pPr>
                              <w:r w:rsidRPr="00537945">
                                <w:rPr>
                                  <w:b/>
                                </w:rPr>
                                <w:t>Identification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50885591" name="Flowchart: Alternate Process 32"/>
                        <wps:cNvSpPr/>
                        <wps:spPr>
                          <a:xfrm rot="16200000">
                            <a:off x="-826168" y="2320505"/>
                            <a:ext cx="2042008" cy="323465"/>
                          </a:xfrm>
                          <a:prstGeom prst="flowChartAlternateProcess">
                            <a:avLst/>
                          </a:prstGeom>
                          <a:solidFill>
                            <a:schemeClr val="accent5">
                              <a:lumMod val="60000"/>
                              <a:lumOff val="40000"/>
                            </a:schemeClr>
                          </a:solidFill>
                          <a:ln>
                            <a:solidFill>
                              <a:schemeClr val="tx1"/>
                            </a:solidFill>
                          </a:ln>
                        </wps:spPr>
                        <wps:style>
                          <a:lnRef idx="2">
                            <a:schemeClr val="accent4">
                              <a:shade val="50000"/>
                            </a:schemeClr>
                          </a:lnRef>
                          <a:fillRef idx="1">
                            <a:schemeClr val="accent4"/>
                          </a:fillRef>
                          <a:effectRef idx="0">
                            <a:schemeClr val="accent4"/>
                          </a:effectRef>
                          <a:fontRef idx="minor">
                            <a:schemeClr val="lt1"/>
                          </a:fontRef>
                        </wps:style>
                        <wps:txbx>
                          <w:txbxContent>
                            <w:p w14:paraId="6893450C" w14:textId="77777777" w:rsidR="00184383" w:rsidRPr="00537945" w:rsidRDefault="00184383" w:rsidP="00537945">
                              <w:pPr>
                                <w:pStyle w:val="2024-PRISMA"/>
                                <w:jc w:val="center"/>
                                <w:rPr>
                                  <w:b/>
                                </w:rPr>
                              </w:pPr>
                              <w:r w:rsidRPr="00537945">
                                <w:rPr>
                                  <w:b/>
                                </w:rPr>
                                <w:t>Screening</w:t>
                              </w:r>
                            </w:p>
                            <w:p w14:paraId="74CCDEC2" w14:textId="77777777" w:rsidR="00184383" w:rsidRPr="00537945" w:rsidRDefault="00184383" w:rsidP="00537945">
                              <w:pPr>
                                <w:pStyle w:val="2024-PRISMA"/>
                                <w:jc w:val="center"/>
                                <w:rPr>
                                  <w: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78473215" name="Flowchart: Alternate Process 33"/>
                        <wps:cNvSpPr/>
                        <wps:spPr>
                          <a:xfrm rot="16200000">
                            <a:off x="-218676" y="3863596"/>
                            <a:ext cx="819402" cy="315380"/>
                          </a:xfrm>
                          <a:prstGeom prst="flowChartAlternateProcess">
                            <a:avLst/>
                          </a:prstGeom>
                          <a:solidFill>
                            <a:schemeClr val="accent5">
                              <a:lumMod val="60000"/>
                              <a:lumOff val="40000"/>
                            </a:schemeClr>
                          </a:solidFill>
                          <a:ln>
                            <a:solidFill>
                              <a:schemeClr val="tx1"/>
                            </a:solidFill>
                          </a:ln>
                        </wps:spPr>
                        <wps:style>
                          <a:lnRef idx="2">
                            <a:schemeClr val="accent4">
                              <a:shade val="50000"/>
                            </a:schemeClr>
                          </a:lnRef>
                          <a:fillRef idx="1">
                            <a:schemeClr val="accent4"/>
                          </a:fillRef>
                          <a:effectRef idx="0">
                            <a:schemeClr val="accent4"/>
                          </a:effectRef>
                          <a:fontRef idx="minor">
                            <a:schemeClr val="lt1"/>
                          </a:fontRef>
                        </wps:style>
                        <wps:txbx>
                          <w:txbxContent>
                            <w:p w14:paraId="4D187130" w14:textId="77777777" w:rsidR="00184383" w:rsidRPr="00537945" w:rsidRDefault="00184383" w:rsidP="006F63D3">
                              <w:pPr>
                                <w:pStyle w:val="2024-PRISMA"/>
                                <w:rPr>
                                  <w:b/>
                                </w:rPr>
                              </w:pPr>
                              <w:r w:rsidRPr="00537945">
                                <w:rPr>
                                  <w:b/>
                                </w:rPr>
                                <w:t>Included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04594676" name="Straight Arrow Connector 1604594676"/>
                        <wps:cNvCnPr/>
                        <wps:spPr>
                          <a:xfrm>
                            <a:off x="1339407" y="1233377"/>
                            <a:ext cx="0" cy="28130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717326949" name="Straight Arrow Connector 717326949"/>
                        <wps:cNvCnPr/>
                        <wps:spPr>
                          <a:xfrm>
                            <a:off x="1339407" y="1967023"/>
                            <a:ext cx="0" cy="28130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063279272" name="Straight Arrow Connector 1063279272"/>
                        <wps:cNvCnPr/>
                        <wps:spPr>
                          <a:xfrm>
                            <a:off x="1350040" y="2690037"/>
                            <a:ext cx="0" cy="28130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064965748" name="Straight Arrow Connector 2064965748"/>
                        <wps:cNvCnPr/>
                        <wps:spPr>
                          <a:xfrm>
                            <a:off x="1350040" y="3028488"/>
                            <a:ext cx="0" cy="74612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426947225" name="Flowchart: Alternate Process 29"/>
                        <wps:cNvSpPr/>
                        <wps:spPr>
                          <a:xfrm>
                            <a:off x="0" y="-59599"/>
                            <a:ext cx="5536496" cy="351448"/>
                          </a:xfrm>
                          <a:prstGeom prst="flowChartAlternateProcess">
                            <a:avLst/>
                          </a:prstGeom>
                        </wps:spPr>
                        <wps:style>
                          <a:lnRef idx="2">
                            <a:schemeClr val="accent4">
                              <a:shade val="50000"/>
                            </a:schemeClr>
                          </a:lnRef>
                          <a:fillRef idx="1">
                            <a:schemeClr val="accent4"/>
                          </a:fillRef>
                          <a:effectRef idx="0">
                            <a:schemeClr val="accent4"/>
                          </a:effectRef>
                          <a:fontRef idx="minor">
                            <a:schemeClr val="lt1"/>
                          </a:fontRef>
                        </wps:style>
                        <wps:txbx>
                          <w:txbxContent>
                            <w:p w14:paraId="4CCA7709" w14:textId="75F5588E" w:rsidR="00184383" w:rsidRPr="00537945" w:rsidRDefault="00184383" w:rsidP="00537945">
                              <w:pPr>
                                <w:pStyle w:val="2024-PRISMA"/>
                                <w:jc w:val="center"/>
                                <w:rPr>
                                  <w:b/>
                                </w:rPr>
                              </w:pPr>
                              <w:r w:rsidRPr="00537945">
                                <w:rPr>
                                  <w:b/>
                                </w:rPr>
                                <w:t xml:space="preserve">Identification of </w:t>
                              </w:r>
                              <w:r w:rsidR="003C3210">
                                <w:rPr>
                                  <w:b/>
                                </w:rPr>
                                <w:t>reviews</w:t>
                              </w:r>
                              <w:r w:rsidR="003C3210" w:rsidRPr="00537945">
                                <w:rPr>
                                  <w:b/>
                                </w:rPr>
                                <w:t xml:space="preserve"> </w:t>
                              </w:r>
                              <w:r w:rsidRPr="00537945">
                                <w:rPr>
                                  <w:b/>
                                </w:rPr>
                                <w:t>via databases and registers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87277906" name="Rectangle 1487277906"/>
                        <wps:cNvSpPr/>
                        <wps:spPr>
                          <a:xfrm>
                            <a:off x="499730" y="425302"/>
                            <a:ext cx="2455839" cy="839972"/>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841FDFC" w14:textId="196CFB77" w:rsidR="00184383" w:rsidRPr="000A34EA" w:rsidRDefault="00184383" w:rsidP="006F63D3">
                              <w:pPr>
                                <w:pStyle w:val="2024-PRISMA"/>
                              </w:pPr>
                              <w:r w:rsidRPr="000A34EA">
                                <w:t>Records identified from:</w:t>
                              </w:r>
                            </w:p>
                            <w:p w14:paraId="36B9705C" w14:textId="01A281D1" w:rsidR="00184383" w:rsidRPr="000A34EA" w:rsidRDefault="00184383" w:rsidP="006F63D3">
                              <w:pPr>
                                <w:pStyle w:val="2024-PRISMA"/>
                              </w:pPr>
                              <w:r w:rsidRPr="000A34EA">
                                <w:t xml:space="preserve">Databases and registers (n = </w:t>
                              </w:r>
                              <w:r w:rsidR="006F2356">
                                <w:t>1273</w:t>
                              </w:r>
                              <w:r w:rsidRPr="000A34EA">
                                <w:t>)</w:t>
                              </w:r>
                            </w:p>
                            <w:p w14:paraId="03183BAA" w14:textId="54950093" w:rsidR="00184383" w:rsidRDefault="00184383" w:rsidP="006F63D3">
                              <w:pPr>
                                <w:pStyle w:val="2024-PRISMA"/>
                              </w:pPr>
                              <w:r w:rsidRPr="000A34EA">
                                <w:t>Manual</w:t>
                              </w:r>
                              <w:r>
                                <w:t xml:space="preserve"> or </w:t>
                              </w:r>
                              <w:r w:rsidRPr="000A34EA">
                                <w:t xml:space="preserve">citation </w:t>
                              </w:r>
                              <w:r>
                                <w:t xml:space="preserve">searching </w:t>
                              </w:r>
                              <w:r w:rsidRPr="000A34EA">
                                <w:t xml:space="preserve">(n = </w:t>
                              </w:r>
                              <w:r w:rsidR="005F4979">
                                <w:t>2</w:t>
                              </w:r>
                              <w:r w:rsidRPr="000A34EA">
                                <w:t>)</w:t>
                              </w:r>
                            </w:p>
                            <w:p w14:paraId="53B58BC0" w14:textId="0472277A" w:rsidR="00184383" w:rsidRPr="000A34EA" w:rsidRDefault="00184383" w:rsidP="006F63D3">
                              <w:pPr>
                                <w:pStyle w:val="2024-PRISMA"/>
                              </w:pPr>
                              <w:r>
                                <w:t>Department’s call for evidence</w:t>
                              </w:r>
                              <w:r w:rsidRPr="000A34EA">
                                <w:t xml:space="preserve"> (n = </w:t>
                              </w:r>
                              <w:r w:rsidR="00EC20C5">
                                <w:t>10</w:t>
                              </w:r>
                              <w:r w:rsidRPr="000A34EA">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07086840" name="Rectangle 707086840"/>
                        <wps:cNvSpPr/>
                        <wps:spPr>
                          <a:xfrm>
                            <a:off x="499731" y="1520456"/>
                            <a:ext cx="1887220" cy="52641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C059B0B" w14:textId="77777777" w:rsidR="00184383" w:rsidRPr="000A34EA" w:rsidRDefault="00184383" w:rsidP="006F63D3">
                              <w:pPr>
                                <w:pStyle w:val="2024-PRISMA"/>
                              </w:pPr>
                              <w:r w:rsidRPr="000A34EA">
                                <w:t>Records screened</w:t>
                              </w:r>
                            </w:p>
                            <w:p w14:paraId="1E19B476" w14:textId="10F5C507" w:rsidR="00184383" w:rsidRPr="000A34EA" w:rsidRDefault="00184383" w:rsidP="006F63D3">
                              <w:pPr>
                                <w:pStyle w:val="2024-PRISMA"/>
                              </w:pPr>
                              <w:r w:rsidRPr="000A34EA">
                                <w:t xml:space="preserve">(n = </w:t>
                              </w:r>
                              <w:r w:rsidR="006F2356">
                                <w:t>10</w:t>
                              </w:r>
                              <w:r w:rsidR="006D0BD5">
                                <w:t>4</w:t>
                              </w:r>
                              <w:r w:rsidR="005F4979">
                                <w:t>8</w:t>
                              </w:r>
                              <w:r w:rsidRPr="000A34EA">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04917890" name="Rectangle 1504917890"/>
                        <wps:cNvSpPr/>
                        <wps:spPr>
                          <a:xfrm>
                            <a:off x="499731" y="2977116"/>
                            <a:ext cx="1887220" cy="52641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4A45762" w14:textId="77777777" w:rsidR="00184383" w:rsidRPr="000A34EA" w:rsidRDefault="00184383" w:rsidP="006F63D3">
                              <w:pPr>
                                <w:pStyle w:val="2024-PRISMA"/>
                              </w:pPr>
                              <w:r w:rsidRPr="000A34EA">
                                <w:t>Reports assessed for eligibility</w:t>
                              </w:r>
                            </w:p>
                            <w:p w14:paraId="0FB92E69" w14:textId="23C275BC" w:rsidR="00184383" w:rsidRPr="000A34EA" w:rsidRDefault="00184383" w:rsidP="006F63D3">
                              <w:pPr>
                                <w:pStyle w:val="2024-PRISMA"/>
                              </w:pPr>
                              <w:r w:rsidRPr="000A34EA">
                                <w:t xml:space="preserve">(n = </w:t>
                              </w:r>
                              <w:r w:rsidR="00097DC8">
                                <w:t>4</w:t>
                              </w:r>
                              <w:r w:rsidR="0006797F">
                                <w:t>7</w:t>
                              </w:r>
                              <w:r w:rsidRPr="000A34EA">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14724972" name="Rectangle 1414724972"/>
                        <wps:cNvSpPr/>
                        <wps:spPr>
                          <a:xfrm>
                            <a:off x="499730" y="3774613"/>
                            <a:ext cx="1887220" cy="511952"/>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DFD9A0F" w14:textId="186C51DD" w:rsidR="00184383" w:rsidRPr="000A34EA" w:rsidRDefault="003C3210" w:rsidP="006F63D3">
                              <w:pPr>
                                <w:pStyle w:val="2024-PRISMA"/>
                              </w:pPr>
                              <w:r>
                                <w:t>Reviews</w:t>
                              </w:r>
                              <w:r w:rsidRPr="000A34EA">
                                <w:t xml:space="preserve"> </w:t>
                              </w:r>
                              <w:r w:rsidR="00184383" w:rsidRPr="000A34EA">
                                <w:t xml:space="preserve">included in </w:t>
                              </w:r>
                              <w:r>
                                <w:t>over</w:t>
                              </w:r>
                              <w:r w:rsidR="00184383" w:rsidRPr="000A34EA">
                                <w:t>view</w:t>
                              </w:r>
                            </w:p>
                            <w:p w14:paraId="550BE4C6" w14:textId="184949A9" w:rsidR="00184383" w:rsidRPr="000A34EA" w:rsidRDefault="00184383" w:rsidP="006F63D3">
                              <w:pPr>
                                <w:pStyle w:val="2024-PRISMA"/>
                              </w:pPr>
                              <w:r w:rsidRPr="000A34EA">
                                <w:t xml:space="preserve">(n = </w:t>
                              </w:r>
                              <w:r w:rsidR="00387C0C">
                                <w:t>3</w:t>
                              </w:r>
                              <w:r w:rsidRPr="000A34EA">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94614645" name="Rectangle 1094614645"/>
                        <wps:cNvSpPr/>
                        <wps:spPr>
                          <a:xfrm>
                            <a:off x="499731" y="2243470"/>
                            <a:ext cx="1887220" cy="52641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574702C" w14:textId="77777777" w:rsidR="00184383" w:rsidRPr="000A34EA" w:rsidRDefault="00184383" w:rsidP="006F63D3">
                              <w:pPr>
                                <w:pStyle w:val="2024-PRISMA"/>
                              </w:pPr>
                              <w:r w:rsidRPr="000A34EA">
                                <w:t>Reports sought for retrieval</w:t>
                              </w:r>
                            </w:p>
                            <w:p w14:paraId="0F003BD4" w14:textId="2CB09BE8" w:rsidR="00184383" w:rsidRPr="000A34EA" w:rsidRDefault="00184383" w:rsidP="006F63D3">
                              <w:pPr>
                                <w:pStyle w:val="2024-PRISMA"/>
                              </w:pPr>
                              <w:r w:rsidRPr="000A34EA">
                                <w:t xml:space="preserve">(n = </w:t>
                              </w:r>
                              <w:r w:rsidR="00097DC8">
                                <w:t>6</w:t>
                              </w:r>
                              <w:r w:rsidR="0006797F">
                                <w:t>1</w:t>
                              </w:r>
                              <w:r w:rsidRPr="000A34EA">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4E0134D" id="Group 640042343" o:spid="_x0000_s1268" style="position:absolute;margin-left:0;margin-top:22.4pt;width:436.65pt;height:315.4pt;z-index:251658250;mso-width-relative:margin;mso-height-relative:margin" coordorigin=",-595" coordsize="55364,449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">
                <v:rect id="Rectangle 1189928665" o:spid="_x0000_s1269" style="position:absolute;left:31807;top:4253;width:23557;height:83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" filled="f" strokecolor="black [3213]" strokeweight="1pt">
                  <v:textbox>
                    <w:txbxContent>
                      <w:p w14:paraId="6F4362EC" w14:textId="77777777" w:rsidR="00184383" w:rsidRPr="000A34EA" w:rsidRDefault="00184383" w:rsidP="006F63D3">
                        <w:pPr>
                          <w:pStyle w:val="2024-PRISMA"/>
                        </w:pPr>
                        <w:r w:rsidRPr="000A34EA">
                          <w:t>Records removed before screening:</w:t>
                        </w:r>
                      </w:p>
                      <w:p w14:paraId="0736E12A" w14:textId="63174835" w:rsidR="00184383" w:rsidRPr="000A34EA" w:rsidRDefault="00184383" w:rsidP="006F63D3">
                        <w:pPr>
                          <w:pStyle w:val="2024-PRISMA"/>
                        </w:pPr>
                        <w:r w:rsidRPr="000A34EA">
                          <w:t xml:space="preserve">Duplicate records removed (n = </w:t>
                        </w:r>
                        <w:r w:rsidR="006D0BD5">
                          <w:t>23</w:t>
                        </w:r>
                        <w:r w:rsidR="0065752B">
                          <w:t>7</w:t>
                        </w:r>
                        <w:r w:rsidRPr="000A34EA">
                          <w:t>)</w:t>
                        </w:r>
                      </w:p>
                    </w:txbxContent>
                  </v:textbox>
                </v:rect>
                <v:rect id="Rectangle 59183641" o:spid="_x0000_s1270" style="position:absolute;left:29877;top:15098;width:18872;height:52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" filled="f" strokecolor="black [3213]" strokeweight="1pt">
                  <v:textbox>
                    <w:txbxContent>
                      <w:p w14:paraId="50EE21D9" w14:textId="77777777" w:rsidR="00184383" w:rsidRPr="000A34EA" w:rsidRDefault="00184383" w:rsidP="006F63D3">
                        <w:pPr>
                          <w:pStyle w:val="2024-PRISMA"/>
                        </w:pPr>
                        <w:r w:rsidRPr="000A34EA">
                          <w:t>Records excluded</w:t>
                        </w:r>
                      </w:p>
                      <w:p w14:paraId="5A955214" w14:textId="4E5D678B" w:rsidR="00184383" w:rsidRPr="000A34EA" w:rsidRDefault="00184383" w:rsidP="006F63D3">
                        <w:pPr>
                          <w:pStyle w:val="2024-PRISMA"/>
                        </w:pPr>
                        <w:r w:rsidRPr="000A34EA">
                          <w:t xml:space="preserve">(n = </w:t>
                        </w:r>
                        <w:r w:rsidR="006D0BD5">
                          <w:t>98</w:t>
                        </w:r>
                        <w:r w:rsidR="005F4979">
                          <w:t>8</w:t>
                        </w:r>
                        <w:r w:rsidRPr="000A34EA">
                          <w:t>)</w:t>
                        </w:r>
                      </w:p>
                    </w:txbxContent>
                  </v:textbox>
                </v:rect>
                <v:rect id="Rectangle 2100024120" o:spid="_x0000_s1271" style="position:absolute;left:29877;top:21225;width:23519;height:74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" filled="f" strokecolor="black [3213]" strokeweight="1pt">
                  <v:textbox>
                    <w:txbxContent>
                      <w:p w14:paraId="57E690EA" w14:textId="77777777" w:rsidR="00184383" w:rsidRDefault="00184383" w:rsidP="006F63D3">
                        <w:pPr>
                          <w:pStyle w:val="2024-PRISMA"/>
                        </w:pPr>
                        <w:r>
                          <w:t>Full-text unavailable</w:t>
                        </w:r>
                        <w:r w:rsidRPr="000A34EA">
                          <w:t xml:space="preserve"> (n</w:t>
                        </w:r>
                        <w:r>
                          <w:t xml:space="preserve"> = 0</w:t>
                        </w:r>
                        <w:r w:rsidRPr="000A34EA">
                          <w:t>)</w:t>
                        </w:r>
                      </w:p>
                      <w:p w14:paraId="43524C01" w14:textId="42C4FFEC" w:rsidR="00184383" w:rsidRPr="000A34EA" w:rsidRDefault="00184383" w:rsidP="006F63D3">
                        <w:pPr>
                          <w:pStyle w:val="2024-PRISMA"/>
                        </w:pPr>
                        <w:r>
                          <w:t>Ongoing study</w:t>
                        </w:r>
                        <w:r w:rsidRPr="000A34EA">
                          <w:t xml:space="preserve"> (n</w:t>
                        </w:r>
                        <w:r>
                          <w:t xml:space="preserve"> = </w:t>
                        </w:r>
                        <w:r w:rsidR="00097DC8">
                          <w:t>14</w:t>
                        </w:r>
                        <w:r w:rsidRPr="000A34EA">
                          <w:t>)</w:t>
                        </w:r>
                      </w:p>
                      <w:p w14:paraId="517C56BB" w14:textId="77777777" w:rsidR="001D2614" w:rsidRDefault="001D2614" w:rsidP="001D2614">
                        <w:pPr>
                          <w:pStyle w:val="2024-PRISMA"/>
                        </w:pPr>
                        <w:r>
                          <w:t>Conference abstracts (n = 0)</w:t>
                        </w:r>
                      </w:p>
                      <w:p w14:paraId="473AAAE3" w14:textId="2256E3D2" w:rsidR="00184383" w:rsidRPr="000A34EA" w:rsidRDefault="00F41ADB" w:rsidP="006F63D3">
                        <w:pPr>
                          <w:pStyle w:val="2024-PRISMA"/>
                        </w:pPr>
                        <w:r>
                          <w:t>Reviews</w:t>
                        </w:r>
                        <w:r w:rsidR="00184383" w:rsidRPr="000A34EA">
                          <w:t xml:space="preserve"> Awaiting Classification (n = </w:t>
                        </w:r>
                        <w:r w:rsidR="00184383">
                          <w:t>0</w:t>
                        </w:r>
                        <w:r w:rsidR="00184383" w:rsidRPr="000A34EA">
                          <w:t>)</w:t>
                        </w:r>
                      </w:p>
                    </w:txbxContent>
                  </v:textbox>
                </v:rect>
                <v:rect id="Rectangle 1867568175" o:spid="_x0000_s1272" style="position:absolute;left:29877;top:29558;width:21793;height:1411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" filled="f" strokecolor="black [3213]" strokeweight="1pt">
                  <v:textbox>
                    <w:txbxContent>
                      <w:p w14:paraId="04E0A847" w14:textId="1406CD77" w:rsidR="00184383" w:rsidRPr="000A34EA" w:rsidRDefault="00184383" w:rsidP="006F63D3">
                        <w:pPr>
                          <w:pStyle w:val="2024-PRISMA"/>
                        </w:pPr>
                        <w:r w:rsidRPr="000A34EA">
                          <w:t xml:space="preserve">Reports excluded (n = </w:t>
                        </w:r>
                        <w:r w:rsidR="00387C0C">
                          <w:t>44</w:t>
                        </w:r>
                        <w:r w:rsidRPr="000A34EA">
                          <w:t>):</w:t>
                        </w:r>
                      </w:p>
                      <w:p w14:paraId="39A4505C" w14:textId="45F2217A" w:rsidR="00184383" w:rsidRPr="000A34EA" w:rsidRDefault="00184383" w:rsidP="006F63D3">
                        <w:pPr>
                          <w:pStyle w:val="2024-PRISMA"/>
                        </w:pPr>
                        <w:r w:rsidRPr="000A34EA">
                          <w:t xml:space="preserve">Wrong study type (n = </w:t>
                        </w:r>
                        <w:r w:rsidR="00261AFD">
                          <w:t>8</w:t>
                        </w:r>
                        <w:r w:rsidRPr="000A34EA">
                          <w:t>)</w:t>
                        </w:r>
                      </w:p>
                      <w:p w14:paraId="6FABA579" w14:textId="19355785" w:rsidR="00184383" w:rsidRDefault="00184383" w:rsidP="006F63D3">
                        <w:pPr>
                          <w:pStyle w:val="2024-PRISMA"/>
                        </w:pPr>
                        <w:r>
                          <w:t xml:space="preserve">Wrong population (n = </w:t>
                        </w:r>
                        <w:r w:rsidR="00211C6D">
                          <w:t>14</w:t>
                        </w:r>
                        <w:r>
                          <w:t>)</w:t>
                        </w:r>
                      </w:p>
                      <w:p w14:paraId="26F7FACF" w14:textId="1C9931BC" w:rsidR="00184383" w:rsidRPr="000A34EA" w:rsidRDefault="00184383" w:rsidP="006F63D3">
                        <w:pPr>
                          <w:pStyle w:val="2024-PRISMA"/>
                        </w:pPr>
                        <w:r w:rsidRPr="000A34EA">
                          <w:t xml:space="preserve">Wrong intervention (n = </w:t>
                        </w:r>
                        <w:r w:rsidR="00097DC8">
                          <w:t>9)</w:t>
                        </w:r>
                      </w:p>
                      <w:p w14:paraId="125DA79A" w14:textId="3378CD7B" w:rsidR="00184383" w:rsidRPr="000A34EA" w:rsidRDefault="00184383" w:rsidP="006F63D3">
                        <w:pPr>
                          <w:pStyle w:val="2024-PRISMA"/>
                        </w:pPr>
                        <w:r w:rsidRPr="000A34EA">
                          <w:t xml:space="preserve">Wrong outcomes (n = </w:t>
                        </w:r>
                        <w:r w:rsidR="001C01C3">
                          <w:t>9</w:t>
                        </w:r>
                        <w:r w:rsidRPr="000A34EA">
                          <w:t>)</w:t>
                        </w:r>
                      </w:p>
                      <w:p w14:paraId="2DF36E9A" w14:textId="77777777" w:rsidR="00184383" w:rsidRPr="000A34EA" w:rsidRDefault="00184383" w:rsidP="006F63D3">
                        <w:pPr>
                          <w:pStyle w:val="2024-PRISMA"/>
                        </w:pPr>
                        <w:r>
                          <w:t>Does not meet minimum criteria for systematic review (n = 4)</w:t>
                        </w:r>
                      </w:p>
                    </w:txbxContent>
                  </v:textbox>
                </v:rect>
                <v:shape id="Straight Arrow Connector 164498267" o:spid="_x0000_s1273" type="#_x0000_t32" style="position:absolute;left:24242;top:9758;width:756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" strokecolor="black [3213]" strokeweight=".5pt">
                  <v:stroke endarrow="block" joinstyle="miter"/>
                </v:shape>
                <v:shape id="Straight Arrow Connector 1037621317" o:spid="_x0000_s1274" type="#_x0000_t32" style="position:absolute;left:23923;top:17201;width:563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" strokecolor="black [3213]" strokeweight=".5pt">
                  <v:stroke endarrow="block" joinstyle="miter"/>
                </v:shape>
                <v:shape id="Straight Arrow Connector 1584684929" o:spid="_x0000_s1275" type="#_x0000_t32" style="position:absolute;left:24029;top:24218;width:563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" strokecolor="black [3213]" strokeweight=".5pt">
                  <v:stroke endarrow="block" joinstyle="miter"/>
                </v:shape>
                <v:shape id="Straight Arrow Connector 842675881" o:spid="_x0000_s1276" type="#_x0000_t32" style="position:absolute;left:24135;top:31555;width:563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" strokecolor="black [3213]" strokeweight=".5pt">
                  <v:stroke endarrow="block" joinstyle="miter"/>
                </v:shape>
                <v:shape id="Flowchart: Alternate Process 31" o:spid="_x0000_s1277" type="#_x0000_t176" style="position:absolute;left:-3099;top:7176;width:10094;height:3235;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" fillcolor="#9cc2e5 [1944]" strokecolor="black [3213]" strokeweight="1pt">
                  <v:textbox>
                    <w:txbxContent>
                      <w:p w14:paraId="28000740" w14:textId="77777777" w:rsidR="00184383" w:rsidRPr="00537945" w:rsidRDefault="00184383" w:rsidP="006F63D3">
                        <w:pPr>
                          <w:pStyle w:val="2024-PRISMA"/>
                          <w:rPr>
                            <w:b/>
                          </w:rPr>
                        </w:pPr>
                        <w:r w:rsidRPr="00537945">
                          <w:rPr>
                            <w:b/>
                          </w:rPr>
                          <w:t>Identification</w:t>
                        </w:r>
                      </w:p>
                    </w:txbxContent>
                  </v:textbox>
                </v:shape>
                <v:shape id="Flowchart: Alternate Process 32" o:spid="_x0000_s1278" type="#_x0000_t176" style="position:absolute;left:-8262;top:23205;width:20420;height:3234;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" fillcolor="#9cc2e5 [1944]" strokecolor="black [3213]" strokeweight="1pt">
                  <v:textbox>
                    <w:txbxContent>
                      <w:p w14:paraId="6893450C" w14:textId="77777777" w:rsidR="00184383" w:rsidRPr="00537945" w:rsidRDefault="00184383" w:rsidP="00537945">
                        <w:pPr>
                          <w:pStyle w:val="2024-PRISMA"/>
                          <w:jc w:val="center"/>
                          <w:rPr>
                            <w:b/>
                          </w:rPr>
                        </w:pPr>
                        <w:r w:rsidRPr="00537945">
                          <w:rPr>
                            <w:b/>
                          </w:rPr>
                          <w:t>Screening</w:t>
                        </w:r>
                      </w:p>
                      <w:p w14:paraId="74CCDEC2" w14:textId="77777777" w:rsidR="00184383" w:rsidRPr="00537945" w:rsidRDefault="00184383" w:rsidP="00537945">
                        <w:pPr>
                          <w:pStyle w:val="2024-PRISMA"/>
                          <w:jc w:val="center"/>
                          <w:rPr>
                            <w:b/>
                          </w:rPr>
                        </w:pPr>
                      </w:p>
                    </w:txbxContent>
                  </v:textbox>
                </v:shape>
                <v:shape id="Flowchart: Alternate Process 33" o:spid="_x0000_s1279" type="#_x0000_t176" style="position:absolute;left:-2187;top:38635;width:8194;height:3154;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" fillcolor="#9cc2e5 [1944]" strokecolor="black [3213]" strokeweight="1pt">
                  <v:textbox>
                    <w:txbxContent>
                      <w:p w14:paraId="4D187130" w14:textId="77777777" w:rsidR="00184383" w:rsidRPr="00537945" w:rsidRDefault="00184383" w:rsidP="006F63D3">
                        <w:pPr>
                          <w:pStyle w:val="2024-PRISMA"/>
                          <w:rPr>
                            <w:b/>
                          </w:rPr>
                        </w:pPr>
                        <w:r w:rsidRPr="00537945">
                          <w:rPr>
                            <w:b/>
                          </w:rPr>
                          <w:t>Included</w:t>
                        </w:r>
                      </w:p>
                    </w:txbxContent>
                  </v:textbox>
                </v:shape>
                <v:shape id="Straight Arrow Connector 1604594676" o:spid="_x0000_s1280" type="#_x0000_t32" style="position:absolute;left:13394;top:12333;width:0;height:281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" strokecolor="black [3213]" strokeweight=".5pt">
                  <v:stroke endarrow="block" joinstyle="miter"/>
                </v:shape>
                <v:shape id="Straight Arrow Connector 717326949" o:spid="_x0000_s1281" type="#_x0000_t32" style="position:absolute;left:13394;top:19670;width:0;height:281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" strokecolor="black [3213]" strokeweight=".5pt">
                  <v:stroke endarrow="block" joinstyle="miter"/>
                </v:shape>
                <v:shape id="Straight Arrow Connector 1063279272" o:spid="_x0000_s1282" type="#_x0000_t32" style="position:absolute;left:13500;top:26900;width:0;height:281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" strokecolor="black [3213]" strokeweight=".5pt">
                  <v:stroke endarrow="block" joinstyle="miter"/>
                </v:shape>
                <v:shape id="Straight Arrow Connector 2064965748" o:spid="_x0000_s1283" type="#_x0000_t32" style="position:absolute;left:13500;top:30284;width:0;height:746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" strokecolor="black [3213]" strokeweight=".5pt">
                  <v:stroke endarrow="block" joinstyle="miter"/>
                </v:shape>
                <v:shape id="Flowchart: Alternate Process 29" o:spid="_x0000_s1284" type="#_x0000_t176" style="position:absolute;top:-595;width:55364;height:35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" fillcolor="#ffc000 [3207]" strokecolor="#7f5f00 [1607]" strokeweight="1pt">
                  <v:textbox>
                    <w:txbxContent>
                      <w:p w14:paraId="4CCA7709" w14:textId="75F5588E" w:rsidR="00184383" w:rsidRPr="00537945" w:rsidRDefault="00184383" w:rsidP="00537945">
                        <w:pPr>
                          <w:pStyle w:val="2024-PRISMA"/>
                          <w:jc w:val="center"/>
                          <w:rPr>
                            <w:b/>
                          </w:rPr>
                        </w:pPr>
                        <w:r w:rsidRPr="00537945">
                          <w:rPr>
                            <w:b/>
                          </w:rPr>
                          <w:t xml:space="preserve">Identification of </w:t>
                        </w:r>
                        <w:r w:rsidR="003C3210">
                          <w:rPr>
                            <w:b/>
                          </w:rPr>
                          <w:t>reviews</w:t>
                        </w:r>
                        <w:r w:rsidR="003C3210" w:rsidRPr="00537945">
                          <w:rPr>
                            <w:b/>
                          </w:rPr>
                          <w:t xml:space="preserve"> </w:t>
                        </w:r>
                        <w:r w:rsidRPr="00537945">
                          <w:rPr>
                            <w:b/>
                          </w:rPr>
                          <w:t>via databases and registers</w:t>
                        </w:r>
                      </w:p>
                    </w:txbxContent>
                  </v:textbox>
                </v:shape>
                <v:rect id="Rectangle 1487277906" o:spid="_x0000_s1285" style="position:absolute;left:4997;top:4253;width:24558;height:83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" fillcolor="white [3212]" strokecolor="black [3213]" strokeweight="1pt">
                  <v:textbox>
                    <w:txbxContent>
                      <w:p w14:paraId="1841FDFC" w14:textId="196CFB77" w:rsidR="00184383" w:rsidRPr="000A34EA" w:rsidRDefault="00184383" w:rsidP="006F63D3">
                        <w:pPr>
                          <w:pStyle w:val="2024-PRISMA"/>
                        </w:pPr>
                        <w:r w:rsidRPr="000A34EA">
                          <w:t>Records identified from:</w:t>
                        </w:r>
                      </w:p>
                      <w:p w14:paraId="36B9705C" w14:textId="01A281D1" w:rsidR="00184383" w:rsidRPr="000A34EA" w:rsidRDefault="00184383" w:rsidP="006F63D3">
                        <w:pPr>
                          <w:pStyle w:val="2024-PRISMA"/>
                        </w:pPr>
                        <w:r w:rsidRPr="000A34EA">
                          <w:t xml:space="preserve">Databases and registers (n = </w:t>
                        </w:r>
                        <w:r w:rsidR="006F2356">
                          <w:t>1273</w:t>
                        </w:r>
                        <w:r w:rsidRPr="000A34EA">
                          <w:t>)</w:t>
                        </w:r>
                      </w:p>
                      <w:p w14:paraId="03183BAA" w14:textId="54950093" w:rsidR="00184383" w:rsidRDefault="00184383" w:rsidP="006F63D3">
                        <w:pPr>
                          <w:pStyle w:val="2024-PRISMA"/>
                        </w:pPr>
                        <w:r w:rsidRPr="000A34EA">
                          <w:t>Manual</w:t>
                        </w:r>
                        <w:r>
                          <w:t xml:space="preserve"> or </w:t>
                        </w:r>
                        <w:r w:rsidRPr="000A34EA">
                          <w:t xml:space="preserve">citation </w:t>
                        </w:r>
                        <w:r>
                          <w:t xml:space="preserve">searching </w:t>
                        </w:r>
                        <w:r w:rsidRPr="000A34EA">
                          <w:t xml:space="preserve">(n = </w:t>
                        </w:r>
                        <w:r w:rsidR="005F4979">
                          <w:t>2</w:t>
                        </w:r>
                        <w:r w:rsidRPr="000A34EA">
                          <w:t>)</w:t>
                        </w:r>
                      </w:p>
                      <w:p w14:paraId="53B58BC0" w14:textId="0472277A" w:rsidR="00184383" w:rsidRPr="000A34EA" w:rsidRDefault="00184383" w:rsidP="006F63D3">
                        <w:pPr>
                          <w:pStyle w:val="2024-PRISMA"/>
                        </w:pPr>
                        <w:r>
                          <w:t>Department’s call for evidence</w:t>
                        </w:r>
                        <w:r w:rsidRPr="000A34EA">
                          <w:t xml:space="preserve"> (n = </w:t>
                        </w:r>
                        <w:r w:rsidR="00EC20C5">
                          <w:t>10</w:t>
                        </w:r>
                        <w:r w:rsidRPr="000A34EA">
                          <w:t>)</w:t>
                        </w:r>
                      </w:p>
                    </w:txbxContent>
                  </v:textbox>
                </v:rect>
                <v:rect id="Rectangle 707086840" o:spid="_x0000_s1286" style="position:absolute;left:4997;top:15204;width:18872;height:52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" fillcolor="white [3212]" strokecolor="black [3213]" strokeweight="1pt">
                  <v:textbox>
                    <w:txbxContent>
                      <w:p w14:paraId="1C059B0B" w14:textId="77777777" w:rsidR="00184383" w:rsidRPr="000A34EA" w:rsidRDefault="00184383" w:rsidP="006F63D3">
                        <w:pPr>
                          <w:pStyle w:val="2024-PRISMA"/>
                        </w:pPr>
                        <w:r w:rsidRPr="000A34EA">
                          <w:t>Records screened</w:t>
                        </w:r>
                      </w:p>
                      <w:p w14:paraId="1E19B476" w14:textId="10F5C507" w:rsidR="00184383" w:rsidRPr="000A34EA" w:rsidRDefault="00184383" w:rsidP="006F63D3">
                        <w:pPr>
                          <w:pStyle w:val="2024-PRISMA"/>
                        </w:pPr>
                        <w:r w:rsidRPr="000A34EA">
                          <w:t xml:space="preserve">(n = </w:t>
                        </w:r>
                        <w:r w:rsidR="006F2356">
                          <w:t>10</w:t>
                        </w:r>
                        <w:r w:rsidR="006D0BD5">
                          <w:t>4</w:t>
                        </w:r>
                        <w:r w:rsidR="005F4979">
                          <w:t>8</w:t>
                        </w:r>
                        <w:r w:rsidRPr="000A34EA">
                          <w:t>)</w:t>
                        </w:r>
                      </w:p>
                    </w:txbxContent>
                  </v:textbox>
                </v:rect>
                <v:rect id="Rectangle 1504917890" o:spid="_x0000_s1287" style="position:absolute;left:4997;top:29771;width:18872;height:52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" fillcolor="white [3212]" strokecolor="black [3213]" strokeweight="1pt">
                  <v:textbox>
                    <w:txbxContent>
                      <w:p w14:paraId="64A45762" w14:textId="77777777" w:rsidR="00184383" w:rsidRPr="000A34EA" w:rsidRDefault="00184383" w:rsidP="006F63D3">
                        <w:pPr>
                          <w:pStyle w:val="2024-PRISMA"/>
                        </w:pPr>
                        <w:r w:rsidRPr="000A34EA">
                          <w:t>Reports assessed for eligibility</w:t>
                        </w:r>
                      </w:p>
                      <w:p w14:paraId="0FB92E69" w14:textId="23C275BC" w:rsidR="00184383" w:rsidRPr="000A34EA" w:rsidRDefault="00184383" w:rsidP="006F63D3">
                        <w:pPr>
                          <w:pStyle w:val="2024-PRISMA"/>
                        </w:pPr>
                        <w:r w:rsidRPr="000A34EA">
                          <w:t xml:space="preserve">(n = </w:t>
                        </w:r>
                        <w:r w:rsidR="00097DC8">
                          <w:t>4</w:t>
                        </w:r>
                        <w:r w:rsidR="0006797F">
                          <w:t>7</w:t>
                        </w:r>
                        <w:r w:rsidRPr="000A34EA">
                          <w:t>)</w:t>
                        </w:r>
                      </w:p>
                    </w:txbxContent>
                  </v:textbox>
                </v:rect>
                <v:rect id="Rectangle 1414724972" o:spid="_x0000_s1288" style="position:absolute;left:4997;top:37746;width:18872;height:51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" fillcolor="white [3212]" strokecolor="black [3213]" strokeweight="1pt">
                  <v:textbox>
                    <w:txbxContent>
                      <w:p w14:paraId="0DFD9A0F" w14:textId="186C51DD" w:rsidR="00184383" w:rsidRPr="000A34EA" w:rsidRDefault="003C3210" w:rsidP="006F63D3">
                        <w:pPr>
                          <w:pStyle w:val="2024-PRISMA"/>
                        </w:pPr>
                        <w:r>
                          <w:t>Reviews</w:t>
                        </w:r>
                        <w:r w:rsidRPr="000A34EA">
                          <w:t xml:space="preserve"> </w:t>
                        </w:r>
                        <w:r w:rsidR="00184383" w:rsidRPr="000A34EA">
                          <w:t xml:space="preserve">included in </w:t>
                        </w:r>
                        <w:r>
                          <w:t>over</w:t>
                        </w:r>
                        <w:r w:rsidR="00184383" w:rsidRPr="000A34EA">
                          <w:t>view</w:t>
                        </w:r>
                      </w:p>
                      <w:p w14:paraId="550BE4C6" w14:textId="184949A9" w:rsidR="00184383" w:rsidRPr="000A34EA" w:rsidRDefault="00184383" w:rsidP="006F63D3">
                        <w:pPr>
                          <w:pStyle w:val="2024-PRISMA"/>
                        </w:pPr>
                        <w:r w:rsidRPr="000A34EA">
                          <w:t xml:space="preserve">(n = </w:t>
                        </w:r>
                        <w:r w:rsidR="00387C0C">
                          <w:t>3</w:t>
                        </w:r>
                        <w:r w:rsidRPr="000A34EA">
                          <w:t>)</w:t>
                        </w:r>
                      </w:p>
                    </w:txbxContent>
                  </v:textbox>
                </v:rect>
                <v:rect id="Rectangle 1094614645" o:spid="_x0000_s1289" style="position:absolute;left:4997;top:22434;width:18872;height:52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" fillcolor="white [3212]" strokecolor="black [3213]" strokeweight="1pt">
                  <v:textbox>
                    <w:txbxContent>
                      <w:p w14:paraId="7574702C" w14:textId="77777777" w:rsidR="00184383" w:rsidRPr="000A34EA" w:rsidRDefault="00184383" w:rsidP="006F63D3">
                        <w:pPr>
                          <w:pStyle w:val="2024-PRISMA"/>
                        </w:pPr>
                        <w:r w:rsidRPr="000A34EA">
                          <w:t>Reports sought for retrieval</w:t>
                        </w:r>
                      </w:p>
                      <w:p w14:paraId="0F003BD4" w14:textId="2CB09BE8" w:rsidR="00184383" w:rsidRPr="000A34EA" w:rsidRDefault="00184383" w:rsidP="006F63D3">
                        <w:pPr>
                          <w:pStyle w:val="2024-PRISMA"/>
                        </w:pPr>
                        <w:r w:rsidRPr="000A34EA">
                          <w:t xml:space="preserve">(n = </w:t>
                        </w:r>
                        <w:r w:rsidR="00097DC8">
                          <w:t>6</w:t>
                        </w:r>
                        <w:r w:rsidR="0006797F">
                          <w:t>1</w:t>
                        </w:r>
                        <w:r w:rsidRPr="000A34EA">
                          <w:t>)</w:t>
                        </w:r>
                      </w:p>
                    </w:txbxContent>
                  </v:textbox>
                </v:rect>
                <w10:wrap type="square"/>
              </v:group>
            </w:pict>
          </mc:Fallback>
        </mc:AlternateContent>
      </w:r>
      <w:r w:rsidR="00184383" w:rsidRPr="0054775B">
        <w:rPr>
          <w:rFonts w:ascii="Aptos" w:hAnsi="Aptos"/>
        </w:rPr>
        <w:t xml:space="preserve">Figure </w:t>
      </w:r>
      <w:r w:rsidR="002F1F6C" w:rsidRPr="001428E8">
        <w:rPr>
          <w:b w:val="0"/>
          <w:i/>
        </w:rPr>
        <w:fldChar w:fldCharType="begin"/>
      </w:r>
      <w:r w:rsidR="002F1F6C" w:rsidRPr="0054775B">
        <w:rPr>
          <w:rFonts w:ascii="Aptos" w:hAnsi="Aptos"/>
        </w:rPr>
        <w:instrText xml:space="preserve"> SEQ Figure \* ARABIC </w:instrText>
      </w:r>
      <w:r w:rsidR="002F1F6C" w:rsidRPr="001428E8">
        <w:rPr>
          <w:b w:val="0"/>
          <w:i/>
        </w:rPr>
        <w:fldChar w:fldCharType="separate"/>
      </w:r>
      <w:r w:rsidR="003D4896">
        <w:rPr>
          <w:noProof/>
        </w:rPr>
        <w:t>12</w:t>
      </w:r>
      <w:r w:rsidR="002F1F6C" w:rsidRPr="001428E8">
        <w:rPr>
          <w:b w:val="0"/>
          <w:i/>
        </w:rPr>
        <w:fldChar w:fldCharType="end"/>
      </w:r>
      <w:r w:rsidR="00184383" w:rsidRPr="0054775B">
        <w:rPr>
          <w:rFonts w:ascii="Aptos" w:hAnsi="Aptos"/>
        </w:rPr>
        <w:t xml:space="preserve">. PRISMA flowchart – </w:t>
      </w:r>
      <w:r w:rsidR="008951DF" w:rsidRPr="0054775B">
        <w:rPr>
          <w:rFonts w:ascii="Aptos" w:hAnsi="Aptos"/>
        </w:rPr>
        <w:t>hypertension, omega-3</w:t>
      </w:r>
      <w:r w:rsidR="0006407B" w:rsidRPr="0006407B">
        <w:t xml:space="preserve"> </w:t>
      </w:r>
      <w:r w:rsidR="0006407B">
        <w:t>fatty acids</w:t>
      </w:r>
      <w:r w:rsidR="00184383" w:rsidRPr="0054775B">
        <w:rPr>
          <w:rFonts w:ascii="Aptos" w:hAnsi="Aptos"/>
        </w:rPr>
        <w:t>.</w:t>
      </w:r>
      <w:bookmarkEnd w:id="119"/>
    </w:p>
    <w:p w14:paraId="78AD86B1" w14:textId="77777777" w:rsidR="00916962" w:rsidRPr="0054775B" w:rsidRDefault="00916962" w:rsidP="00916962">
      <w:pPr>
        <w:pStyle w:val="2024TABLECAPTION"/>
        <w:rPr>
          <w:rFonts w:ascii="Aptos" w:hAnsi="Aptos"/>
        </w:rPr>
      </w:pPr>
    </w:p>
    <w:p w14:paraId="2F44757E" w14:textId="77777777" w:rsidR="00545D01" w:rsidRPr="0054775B" w:rsidRDefault="00545D01" w:rsidP="009E6F7F">
      <w:pPr>
        <w:pStyle w:val="2024HEADER3"/>
        <w:rPr>
          <w:rFonts w:ascii="Aptos" w:hAnsi="Aptos"/>
        </w:rPr>
      </w:pPr>
      <w:r w:rsidRPr="0054775B">
        <w:rPr>
          <w:rFonts w:ascii="Aptos" w:hAnsi="Aptos"/>
        </w:rPr>
        <w:t>Description of included reviews</w:t>
      </w:r>
    </w:p>
    <w:p w14:paraId="49D0EC61" w14:textId="03ED0C43" w:rsidR="006C4C4F" w:rsidRPr="0054775B" w:rsidRDefault="009A6CDD" w:rsidP="009E6F7F">
      <w:r w:rsidRPr="0054775B">
        <w:t xml:space="preserve">Three </w:t>
      </w:r>
      <w:r w:rsidR="00545D01" w:rsidRPr="0054775B">
        <w:t xml:space="preserve">reviews were identified as eligible for inclusion; </w:t>
      </w:r>
      <w:r w:rsidR="003C2AC9">
        <w:t>review</w:t>
      </w:r>
      <w:r w:rsidR="003C2AC9" w:rsidRPr="0054775B">
        <w:t xml:space="preserve"> </w:t>
      </w:r>
      <w:r w:rsidR="00545D01" w:rsidRPr="0054775B">
        <w:t xml:space="preserve">characteristics are reported in detail in </w:t>
      </w:r>
      <w:r w:rsidR="00FB0A70" w:rsidRPr="0054775B">
        <w:t xml:space="preserve">Appendix </w:t>
      </w:r>
      <w:r w:rsidR="00BC6C8E">
        <w:t>D</w:t>
      </w:r>
      <w:r w:rsidR="00545D01" w:rsidRPr="0054775B">
        <w:t xml:space="preserve">. The included reviews were conducted between </w:t>
      </w:r>
      <w:r w:rsidR="006D2109" w:rsidRPr="0054775B">
        <w:t>1989 and 20</w:t>
      </w:r>
      <w:r w:rsidRPr="0054775B">
        <w:t>19</w:t>
      </w:r>
      <w:r w:rsidR="008125CA">
        <w:t xml:space="preserve"> and contained meta-analyses</w:t>
      </w:r>
      <w:r w:rsidR="00545D01" w:rsidRPr="0054775B">
        <w:t>.</w:t>
      </w:r>
    </w:p>
    <w:p w14:paraId="0D38E353" w14:textId="39BEA6C3" w:rsidR="00545D01" w:rsidRPr="0054775B" w:rsidRDefault="00E7378F" w:rsidP="009E6F7F">
      <w:pPr>
        <w:rPr>
          <w:noProof/>
        </w:rPr>
      </w:pPr>
      <w:r w:rsidRPr="0054775B">
        <w:t xml:space="preserve">One review matched the </w:t>
      </w:r>
      <w:r w:rsidR="00912F03" w:rsidRPr="0054775B">
        <w:t>overview</w:t>
      </w:r>
      <w:r w:rsidRPr="0054775B">
        <w:t xml:space="preserve">’s </w:t>
      </w:r>
      <w:r w:rsidR="00916962" w:rsidRPr="0054775B">
        <w:t xml:space="preserve">PICO, seeking to </w:t>
      </w:r>
      <w:r w:rsidRPr="0054775B">
        <w:t>investigate the impact of omega-3</w:t>
      </w:r>
      <w:r w:rsidR="0079707C" w:rsidRPr="0079707C">
        <w:t xml:space="preserve"> </w:t>
      </w:r>
      <w:r w:rsidR="0079707C">
        <w:t>fatty acids</w:t>
      </w:r>
      <w:r w:rsidRPr="0054775B">
        <w:t xml:space="preserve"> on </w:t>
      </w:r>
      <w:r w:rsidR="001A5D59" w:rsidRPr="0054775B">
        <w:t xml:space="preserve">preventing and treating </w:t>
      </w:r>
      <w:r w:rsidRPr="0054775B">
        <w:t xml:space="preserve">hypertension </w:t>
      </w:r>
      <w:r w:rsidR="00227084">
        <w:rPr>
          <w:noProof/>
        </w:rPr>
        <w:t>(176)</w:t>
      </w:r>
      <w:r w:rsidRPr="0054775B">
        <w:rPr>
          <w:noProof/>
        </w:rPr>
        <w:t xml:space="preserve">. </w:t>
      </w:r>
      <w:r w:rsidR="00817706" w:rsidRPr="0054775B">
        <w:rPr>
          <w:noProof/>
        </w:rPr>
        <w:t>Two</w:t>
      </w:r>
      <w:r w:rsidR="002860FB" w:rsidRPr="0054775B">
        <w:rPr>
          <w:noProof/>
        </w:rPr>
        <w:t xml:space="preserve"> reviews aimed to assess the effects of </w:t>
      </w:r>
      <w:r w:rsidR="002860FB" w:rsidRPr="0054775B">
        <w:t>omega-3</w:t>
      </w:r>
      <w:r w:rsidR="001D0020" w:rsidRPr="001D0020">
        <w:t xml:space="preserve"> </w:t>
      </w:r>
      <w:r w:rsidR="001D0020">
        <w:t>fatty acids</w:t>
      </w:r>
      <w:r w:rsidR="002860FB" w:rsidRPr="0054775B">
        <w:t xml:space="preserve"> on specific outcomes</w:t>
      </w:r>
      <w:r w:rsidR="00855F39" w:rsidRPr="0054775B">
        <w:t xml:space="preserve"> </w:t>
      </w:r>
      <w:r w:rsidR="00817706" w:rsidRPr="0054775B">
        <w:t xml:space="preserve">including blood </w:t>
      </w:r>
      <w:r w:rsidR="003C7E7A" w:rsidRPr="0054775B">
        <w:t>pressure and</w:t>
      </w:r>
      <w:r w:rsidR="0074110D" w:rsidRPr="0054775B">
        <w:t xml:space="preserve"> </w:t>
      </w:r>
      <w:r w:rsidR="00855F39" w:rsidRPr="0054775B">
        <w:t>presented results</w:t>
      </w:r>
      <w:r w:rsidR="002860FB" w:rsidRPr="0054775B">
        <w:t xml:space="preserve"> </w:t>
      </w:r>
      <w:r w:rsidR="0057119D" w:rsidRPr="0054775B">
        <w:t xml:space="preserve">for those with or at risk of hypertension </w:t>
      </w:r>
      <w:r w:rsidR="00227084">
        <w:rPr>
          <w:noProof/>
        </w:rPr>
        <w:t>(177, 178)</w:t>
      </w:r>
      <w:r w:rsidR="0057119D" w:rsidRPr="0054775B">
        <w:t>.</w:t>
      </w:r>
    </w:p>
    <w:p w14:paraId="0D3D4F7F" w14:textId="77777777" w:rsidR="008308E9" w:rsidRPr="0054775B" w:rsidRDefault="008308E9" w:rsidP="009E6F7F">
      <w:pPr>
        <w:pStyle w:val="2024HEADER3"/>
        <w:rPr>
          <w:rFonts w:ascii="Aptos" w:hAnsi="Aptos"/>
        </w:rPr>
      </w:pPr>
      <w:r w:rsidRPr="0054775B">
        <w:rPr>
          <w:rFonts w:ascii="Aptos" w:hAnsi="Aptos"/>
        </w:rPr>
        <w:t>Assessment of risk of bias of included systematic reviews</w:t>
      </w:r>
    </w:p>
    <w:p w14:paraId="5B2B4786" w14:textId="3475E67E" w:rsidR="00FE333A" w:rsidRPr="0054775B" w:rsidRDefault="00FE333A" w:rsidP="009E6F7F">
      <w:r w:rsidRPr="0054775B">
        <w:t xml:space="preserve">Risk of bias of the systematic reviews, as assessed using the ROBIS tool, is presented below. </w:t>
      </w:r>
      <w:r w:rsidR="006D3FE4" w:rsidRPr="0054775B">
        <w:t xml:space="preserve">Full assessments are reported in Appendix </w:t>
      </w:r>
      <w:r w:rsidR="00BC6C8E">
        <w:t>F</w:t>
      </w:r>
      <w:r w:rsidRPr="0054775B">
        <w:t>.</w:t>
      </w:r>
    </w:p>
    <w:p w14:paraId="2663BE3E" w14:textId="655C25DC" w:rsidR="00FE333A" w:rsidRPr="0054775B" w:rsidRDefault="00FE333A" w:rsidP="006F63D3">
      <w:pPr>
        <w:pStyle w:val="2024TABLECAPTION"/>
        <w:rPr>
          <w:rFonts w:ascii="Aptos" w:hAnsi="Aptos"/>
        </w:rPr>
      </w:pPr>
      <w:bookmarkStart w:id="120" w:name="_Toc185261617"/>
      <w:r w:rsidRPr="0054775B">
        <w:rPr>
          <w:rFonts w:ascii="Aptos" w:hAnsi="Aptos"/>
        </w:rPr>
        <w:t xml:space="preserve">Table </w:t>
      </w:r>
      <w:r w:rsidRPr="0054775B">
        <w:rPr>
          <w:rFonts w:ascii="Aptos" w:hAnsi="Aptos"/>
        </w:rPr>
        <w:fldChar w:fldCharType="begin"/>
      </w:r>
      <w:r w:rsidRPr="0054775B">
        <w:rPr>
          <w:rFonts w:ascii="Aptos" w:hAnsi="Aptos"/>
        </w:rPr>
        <w:instrText>SEQ Table \* ARABIC</w:instrText>
      </w:r>
      <w:r w:rsidRPr="0054775B">
        <w:rPr>
          <w:rFonts w:ascii="Aptos" w:hAnsi="Aptos"/>
        </w:rPr>
        <w:fldChar w:fldCharType="separate"/>
      </w:r>
      <w:r w:rsidR="00CB3AAD" w:rsidRPr="0054775B" w:rsidDel="004E7C54">
        <w:rPr>
          <w:rFonts w:ascii="Aptos" w:hAnsi="Aptos"/>
          <w:noProof/>
        </w:rPr>
        <w:t>39</w:t>
      </w:r>
      <w:r w:rsidRPr="0054775B">
        <w:rPr>
          <w:rFonts w:ascii="Aptos" w:hAnsi="Aptos"/>
        </w:rPr>
        <w:fldChar w:fldCharType="end"/>
      </w:r>
      <w:r w:rsidRPr="0054775B">
        <w:rPr>
          <w:rFonts w:ascii="Aptos" w:hAnsi="Aptos"/>
        </w:rPr>
        <w:t xml:space="preserve">. Summary of ROBIS assessments – </w:t>
      </w:r>
      <w:r w:rsidR="008951DF" w:rsidRPr="0054775B">
        <w:rPr>
          <w:rFonts w:ascii="Aptos" w:hAnsi="Aptos"/>
        </w:rPr>
        <w:t>hypertension, omega-3</w:t>
      </w:r>
      <w:r w:rsidR="001D0020" w:rsidRPr="001D0020">
        <w:t xml:space="preserve"> </w:t>
      </w:r>
      <w:r w:rsidR="001D0020">
        <w:t>fatty acids</w:t>
      </w:r>
      <w:bookmarkEnd w:id="120"/>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28" w:type="dxa"/>
        </w:tblCellMar>
        <w:tblLook w:val="04A0" w:firstRow="1" w:lastRow="0" w:firstColumn="1" w:lastColumn="0" w:noHBand="0" w:noVBand="1"/>
      </w:tblPr>
      <w:tblGrid>
        <w:gridCol w:w="1418"/>
        <w:gridCol w:w="1594"/>
        <w:gridCol w:w="1595"/>
        <w:gridCol w:w="1595"/>
        <w:gridCol w:w="1595"/>
        <w:gridCol w:w="1417"/>
      </w:tblGrid>
      <w:tr w:rsidR="00587E03" w:rsidRPr="0054775B" w14:paraId="24184787" w14:textId="77777777" w:rsidTr="000C3DB1">
        <w:trPr>
          <w:trHeight w:val="95"/>
        </w:trPr>
        <w:tc>
          <w:tcPr>
            <w:tcW w:w="1418" w:type="dxa"/>
            <w:vMerge w:val="restart"/>
            <w:shd w:val="clear" w:color="auto" w:fill="D9D9D9" w:themeFill="background1" w:themeFillShade="D9"/>
            <w:vAlign w:val="center"/>
            <w:hideMark/>
          </w:tcPr>
          <w:p w14:paraId="5B860CD7" w14:textId="77777777" w:rsidR="00FE333A" w:rsidRPr="0054775B" w:rsidRDefault="00FE333A" w:rsidP="00515FE7">
            <w:pPr>
              <w:pStyle w:val="2024TABLEHEADER"/>
            </w:pPr>
            <w:r w:rsidRPr="0054775B">
              <w:t>Review ID</w:t>
            </w:r>
          </w:p>
        </w:tc>
        <w:tc>
          <w:tcPr>
            <w:tcW w:w="6379" w:type="dxa"/>
            <w:gridSpan w:val="4"/>
            <w:shd w:val="clear" w:color="auto" w:fill="D9D9D9" w:themeFill="background1" w:themeFillShade="D9"/>
            <w:vAlign w:val="center"/>
          </w:tcPr>
          <w:p w14:paraId="40A77669" w14:textId="77777777" w:rsidR="00FE333A" w:rsidRPr="0054775B" w:rsidRDefault="00FE333A" w:rsidP="00515FE7">
            <w:pPr>
              <w:pStyle w:val="2024TABLEHEADER"/>
            </w:pPr>
            <w:r w:rsidRPr="0054775B">
              <w:t>ROBIS Domains</w:t>
            </w:r>
          </w:p>
        </w:tc>
        <w:tc>
          <w:tcPr>
            <w:tcW w:w="1417" w:type="dxa"/>
            <w:vMerge w:val="restart"/>
            <w:shd w:val="clear" w:color="auto" w:fill="D9D9D9" w:themeFill="background1" w:themeFillShade="D9"/>
            <w:vAlign w:val="center"/>
          </w:tcPr>
          <w:p w14:paraId="73767FF8" w14:textId="77777777" w:rsidR="00FE333A" w:rsidRPr="0054775B" w:rsidRDefault="00FE333A" w:rsidP="00515FE7">
            <w:pPr>
              <w:pStyle w:val="2024TABLEHEADER"/>
            </w:pPr>
            <w:r w:rsidRPr="0054775B">
              <w:t>Overall risk of bias</w:t>
            </w:r>
          </w:p>
        </w:tc>
      </w:tr>
      <w:tr w:rsidR="00DA739A" w:rsidRPr="0054775B" w14:paraId="0E11F591" w14:textId="77777777" w:rsidTr="000C3DB1">
        <w:trPr>
          <w:trHeight w:val="95"/>
        </w:trPr>
        <w:tc>
          <w:tcPr>
            <w:tcW w:w="1418" w:type="dxa"/>
            <w:vMerge/>
            <w:shd w:val="clear" w:color="auto" w:fill="D9D9D9" w:themeFill="background1" w:themeFillShade="D9"/>
            <w:vAlign w:val="center"/>
          </w:tcPr>
          <w:p w14:paraId="527CD83D" w14:textId="77777777" w:rsidR="00FE333A" w:rsidRPr="0054775B" w:rsidRDefault="00FE333A" w:rsidP="00515FE7">
            <w:pPr>
              <w:pStyle w:val="2024TABLEHEADER"/>
            </w:pPr>
          </w:p>
        </w:tc>
        <w:tc>
          <w:tcPr>
            <w:tcW w:w="1594" w:type="dxa"/>
            <w:shd w:val="clear" w:color="auto" w:fill="F2F2F2" w:themeFill="background1" w:themeFillShade="F2"/>
            <w:vAlign w:val="center"/>
          </w:tcPr>
          <w:p w14:paraId="1A807FF8" w14:textId="77777777" w:rsidR="00FE333A" w:rsidRPr="0054775B" w:rsidRDefault="00FE333A" w:rsidP="00515FE7">
            <w:pPr>
              <w:pStyle w:val="2024TABLEHEADER"/>
            </w:pPr>
            <w:r w:rsidRPr="0054775B">
              <w:t>Domain 1: Study eligibility criteria</w:t>
            </w:r>
          </w:p>
        </w:tc>
        <w:tc>
          <w:tcPr>
            <w:tcW w:w="1595" w:type="dxa"/>
            <w:shd w:val="clear" w:color="auto" w:fill="F2F2F2" w:themeFill="background1" w:themeFillShade="F2"/>
            <w:vAlign w:val="center"/>
          </w:tcPr>
          <w:p w14:paraId="4EB9FE79" w14:textId="77777777" w:rsidR="00FE333A" w:rsidRPr="0054775B" w:rsidRDefault="00FE333A" w:rsidP="00515FE7">
            <w:pPr>
              <w:pStyle w:val="2024TABLEHEADER"/>
            </w:pPr>
            <w:r w:rsidRPr="0054775B">
              <w:t>Domain 2: Identification and selection of studies</w:t>
            </w:r>
          </w:p>
        </w:tc>
        <w:tc>
          <w:tcPr>
            <w:tcW w:w="1595" w:type="dxa"/>
            <w:shd w:val="clear" w:color="auto" w:fill="F2F2F2" w:themeFill="background1" w:themeFillShade="F2"/>
            <w:vAlign w:val="center"/>
          </w:tcPr>
          <w:p w14:paraId="50643655" w14:textId="77777777" w:rsidR="00FE333A" w:rsidRPr="0054775B" w:rsidRDefault="00FE333A" w:rsidP="00515FE7">
            <w:pPr>
              <w:pStyle w:val="2024TABLEHEADER"/>
            </w:pPr>
            <w:r w:rsidRPr="0054775B">
              <w:t>Domain 3: Data collection and study appraisal</w:t>
            </w:r>
          </w:p>
        </w:tc>
        <w:tc>
          <w:tcPr>
            <w:tcW w:w="1595" w:type="dxa"/>
            <w:shd w:val="clear" w:color="auto" w:fill="F2F2F2" w:themeFill="background1" w:themeFillShade="F2"/>
            <w:vAlign w:val="center"/>
          </w:tcPr>
          <w:p w14:paraId="2F853492" w14:textId="77777777" w:rsidR="00FE333A" w:rsidRPr="0054775B" w:rsidRDefault="00FE333A" w:rsidP="00515FE7">
            <w:pPr>
              <w:pStyle w:val="2024TABLEHEADER"/>
            </w:pPr>
            <w:r w:rsidRPr="0054775B">
              <w:t>Domain 4: Synthesis and findings</w:t>
            </w:r>
          </w:p>
        </w:tc>
        <w:tc>
          <w:tcPr>
            <w:tcW w:w="1417" w:type="dxa"/>
            <w:vMerge/>
            <w:shd w:val="clear" w:color="auto" w:fill="D9D9D9" w:themeFill="background1" w:themeFillShade="D9"/>
            <w:vAlign w:val="center"/>
          </w:tcPr>
          <w:p w14:paraId="243E88C7" w14:textId="77777777" w:rsidR="00FE333A" w:rsidRPr="0054775B" w:rsidRDefault="00FE333A" w:rsidP="009E6F7F">
            <w:pPr>
              <w:pStyle w:val="TABLE"/>
              <w:rPr>
                <w:rFonts w:ascii="Aptos" w:hAnsi="Aptos"/>
              </w:rPr>
            </w:pPr>
          </w:p>
        </w:tc>
      </w:tr>
      <w:tr w:rsidR="000C3DB1" w:rsidRPr="0054775B" w14:paraId="77A6B991" w14:textId="77777777" w:rsidTr="000C3DB1">
        <w:trPr>
          <w:trHeight w:val="95"/>
        </w:trPr>
        <w:tc>
          <w:tcPr>
            <w:tcW w:w="1418" w:type="dxa"/>
            <w:shd w:val="clear" w:color="auto" w:fill="auto"/>
            <w:vAlign w:val="bottom"/>
          </w:tcPr>
          <w:p w14:paraId="620662C9" w14:textId="6CD85ADD" w:rsidR="00473F3F" w:rsidRPr="0054775B" w:rsidRDefault="00473F3F" w:rsidP="00361B89">
            <w:pPr>
              <w:pStyle w:val="2024TABLETEXT"/>
              <w:framePr w:hSpace="0" w:wrap="auto" w:vAnchor="margin" w:yAlign="inline"/>
              <w:suppressOverlap w:val="0"/>
            </w:pPr>
            <w:r w:rsidRPr="0054775B">
              <w:t>Campbell 2013</w:t>
            </w:r>
          </w:p>
        </w:tc>
        <w:tc>
          <w:tcPr>
            <w:tcW w:w="1594" w:type="dxa"/>
            <w:shd w:val="clear" w:color="auto" w:fill="auto"/>
          </w:tcPr>
          <w:p w14:paraId="2A08B22E" w14:textId="7202A1BE" w:rsidR="00473F3F" w:rsidRPr="0054775B" w:rsidRDefault="00473F3F" w:rsidP="00361B89">
            <w:pPr>
              <w:pStyle w:val="2024TABLETEXT"/>
              <w:framePr w:hSpace="0" w:wrap="auto" w:vAnchor="margin" w:yAlign="inline"/>
              <w:suppressOverlap w:val="0"/>
              <w:rPr>
                <w:b/>
                <w:bCs/>
              </w:rPr>
            </w:pPr>
            <w:r w:rsidRPr="0054775B">
              <w:t>Low</w:t>
            </w:r>
          </w:p>
        </w:tc>
        <w:tc>
          <w:tcPr>
            <w:tcW w:w="1595" w:type="dxa"/>
            <w:shd w:val="clear" w:color="auto" w:fill="auto"/>
          </w:tcPr>
          <w:p w14:paraId="2AA85D8A" w14:textId="434921E1" w:rsidR="00473F3F" w:rsidRPr="0054775B" w:rsidRDefault="00332EB8" w:rsidP="00361B89">
            <w:pPr>
              <w:pStyle w:val="2024TABLETEXT"/>
              <w:framePr w:hSpace="0" w:wrap="auto" w:vAnchor="margin" w:yAlign="inline"/>
              <w:suppressOverlap w:val="0"/>
              <w:rPr>
                <w:b/>
                <w:bCs/>
              </w:rPr>
            </w:pPr>
            <w:r w:rsidRPr="0054775B">
              <w:t>Unclear</w:t>
            </w:r>
          </w:p>
        </w:tc>
        <w:tc>
          <w:tcPr>
            <w:tcW w:w="1595" w:type="dxa"/>
            <w:shd w:val="clear" w:color="auto" w:fill="auto"/>
          </w:tcPr>
          <w:p w14:paraId="18192DE8" w14:textId="312A2D5C" w:rsidR="00473F3F" w:rsidRPr="0054775B" w:rsidRDefault="00473F3F" w:rsidP="00361B89">
            <w:pPr>
              <w:pStyle w:val="2024TABLETEXT"/>
              <w:framePr w:hSpace="0" w:wrap="auto" w:vAnchor="margin" w:yAlign="inline"/>
              <w:suppressOverlap w:val="0"/>
              <w:rPr>
                <w:b/>
                <w:bCs/>
              </w:rPr>
            </w:pPr>
            <w:r w:rsidRPr="0054775B">
              <w:t>Low</w:t>
            </w:r>
          </w:p>
        </w:tc>
        <w:tc>
          <w:tcPr>
            <w:tcW w:w="1595" w:type="dxa"/>
            <w:shd w:val="clear" w:color="auto" w:fill="auto"/>
          </w:tcPr>
          <w:p w14:paraId="1902EEA8" w14:textId="3A1AFE23" w:rsidR="00473F3F" w:rsidRPr="0054775B" w:rsidRDefault="00473F3F" w:rsidP="00361B89">
            <w:pPr>
              <w:pStyle w:val="2024TABLETEXT"/>
              <w:framePr w:hSpace="0" w:wrap="auto" w:vAnchor="margin" w:yAlign="inline"/>
              <w:suppressOverlap w:val="0"/>
              <w:rPr>
                <w:b/>
                <w:bCs/>
              </w:rPr>
            </w:pPr>
            <w:r w:rsidRPr="0054775B">
              <w:t>Low</w:t>
            </w:r>
          </w:p>
        </w:tc>
        <w:tc>
          <w:tcPr>
            <w:tcW w:w="1417" w:type="dxa"/>
            <w:shd w:val="clear" w:color="auto" w:fill="auto"/>
            <w:vAlign w:val="center"/>
          </w:tcPr>
          <w:p w14:paraId="208A608D" w14:textId="389444C8" w:rsidR="00473F3F" w:rsidRPr="0054775B" w:rsidRDefault="00473F3F" w:rsidP="00361B89">
            <w:pPr>
              <w:pStyle w:val="2024TABLETEXT"/>
              <w:framePr w:hSpace="0" w:wrap="auto" w:vAnchor="margin" w:yAlign="inline"/>
              <w:suppressOverlap w:val="0"/>
              <w:rPr>
                <w:b/>
                <w:bCs/>
              </w:rPr>
            </w:pPr>
            <w:r w:rsidRPr="0054775B">
              <w:t>Low risk</w:t>
            </w:r>
          </w:p>
        </w:tc>
      </w:tr>
      <w:tr w:rsidR="000C3DB1" w:rsidRPr="0054775B" w14:paraId="6510254D" w14:textId="77777777" w:rsidTr="000C3DB1">
        <w:trPr>
          <w:trHeight w:val="95"/>
        </w:trPr>
        <w:tc>
          <w:tcPr>
            <w:tcW w:w="1418" w:type="dxa"/>
            <w:shd w:val="clear" w:color="auto" w:fill="auto"/>
            <w:vAlign w:val="bottom"/>
          </w:tcPr>
          <w:p w14:paraId="5CC4118B" w14:textId="12173A97" w:rsidR="00473F3F" w:rsidRPr="0054775B" w:rsidRDefault="00473F3F" w:rsidP="00361B89">
            <w:pPr>
              <w:pStyle w:val="2024TABLETEXT"/>
              <w:framePr w:hSpace="0" w:wrap="auto" w:vAnchor="margin" w:yAlign="inline"/>
              <w:suppressOverlap w:val="0"/>
            </w:pPr>
            <w:r w:rsidRPr="0054775B">
              <w:t>Guo 2019</w:t>
            </w:r>
          </w:p>
        </w:tc>
        <w:tc>
          <w:tcPr>
            <w:tcW w:w="1594" w:type="dxa"/>
            <w:shd w:val="clear" w:color="auto" w:fill="auto"/>
          </w:tcPr>
          <w:p w14:paraId="68E1EBAB" w14:textId="60AB5D26" w:rsidR="00473F3F" w:rsidRPr="0054775B" w:rsidRDefault="00473F3F" w:rsidP="00361B89">
            <w:pPr>
              <w:pStyle w:val="2024TABLETEXT"/>
              <w:framePr w:hSpace="0" w:wrap="auto" w:vAnchor="margin" w:yAlign="inline"/>
              <w:suppressOverlap w:val="0"/>
              <w:rPr>
                <w:b/>
                <w:bCs/>
              </w:rPr>
            </w:pPr>
            <w:r w:rsidRPr="0054775B">
              <w:t>Low</w:t>
            </w:r>
          </w:p>
        </w:tc>
        <w:tc>
          <w:tcPr>
            <w:tcW w:w="1595" w:type="dxa"/>
            <w:shd w:val="clear" w:color="auto" w:fill="auto"/>
          </w:tcPr>
          <w:p w14:paraId="3E1AE7B9" w14:textId="18D97317" w:rsidR="00473F3F" w:rsidRPr="0054775B" w:rsidRDefault="00473F3F" w:rsidP="00361B89">
            <w:pPr>
              <w:pStyle w:val="2024TABLETEXT"/>
              <w:framePr w:hSpace="0" w:wrap="auto" w:vAnchor="margin" w:yAlign="inline"/>
              <w:suppressOverlap w:val="0"/>
              <w:rPr>
                <w:b/>
                <w:bCs/>
              </w:rPr>
            </w:pPr>
            <w:r w:rsidRPr="0054775B">
              <w:t>Unclear</w:t>
            </w:r>
          </w:p>
        </w:tc>
        <w:tc>
          <w:tcPr>
            <w:tcW w:w="1595" w:type="dxa"/>
            <w:shd w:val="clear" w:color="auto" w:fill="auto"/>
          </w:tcPr>
          <w:p w14:paraId="29386D90" w14:textId="032B5C67" w:rsidR="00473F3F" w:rsidRPr="0054775B" w:rsidRDefault="00473F3F" w:rsidP="00361B89">
            <w:pPr>
              <w:pStyle w:val="2024TABLETEXT"/>
              <w:framePr w:hSpace="0" w:wrap="auto" w:vAnchor="margin" w:yAlign="inline"/>
              <w:suppressOverlap w:val="0"/>
              <w:rPr>
                <w:b/>
                <w:bCs/>
              </w:rPr>
            </w:pPr>
            <w:r w:rsidRPr="0054775B">
              <w:t>Low</w:t>
            </w:r>
          </w:p>
        </w:tc>
        <w:tc>
          <w:tcPr>
            <w:tcW w:w="1595" w:type="dxa"/>
            <w:shd w:val="clear" w:color="auto" w:fill="auto"/>
          </w:tcPr>
          <w:p w14:paraId="74D0007B" w14:textId="3184A021" w:rsidR="00473F3F" w:rsidRPr="0054775B" w:rsidRDefault="00473F3F" w:rsidP="00361B89">
            <w:pPr>
              <w:pStyle w:val="2024TABLETEXT"/>
              <w:framePr w:hSpace="0" w:wrap="auto" w:vAnchor="margin" w:yAlign="inline"/>
              <w:suppressOverlap w:val="0"/>
              <w:rPr>
                <w:b/>
                <w:bCs/>
              </w:rPr>
            </w:pPr>
            <w:r w:rsidRPr="0054775B">
              <w:t>Low</w:t>
            </w:r>
          </w:p>
        </w:tc>
        <w:tc>
          <w:tcPr>
            <w:tcW w:w="1417" w:type="dxa"/>
            <w:shd w:val="clear" w:color="auto" w:fill="auto"/>
            <w:vAlign w:val="center"/>
          </w:tcPr>
          <w:p w14:paraId="6AAF6059" w14:textId="47FFDB1F" w:rsidR="00473F3F" w:rsidRPr="0054775B" w:rsidRDefault="00473F3F" w:rsidP="00361B89">
            <w:pPr>
              <w:pStyle w:val="2024TABLETEXT"/>
              <w:framePr w:hSpace="0" w:wrap="auto" w:vAnchor="margin" w:yAlign="inline"/>
              <w:suppressOverlap w:val="0"/>
              <w:rPr>
                <w:b/>
                <w:bCs/>
              </w:rPr>
            </w:pPr>
            <w:r w:rsidRPr="0054775B">
              <w:t>Low risk</w:t>
            </w:r>
          </w:p>
        </w:tc>
      </w:tr>
      <w:tr w:rsidR="000C3DB1" w:rsidRPr="0054775B" w14:paraId="174CE089" w14:textId="77777777" w:rsidTr="000C3DB1">
        <w:trPr>
          <w:trHeight w:val="95"/>
        </w:trPr>
        <w:tc>
          <w:tcPr>
            <w:tcW w:w="1418" w:type="dxa"/>
            <w:shd w:val="clear" w:color="auto" w:fill="auto"/>
            <w:vAlign w:val="bottom"/>
          </w:tcPr>
          <w:p w14:paraId="207D581E" w14:textId="6AE3E078" w:rsidR="00E16B6B" w:rsidRPr="0054775B" w:rsidRDefault="00E16B6B" w:rsidP="00361B89">
            <w:pPr>
              <w:pStyle w:val="2024TABLETEXT"/>
              <w:framePr w:hSpace="0" w:wrap="auto" w:vAnchor="margin" w:yAlign="inline"/>
              <w:suppressOverlap w:val="0"/>
            </w:pPr>
            <w:r w:rsidRPr="0054775B">
              <w:t>Radack 1989</w:t>
            </w:r>
          </w:p>
        </w:tc>
        <w:tc>
          <w:tcPr>
            <w:tcW w:w="1594" w:type="dxa"/>
            <w:shd w:val="clear" w:color="auto" w:fill="auto"/>
          </w:tcPr>
          <w:p w14:paraId="03AA4115" w14:textId="0B5C1AF6" w:rsidR="00E16B6B" w:rsidRPr="0054775B" w:rsidRDefault="00E16B6B" w:rsidP="00361B89">
            <w:pPr>
              <w:pStyle w:val="2024TABLETEXT"/>
              <w:framePr w:hSpace="0" w:wrap="auto" w:vAnchor="margin" w:yAlign="inline"/>
              <w:suppressOverlap w:val="0"/>
              <w:rPr>
                <w:b/>
                <w:bCs/>
              </w:rPr>
            </w:pPr>
            <w:r w:rsidRPr="0054775B">
              <w:t>Low</w:t>
            </w:r>
          </w:p>
        </w:tc>
        <w:tc>
          <w:tcPr>
            <w:tcW w:w="1595" w:type="dxa"/>
            <w:shd w:val="clear" w:color="auto" w:fill="auto"/>
          </w:tcPr>
          <w:p w14:paraId="358F6F5D" w14:textId="3B592B43" w:rsidR="00E16B6B" w:rsidRPr="0054775B" w:rsidRDefault="00E16B6B" w:rsidP="00361B89">
            <w:pPr>
              <w:pStyle w:val="2024TABLETEXT"/>
              <w:framePr w:hSpace="0" w:wrap="auto" w:vAnchor="margin" w:yAlign="inline"/>
              <w:suppressOverlap w:val="0"/>
              <w:rPr>
                <w:b/>
                <w:bCs/>
              </w:rPr>
            </w:pPr>
            <w:r w:rsidRPr="0054775B">
              <w:t>Unclear</w:t>
            </w:r>
          </w:p>
        </w:tc>
        <w:tc>
          <w:tcPr>
            <w:tcW w:w="1595" w:type="dxa"/>
            <w:shd w:val="clear" w:color="auto" w:fill="auto"/>
          </w:tcPr>
          <w:p w14:paraId="5AB0071E" w14:textId="5A6E93D9" w:rsidR="00E16B6B" w:rsidRPr="0054775B" w:rsidRDefault="00E16B6B" w:rsidP="00361B89">
            <w:pPr>
              <w:pStyle w:val="2024TABLETEXT"/>
              <w:framePr w:hSpace="0" w:wrap="auto" w:vAnchor="margin" w:yAlign="inline"/>
              <w:suppressOverlap w:val="0"/>
              <w:rPr>
                <w:b/>
                <w:bCs/>
              </w:rPr>
            </w:pPr>
            <w:r w:rsidRPr="0054775B">
              <w:t>Unclear</w:t>
            </w:r>
          </w:p>
        </w:tc>
        <w:tc>
          <w:tcPr>
            <w:tcW w:w="1595" w:type="dxa"/>
            <w:shd w:val="clear" w:color="auto" w:fill="auto"/>
          </w:tcPr>
          <w:p w14:paraId="2E0DFCEA" w14:textId="21970067" w:rsidR="00E16B6B" w:rsidRPr="0054775B" w:rsidRDefault="00E16B6B" w:rsidP="00361B89">
            <w:pPr>
              <w:pStyle w:val="2024TABLETEXT"/>
              <w:framePr w:hSpace="0" w:wrap="auto" w:vAnchor="margin" w:yAlign="inline"/>
              <w:suppressOverlap w:val="0"/>
              <w:rPr>
                <w:b/>
                <w:bCs/>
              </w:rPr>
            </w:pPr>
            <w:r w:rsidRPr="0054775B">
              <w:t>Low</w:t>
            </w:r>
          </w:p>
        </w:tc>
        <w:tc>
          <w:tcPr>
            <w:tcW w:w="1417" w:type="dxa"/>
            <w:shd w:val="clear" w:color="auto" w:fill="auto"/>
            <w:vAlign w:val="center"/>
          </w:tcPr>
          <w:p w14:paraId="69AC6FE0" w14:textId="21049BB5" w:rsidR="00E16B6B" w:rsidRPr="0054775B" w:rsidRDefault="00E16B6B" w:rsidP="00361B89">
            <w:pPr>
              <w:pStyle w:val="2024TABLETEXT"/>
              <w:framePr w:hSpace="0" w:wrap="auto" w:vAnchor="margin" w:yAlign="inline"/>
              <w:suppressOverlap w:val="0"/>
              <w:rPr>
                <w:b/>
                <w:bCs/>
              </w:rPr>
            </w:pPr>
            <w:r w:rsidRPr="0054775B">
              <w:t>Unclear risk</w:t>
            </w:r>
          </w:p>
        </w:tc>
      </w:tr>
    </w:tbl>
    <w:p w14:paraId="73E7F49A" w14:textId="77777777" w:rsidR="008951DF" w:rsidRPr="0054775B" w:rsidRDefault="008951DF" w:rsidP="009E6F7F">
      <w:pPr>
        <w:pStyle w:val="2024HEADER3"/>
        <w:rPr>
          <w:rFonts w:ascii="Aptos" w:hAnsi="Aptos"/>
        </w:rPr>
      </w:pPr>
      <w:r w:rsidRPr="0054775B">
        <w:rPr>
          <w:rFonts w:ascii="Aptos" w:hAnsi="Aptos"/>
        </w:rPr>
        <w:lastRenderedPageBreak/>
        <w:t>Results</w:t>
      </w:r>
    </w:p>
    <w:p w14:paraId="2C73A97E" w14:textId="0BA04A71" w:rsidR="0070257A" w:rsidRPr="0054775B" w:rsidRDefault="0085486E" w:rsidP="0070257A">
      <w:pPr>
        <w:rPr>
          <w:noProof/>
        </w:rPr>
      </w:pPr>
      <w:r>
        <w:t>Preferred</w:t>
      </w:r>
      <w:r w:rsidRPr="0054775B">
        <w:t xml:space="preserve"> contributing reviews are listed in the population-intervention matrix </w:t>
      </w:r>
      <w:r w:rsidR="008951DF" w:rsidRPr="0054775B">
        <w:t xml:space="preserve">in Table </w:t>
      </w:r>
      <w:r w:rsidR="001B50FF" w:rsidRPr="0054775B">
        <w:t>40</w:t>
      </w:r>
      <w:r w:rsidR="008951DF" w:rsidRPr="0054775B">
        <w:t xml:space="preserve">. </w:t>
      </w:r>
      <w:r w:rsidR="0070257A" w:rsidRPr="0054775B">
        <w:rPr>
          <w:noProof/>
        </w:rPr>
        <w:t xml:space="preserve">Campbell et al. (2013) </w:t>
      </w:r>
      <w:r w:rsidR="00227084">
        <w:rPr>
          <w:noProof/>
        </w:rPr>
        <w:t>(176)</w:t>
      </w:r>
      <w:r w:rsidR="0070257A" w:rsidRPr="0054775B">
        <w:rPr>
          <w:noProof/>
        </w:rPr>
        <w:t xml:space="preserve"> was the only review specifically examining</w:t>
      </w:r>
      <w:r w:rsidR="0070257A" w:rsidRPr="0054775B" w:rsidDel="001A726F">
        <w:rPr>
          <w:noProof/>
        </w:rPr>
        <w:t xml:space="preserve"> the </w:t>
      </w:r>
      <w:r w:rsidR="0070257A" w:rsidRPr="0054775B">
        <w:rPr>
          <w:noProof/>
        </w:rPr>
        <w:t>impacts of omega-3</w:t>
      </w:r>
      <w:r w:rsidR="001D0020" w:rsidRPr="001D0020">
        <w:t xml:space="preserve"> </w:t>
      </w:r>
      <w:r w:rsidR="001D0020">
        <w:t>fatty acids</w:t>
      </w:r>
      <w:r w:rsidR="0070257A" w:rsidRPr="0054775B">
        <w:rPr>
          <w:noProof/>
        </w:rPr>
        <w:t xml:space="preserve"> for people with hypertension. Compared to Radack et al. (1989) </w:t>
      </w:r>
      <w:r w:rsidR="00227084">
        <w:rPr>
          <w:noProof/>
        </w:rPr>
        <w:t>(177)</w:t>
      </w:r>
      <w:r w:rsidR="0070257A" w:rsidRPr="0054775B">
        <w:rPr>
          <w:noProof/>
        </w:rPr>
        <w:t>, it was also more recent, including 8 trials (versus 1 trial in Radack et al., 1989). While Guo et al., 2019 was more recent, results were only provided for EPA and DHA separately. In addition, the standard definition of hypertension (using SBP and DBP cut-offs) was not used.</w:t>
      </w:r>
    </w:p>
    <w:p w14:paraId="249FBEAB" w14:textId="0E7F5D6E" w:rsidR="008951DF" w:rsidRPr="0054775B" w:rsidRDefault="0070257A" w:rsidP="0070257A">
      <w:r w:rsidRPr="0054775B">
        <w:rPr>
          <w:noProof/>
        </w:rPr>
        <w:t xml:space="preserve">Importantly, some studies included in Campbell </w:t>
      </w:r>
      <w:r>
        <w:rPr>
          <w:noProof/>
        </w:rPr>
        <w:t>et al. (</w:t>
      </w:r>
      <w:r w:rsidRPr="0054775B">
        <w:rPr>
          <w:noProof/>
        </w:rPr>
        <w:t>2013</w:t>
      </w:r>
      <w:r>
        <w:rPr>
          <w:noProof/>
        </w:rPr>
        <w:t>)</w:t>
      </w:r>
      <w:r w:rsidRPr="0054775B">
        <w:rPr>
          <w:noProof/>
        </w:rPr>
        <w:t xml:space="preserve"> had populations with exposure to antihypertensive treatments. In two studies participants were newly diagnosed and not taking any anti-hypertensive medication; in three studies, any treatment was stopped prior to study commencement. In the remaining 3 studies, there was anti-hypertensive treatment that was not changed (</w:t>
      </w:r>
      <w:r w:rsidR="00114F32">
        <w:rPr>
          <w:noProof/>
        </w:rPr>
        <w:t>al</w:t>
      </w:r>
      <w:r w:rsidRPr="0054775B">
        <w:rPr>
          <w:noProof/>
        </w:rPr>
        <w:t xml:space="preserve">though the details </w:t>
      </w:r>
      <w:r w:rsidR="00114F32">
        <w:rPr>
          <w:noProof/>
        </w:rPr>
        <w:t xml:space="preserve">were </w:t>
      </w:r>
      <w:r w:rsidRPr="0054775B">
        <w:rPr>
          <w:noProof/>
        </w:rPr>
        <w:t xml:space="preserve">only specified in 1 study). While this may confound any direct efficacy results of a nutritional supplement, this was considered likely to happen in the context of nutritional supplementation in naturopathic practice for hypertension given there are efficacious pharmological treatment options. </w:t>
      </w:r>
      <w:r w:rsidRPr="0054775B">
        <w:rPr>
          <w:lang w:eastAsia="en-AU"/>
        </w:rPr>
        <w:t xml:space="preserve">The certainty of evidence has been </w:t>
      </w:r>
      <w:r w:rsidR="00114F32">
        <w:rPr>
          <w:lang w:eastAsia="en-AU"/>
        </w:rPr>
        <w:t>down</w:t>
      </w:r>
      <w:r w:rsidRPr="0054775B">
        <w:rPr>
          <w:lang w:eastAsia="en-AU"/>
        </w:rPr>
        <w:t>graded accordingly. An updated systematic review and meta-analysis examining the impact of omega-3</w:t>
      </w:r>
      <w:r w:rsidR="001D0020" w:rsidRPr="001D0020">
        <w:t xml:space="preserve"> </w:t>
      </w:r>
      <w:r w:rsidR="001D0020">
        <w:t>fatty acids</w:t>
      </w:r>
      <w:r w:rsidRPr="0054775B">
        <w:rPr>
          <w:lang w:eastAsia="en-AU"/>
        </w:rPr>
        <w:t xml:space="preserve"> on hypertensive patients specifically is needed.  </w:t>
      </w:r>
    </w:p>
    <w:p w14:paraId="1F62703A" w14:textId="3F561CBB" w:rsidR="008951DF" w:rsidRPr="0054775B" w:rsidRDefault="008951DF" w:rsidP="006F63D3">
      <w:pPr>
        <w:pStyle w:val="2024TABLECAPTION"/>
        <w:rPr>
          <w:rFonts w:ascii="Aptos" w:hAnsi="Aptos"/>
        </w:rPr>
      </w:pPr>
      <w:bookmarkStart w:id="121" w:name="_Toc185261618"/>
      <w:r w:rsidRPr="0054775B">
        <w:rPr>
          <w:rFonts w:ascii="Aptos" w:hAnsi="Aptos"/>
        </w:rPr>
        <w:t xml:space="preserve">Table </w:t>
      </w:r>
      <w:r w:rsidRPr="0054775B">
        <w:rPr>
          <w:rFonts w:ascii="Aptos" w:hAnsi="Aptos"/>
        </w:rPr>
        <w:fldChar w:fldCharType="begin"/>
      </w:r>
      <w:r w:rsidRPr="0054775B">
        <w:rPr>
          <w:rFonts w:ascii="Aptos" w:hAnsi="Aptos"/>
        </w:rPr>
        <w:instrText>SEQ Table \* ARABIC</w:instrText>
      </w:r>
      <w:r w:rsidRPr="0054775B">
        <w:rPr>
          <w:rFonts w:ascii="Aptos" w:hAnsi="Aptos"/>
        </w:rPr>
        <w:fldChar w:fldCharType="separate"/>
      </w:r>
      <w:r w:rsidR="00CB3AAD" w:rsidRPr="0054775B" w:rsidDel="004E7C54">
        <w:rPr>
          <w:rFonts w:ascii="Aptos" w:hAnsi="Aptos"/>
          <w:noProof/>
        </w:rPr>
        <w:t>40</w:t>
      </w:r>
      <w:r w:rsidRPr="0054775B">
        <w:rPr>
          <w:rFonts w:ascii="Aptos" w:hAnsi="Aptos"/>
        </w:rPr>
        <w:fldChar w:fldCharType="end"/>
      </w:r>
      <w:r w:rsidRPr="0054775B">
        <w:rPr>
          <w:rFonts w:ascii="Aptos" w:hAnsi="Aptos"/>
        </w:rPr>
        <w:t xml:space="preserve">. </w:t>
      </w:r>
      <w:r w:rsidR="00C519F7" w:rsidRPr="0054775B">
        <w:rPr>
          <w:rFonts w:ascii="Aptos" w:hAnsi="Aptos"/>
        </w:rPr>
        <w:t xml:space="preserve">Contributing </w:t>
      </w:r>
      <w:r w:rsidRPr="0054775B">
        <w:rPr>
          <w:rFonts w:ascii="Aptos" w:hAnsi="Aptos"/>
        </w:rPr>
        <w:t>reviews for each population and intervention/co-intervention combination – hypertension, omega-3</w:t>
      </w:r>
      <w:r w:rsidR="001D0020" w:rsidRPr="001D0020">
        <w:t xml:space="preserve"> </w:t>
      </w:r>
      <w:r w:rsidR="001D0020">
        <w:t>fatty acids</w:t>
      </w:r>
      <w:r w:rsidR="00C519F7" w:rsidRPr="0054775B">
        <w:rPr>
          <w:rFonts w:ascii="Aptos" w:hAnsi="Aptos"/>
        </w:rPr>
        <w:t>.</w:t>
      </w:r>
      <w:bookmarkEnd w:id="121"/>
    </w:p>
    <w:tbl>
      <w:tblPr>
        <w:tblStyle w:val="TableGrid"/>
        <w:tblW w:w="0" w:type="auto"/>
        <w:tblLook w:val="04A0" w:firstRow="1" w:lastRow="0" w:firstColumn="1" w:lastColumn="0" w:noHBand="0" w:noVBand="1"/>
      </w:tblPr>
      <w:tblGrid>
        <w:gridCol w:w="3681"/>
        <w:gridCol w:w="2769"/>
        <w:gridCol w:w="2770"/>
      </w:tblGrid>
      <w:tr w:rsidR="004668BA" w:rsidRPr="0054775B" w14:paraId="323A20D3" w14:textId="4AD5AFA5" w:rsidTr="006524FF">
        <w:trPr>
          <w:trHeight w:val="77"/>
        </w:trPr>
        <w:tc>
          <w:tcPr>
            <w:tcW w:w="3681" w:type="dxa"/>
            <w:shd w:val="clear" w:color="auto" w:fill="D9D9D9" w:themeFill="background1" w:themeFillShade="D9"/>
          </w:tcPr>
          <w:p w14:paraId="1E782D33" w14:textId="77777777" w:rsidR="004668BA" w:rsidRPr="0054775B" w:rsidRDefault="004668BA" w:rsidP="00515FE7">
            <w:pPr>
              <w:pStyle w:val="2024TABLEHEADER"/>
            </w:pPr>
          </w:p>
        </w:tc>
        <w:tc>
          <w:tcPr>
            <w:tcW w:w="2769" w:type="dxa"/>
            <w:shd w:val="clear" w:color="auto" w:fill="D9D9D9" w:themeFill="background1" w:themeFillShade="D9"/>
          </w:tcPr>
          <w:p w14:paraId="036AC5FD" w14:textId="097C51CC" w:rsidR="004668BA" w:rsidRPr="0054775B" w:rsidRDefault="004668BA" w:rsidP="00515FE7">
            <w:pPr>
              <w:pStyle w:val="2024TABLEHEADER"/>
            </w:pPr>
            <w:r w:rsidRPr="0054775B">
              <w:t xml:space="preserve">With </w:t>
            </w:r>
            <w:r w:rsidR="009A0E17" w:rsidRPr="0054775B">
              <w:t>hypertension</w:t>
            </w:r>
          </w:p>
        </w:tc>
        <w:tc>
          <w:tcPr>
            <w:tcW w:w="2770" w:type="dxa"/>
            <w:shd w:val="clear" w:color="auto" w:fill="D9D9D9" w:themeFill="background1" w:themeFillShade="D9"/>
          </w:tcPr>
          <w:p w14:paraId="02C03612" w14:textId="438A1C4A" w:rsidR="004668BA" w:rsidRPr="0054775B" w:rsidRDefault="009A0E17" w:rsidP="00515FE7">
            <w:pPr>
              <w:pStyle w:val="2024TABLEHEADER"/>
            </w:pPr>
            <w:r w:rsidRPr="0054775B">
              <w:t>At risk of hypertension</w:t>
            </w:r>
          </w:p>
        </w:tc>
      </w:tr>
      <w:tr w:rsidR="00916962" w:rsidRPr="0054775B" w14:paraId="5031C6D5" w14:textId="79E23DDF" w:rsidTr="006524FF">
        <w:trPr>
          <w:trHeight w:val="77"/>
        </w:trPr>
        <w:tc>
          <w:tcPr>
            <w:tcW w:w="3681" w:type="dxa"/>
            <w:shd w:val="clear" w:color="auto" w:fill="D9D9D9" w:themeFill="background1" w:themeFillShade="D9"/>
          </w:tcPr>
          <w:p w14:paraId="7B0A150B" w14:textId="7A9347FF" w:rsidR="00916962" w:rsidRPr="0054775B" w:rsidRDefault="00916962" w:rsidP="00916962">
            <w:pPr>
              <w:pStyle w:val="2024TABLEHEADER"/>
              <w:rPr>
                <w:rFonts w:eastAsiaTheme="minorHAnsi"/>
                <w:color w:val="000000" w:themeColor="text1"/>
                <w:lang w:eastAsia="en-US"/>
              </w:rPr>
            </w:pPr>
            <w:r w:rsidRPr="0054775B">
              <w:t xml:space="preserve">Omega-3 </w:t>
            </w:r>
            <w:r w:rsidR="001D0020">
              <w:t xml:space="preserve">fatty acids </w:t>
            </w:r>
            <w:r w:rsidRPr="0054775B">
              <w:t>VS placebo/inactive control</w:t>
            </w:r>
          </w:p>
        </w:tc>
        <w:tc>
          <w:tcPr>
            <w:tcW w:w="2769" w:type="dxa"/>
          </w:tcPr>
          <w:p w14:paraId="4CD63165" w14:textId="7AD01A05" w:rsidR="00916962" w:rsidRPr="0054775B" w:rsidRDefault="00916962" w:rsidP="00916962">
            <w:pPr>
              <w:pStyle w:val="2024TABLEHEADER"/>
              <w:framePr w:hSpace="180" w:wrap="around" w:vAnchor="text" w:hAnchor="text" w:y="1"/>
              <w:suppressOverlap/>
              <w:rPr>
                <w:b w:val="0"/>
                <w:bCs w:val="0"/>
                <w:color w:val="000000"/>
              </w:rPr>
            </w:pPr>
            <w:r w:rsidRPr="0054775B">
              <w:rPr>
                <w:b w:val="0"/>
                <w:bCs w:val="0"/>
                <w:color w:val="000000"/>
              </w:rPr>
              <w:t>Campbell 2013</w:t>
            </w:r>
          </w:p>
        </w:tc>
        <w:tc>
          <w:tcPr>
            <w:tcW w:w="2770" w:type="dxa"/>
          </w:tcPr>
          <w:p w14:paraId="776C878C" w14:textId="43FF607B" w:rsidR="00916962" w:rsidRPr="0054775B" w:rsidRDefault="00EC42AD" w:rsidP="00916962">
            <w:pPr>
              <w:pStyle w:val="2024TABLEHEADER"/>
              <w:framePr w:hSpace="180" w:wrap="around" w:vAnchor="text" w:hAnchor="text" w:y="1"/>
              <w:suppressOverlap/>
              <w:rPr>
                <w:b w:val="0"/>
                <w:bCs w:val="0"/>
                <w:color w:val="000000"/>
              </w:rPr>
            </w:pPr>
            <w:r w:rsidRPr="0054775B">
              <w:rPr>
                <w:b w:val="0"/>
                <w:bCs w:val="0"/>
                <w:color w:val="000000"/>
              </w:rPr>
              <w:t>-</w:t>
            </w:r>
          </w:p>
        </w:tc>
      </w:tr>
      <w:tr w:rsidR="00916962" w:rsidRPr="0054775B" w14:paraId="3E82B31B" w14:textId="77777777" w:rsidTr="006524FF">
        <w:trPr>
          <w:trHeight w:val="77"/>
        </w:trPr>
        <w:tc>
          <w:tcPr>
            <w:tcW w:w="3681" w:type="dxa"/>
            <w:shd w:val="clear" w:color="auto" w:fill="D9D9D9" w:themeFill="background1" w:themeFillShade="D9"/>
          </w:tcPr>
          <w:p w14:paraId="16F3A905" w14:textId="3622D286" w:rsidR="00916962" w:rsidRPr="0054775B" w:rsidRDefault="00916962" w:rsidP="00916962">
            <w:pPr>
              <w:pStyle w:val="2024TABLEHEADER"/>
            </w:pPr>
            <w:r w:rsidRPr="0054775B">
              <w:t>Omega-3</w:t>
            </w:r>
            <w:r w:rsidR="001D0020">
              <w:t xml:space="preserve"> fatty acids</w:t>
            </w:r>
            <w:r w:rsidRPr="0054775B">
              <w:t xml:space="preserve"> + naturopathy co-intervention VS placebo/inactive control</w:t>
            </w:r>
          </w:p>
        </w:tc>
        <w:tc>
          <w:tcPr>
            <w:tcW w:w="2769" w:type="dxa"/>
          </w:tcPr>
          <w:p w14:paraId="1CA7DD8A" w14:textId="1653F4E3" w:rsidR="00916962" w:rsidRPr="0054775B" w:rsidRDefault="00916962" w:rsidP="00916962">
            <w:pPr>
              <w:pStyle w:val="2024TABLETEXT"/>
              <w:framePr w:wrap="around"/>
              <w:rPr>
                <w:rFonts w:eastAsiaTheme="minorHAnsi"/>
              </w:rPr>
            </w:pPr>
            <w:r w:rsidRPr="0054775B">
              <w:rPr>
                <w:rFonts w:eastAsiaTheme="minorHAnsi"/>
              </w:rPr>
              <w:t>-</w:t>
            </w:r>
          </w:p>
        </w:tc>
        <w:tc>
          <w:tcPr>
            <w:tcW w:w="2770" w:type="dxa"/>
          </w:tcPr>
          <w:p w14:paraId="6EEABDDD" w14:textId="2DE67545" w:rsidR="00916962" w:rsidRPr="0054775B" w:rsidRDefault="00916962" w:rsidP="00916962">
            <w:pPr>
              <w:pStyle w:val="2024TABLETEXT"/>
              <w:framePr w:wrap="around"/>
              <w:rPr>
                <w:rFonts w:eastAsiaTheme="minorHAnsi"/>
              </w:rPr>
            </w:pPr>
            <w:r w:rsidRPr="0054775B">
              <w:rPr>
                <w:rFonts w:eastAsiaTheme="minorHAnsi"/>
              </w:rPr>
              <w:t>-</w:t>
            </w:r>
          </w:p>
        </w:tc>
      </w:tr>
    </w:tbl>
    <w:p w14:paraId="18294CDA" w14:textId="4EED6506" w:rsidR="00FD5B3E" w:rsidRPr="0054775B" w:rsidRDefault="00FD5B3E" w:rsidP="00FD5B3E">
      <w:pPr>
        <w:rPr>
          <w:noProof/>
        </w:rPr>
      </w:pPr>
    </w:p>
    <w:p w14:paraId="6B605FBD" w14:textId="4DBE213F" w:rsidR="007932FC" w:rsidRDefault="007932FC" w:rsidP="009E6F7F">
      <w:pPr>
        <w:sectPr w:rsidR="007932FC" w:rsidSect="006A72DC">
          <w:pgSz w:w="11910" w:h="16840"/>
          <w:pgMar w:top="1356" w:right="1340" w:bottom="280" w:left="1340" w:header="720" w:footer="720" w:gutter="0"/>
          <w:cols w:space="720"/>
        </w:sectPr>
      </w:pPr>
    </w:p>
    <w:p w14:paraId="18F7A279" w14:textId="77777777" w:rsidR="00961DBA" w:rsidRPr="0054775B" w:rsidRDefault="00961DBA" w:rsidP="00961DBA">
      <w:pPr>
        <w:pStyle w:val="2024HEADER3"/>
        <w:rPr>
          <w:rFonts w:ascii="Aptos" w:hAnsi="Aptos"/>
        </w:rPr>
      </w:pPr>
      <w:r w:rsidRPr="0054775B">
        <w:rPr>
          <w:rFonts w:ascii="Aptos" w:hAnsi="Aptos"/>
        </w:rPr>
        <w:lastRenderedPageBreak/>
        <w:t>Summary of findings and evidence statements</w:t>
      </w:r>
    </w:p>
    <w:p w14:paraId="120E5E6F" w14:textId="700C4D58" w:rsidR="007932FC" w:rsidRPr="0054775B" w:rsidRDefault="007932FC" w:rsidP="007932FC">
      <w:pPr>
        <w:pStyle w:val="2024TABLECAPTION"/>
        <w:rPr>
          <w:rFonts w:ascii="Aptos" w:hAnsi="Aptos"/>
        </w:rPr>
      </w:pPr>
      <w:bookmarkStart w:id="122" w:name="_Toc185261619"/>
      <w:r w:rsidRPr="0054775B">
        <w:rPr>
          <w:rFonts w:ascii="Aptos" w:hAnsi="Aptos"/>
        </w:rPr>
        <w:t xml:space="preserve">Table </w:t>
      </w:r>
      <w:r w:rsidRPr="0054775B">
        <w:rPr>
          <w:rFonts w:ascii="Aptos" w:hAnsi="Aptos"/>
        </w:rPr>
        <w:fldChar w:fldCharType="begin"/>
      </w:r>
      <w:r w:rsidRPr="0054775B">
        <w:rPr>
          <w:rFonts w:ascii="Aptos" w:hAnsi="Aptos"/>
        </w:rPr>
        <w:instrText>SEQ Table \* ARABIC</w:instrText>
      </w:r>
      <w:r w:rsidRPr="0054775B">
        <w:rPr>
          <w:rFonts w:ascii="Aptos" w:hAnsi="Aptos"/>
        </w:rPr>
        <w:fldChar w:fldCharType="separate"/>
      </w:r>
      <w:r w:rsidRPr="0054775B" w:rsidDel="004E7C54">
        <w:rPr>
          <w:rFonts w:ascii="Aptos" w:hAnsi="Aptos"/>
          <w:noProof/>
        </w:rPr>
        <w:t>41</w:t>
      </w:r>
      <w:r w:rsidRPr="0054775B">
        <w:rPr>
          <w:rFonts w:ascii="Aptos" w:hAnsi="Aptos"/>
        </w:rPr>
        <w:fldChar w:fldCharType="end"/>
      </w:r>
      <w:r w:rsidRPr="0054775B">
        <w:rPr>
          <w:rFonts w:ascii="Aptos" w:hAnsi="Aptos"/>
        </w:rPr>
        <w:t>. Omega-3</w:t>
      </w:r>
      <w:r w:rsidR="001D0020" w:rsidRPr="001D0020">
        <w:t xml:space="preserve"> </w:t>
      </w:r>
      <w:r w:rsidR="001D0020">
        <w:t>fatty acids</w:t>
      </w:r>
      <w:r w:rsidRPr="0054775B">
        <w:rPr>
          <w:rFonts w:ascii="Aptos" w:hAnsi="Aptos"/>
        </w:rPr>
        <w:t xml:space="preserve"> compared to placebo/inactive control for people with hypertension</w:t>
      </w:r>
      <w:bookmarkEnd w:id="122"/>
    </w:p>
    <w:tbl>
      <w:tblPr>
        <w:tblpPr w:leftFromText="180" w:rightFromText="180" w:vertAnchor="text" w:tblpY="1"/>
        <w:tblOverlap w:val="never"/>
        <w:tblW w:w="4615" w:type="pct"/>
        <w:tblLayout w:type="fixed"/>
        <w:tblCellMar>
          <w:top w:w="28" w:type="dxa"/>
          <w:left w:w="57" w:type="dxa"/>
          <w:bottom w:w="28" w:type="dxa"/>
          <w:right w:w="28" w:type="dxa"/>
        </w:tblCellMar>
        <w:tblLook w:val="04A0" w:firstRow="1" w:lastRow="0" w:firstColumn="1" w:lastColumn="0" w:noHBand="0" w:noVBand="1"/>
      </w:tblPr>
      <w:tblGrid>
        <w:gridCol w:w="851"/>
        <w:gridCol w:w="3545"/>
        <w:gridCol w:w="1274"/>
        <w:gridCol w:w="1420"/>
        <w:gridCol w:w="1274"/>
        <w:gridCol w:w="1274"/>
        <w:gridCol w:w="4395"/>
      </w:tblGrid>
      <w:tr w:rsidR="007932FC" w:rsidRPr="0054775B" w14:paraId="39779C5B" w14:textId="77777777" w:rsidTr="00F1522E">
        <w:trPr>
          <w:cantSplit/>
        </w:trPr>
        <w:tc>
          <w:tcPr>
            <w:tcW w:w="5000" w:type="pct"/>
            <w:gridSpan w:val="7"/>
            <w:tcBorders>
              <w:top w:val="single" w:sz="12" w:space="0" w:color="000000"/>
              <w:left w:val="nil"/>
              <w:bottom w:val="single" w:sz="12" w:space="0" w:color="000000"/>
              <w:right w:val="nil"/>
            </w:tcBorders>
          </w:tcPr>
          <w:p w14:paraId="4C49750E" w14:textId="77777777" w:rsidR="007932FC" w:rsidRPr="0054775B" w:rsidRDefault="007932FC" w:rsidP="00F1522E">
            <w:pPr>
              <w:pStyle w:val="2024TABLETEXT"/>
              <w:framePr w:hSpace="0" w:wrap="auto" w:vAnchor="margin" w:yAlign="inline"/>
              <w:suppressOverlap w:val="0"/>
              <w:rPr>
                <w:rStyle w:val="Strong"/>
              </w:rPr>
            </w:pPr>
            <w:r w:rsidRPr="0054775B">
              <w:rPr>
                <w:rStyle w:val="Strong"/>
                <w:b w:val="0"/>
                <w:bCs w:val="0"/>
              </w:rPr>
              <w:t>Patient or population:</w:t>
            </w:r>
            <w:r w:rsidRPr="0054775B">
              <w:rPr>
                <w:rStyle w:val="Strong"/>
              </w:rPr>
              <w:t xml:space="preserve"> Hypertension</w:t>
            </w:r>
          </w:p>
          <w:p w14:paraId="391C84C9" w14:textId="2EACD4CB" w:rsidR="007932FC" w:rsidRPr="0054775B" w:rsidRDefault="007932FC" w:rsidP="00F1522E">
            <w:pPr>
              <w:pStyle w:val="2024TABLETEXT"/>
              <w:framePr w:hSpace="0" w:wrap="auto" w:vAnchor="margin" w:yAlign="inline"/>
              <w:suppressOverlap w:val="0"/>
              <w:rPr>
                <w:rStyle w:val="Strong"/>
              </w:rPr>
            </w:pPr>
            <w:r w:rsidRPr="0054775B">
              <w:rPr>
                <w:rStyle w:val="Strong"/>
                <w:b w:val="0"/>
                <w:bCs w:val="0"/>
              </w:rPr>
              <w:t>Intervention:</w:t>
            </w:r>
            <w:r w:rsidRPr="0054775B">
              <w:rPr>
                <w:rStyle w:val="Strong"/>
              </w:rPr>
              <w:t xml:space="preserve"> Omega-3</w:t>
            </w:r>
            <w:r w:rsidR="001D0020">
              <w:t xml:space="preserve"> fatty acids</w:t>
            </w:r>
          </w:p>
          <w:p w14:paraId="161EDFAD" w14:textId="77777777" w:rsidR="007932FC" w:rsidRPr="0054775B" w:rsidRDefault="007932FC" w:rsidP="00F1522E">
            <w:pPr>
              <w:pStyle w:val="2024TABLETEXT"/>
              <w:framePr w:hSpace="0" w:wrap="auto" w:vAnchor="margin" w:yAlign="inline"/>
              <w:suppressOverlap w:val="0"/>
            </w:pPr>
            <w:r w:rsidRPr="0054775B">
              <w:rPr>
                <w:rStyle w:val="Strong"/>
                <w:b w:val="0"/>
                <w:bCs w:val="0"/>
              </w:rPr>
              <w:t>Comparison:</w:t>
            </w:r>
            <w:r w:rsidRPr="0054775B">
              <w:rPr>
                <w:rStyle w:val="Strong"/>
              </w:rPr>
              <w:t xml:space="preserve"> Placebo/inactive control</w:t>
            </w:r>
          </w:p>
        </w:tc>
      </w:tr>
      <w:tr w:rsidR="00CC11C7" w:rsidRPr="0054775B" w14:paraId="7F32086C" w14:textId="77777777" w:rsidTr="00C63A25">
        <w:trPr>
          <w:cantSplit/>
          <w:trHeight w:val="567"/>
        </w:trPr>
        <w:tc>
          <w:tcPr>
            <w:tcW w:w="303" w:type="pct"/>
            <w:tcBorders>
              <w:right w:val="single" w:sz="6" w:space="0" w:color="EFEFEF"/>
            </w:tcBorders>
            <w:shd w:val="clear" w:color="auto" w:fill="FFE599" w:themeFill="accent4" w:themeFillTint="66"/>
            <w:vAlign w:val="bottom"/>
          </w:tcPr>
          <w:p w14:paraId="3CB624DA" w14:textId="77777777" w:rsidR="007932FC" w:rsidRPr="0054775B" w:rsidRDefault="007932FC" w:rsidP="00F1522E">
            <w:pPr>
              <w:pStyle w:val="2024TABLEHEADER"/>
            </w:pPr>
            <w:r w:rsidRPr="0054775B">
              <w:t>NTWC Rating*</w:t>
            </w:r>
          </w:p>
        </w:tc>
        <w:tc>
          <w:tcPr>
            <w:tcW w:w="1263" w:type="pct"/>
            <w:tcBorders>
              <w:right w:val="single" w:sz="6" w:space="0" w:color="EFEFEF"/>
            </w:tcBorders>
            <w:shd w:val="clear" w:color="auto" w:fill="FFE599" w:themeFill="accent4" w:themeFillTint="66"/>
            <w:vAlign w:val="bottom"/>
            <w:hideMark/>
          </w:tcPr>
          <w:p w14:paraId="32B09836" w14:textId="77777777" w:rsidR="007932FC" w:rsidRPr="0054775B" w:rsidRDefault="007932FC" w:rsidP="00F1522E">
            <w:pPr>
              <w:pStyle w:val="2024TABLEHEADER"/>
            </w:pPr>
            <w:r w:rsidRPr="0054775B">
              <w:t>Outcomes</w:t>
            </w:r>
          </w:p>
        </w:tc>
        <w:tc>
          <w:tcPr>
            <w:tcW w:w="454" w:type="pct"/>
            <w:shd w:val="clear" w:color="auto" w:fill="FFF2CC" w:themeFill="accent4" w:themeFillTint="33"/>
            <w:vAlign w:val="bottom"/>
          </w:tcPr>
          <w:p w14:paraId="3BCC215D" w14:textId="74BA690D" w:rsidR="007932FC" w:rsidRPr="0054775B" w:rsidRDefault="007932FC" w:rsidP="00F1522E">
            <w:pPr>
              <w:pStyle w:val="2024TABLEHEADER"/>
            </w:pPr>
            <w:r w:rsidRPr="0054775B">
              <w:t>Contributing review</w:t>
            </w:r>
          </w:p>
        </w:tc>
        <w:tc>
          <w:tcPr>
            <w:tcW w:w="506" w:type="pct"/>
            <w:tcBorders>
              <w:top w:val="single" w:sz="6" w:space="0" w:color="EFEFEF"/>
              <w:right w:val="single" w:sz="6" w:space="0" w:color="EFEFEF"/>
            </w:tcBorders>
            <w:shd w:val="clear" w:color="auto" w:fill="E0E0E0"/>
            <w:vAlign w:val="bottom"/>
          </w:tcPr>
          <w:p w14:paraId="2128CD25" w14:textId="77777777" w:rsidR="007932FC" w:rsidRPr="0054775B" w:rsidRDefault="007932FC" w:rsidP="00F1522E">
            <w:pPr>
              <w:pStyle w:val="2024TABLEHEADER"/>
            </w:pPr>
            <w:r w:rsidRPr="0054775B">
              <w:t>Relative effect</w:t>
            </w:r>
            <w:r w:rsidRPr="0054775B">
              <w:br/>
              <w:t>(95% CI)</w:t>
            </w:r>
          </w:p>
        </w:tc>
        <w:tc>
          <w:tcPr>
            <w:tcW w:w="454" w:type="pct"/>
            <w:tcBorders>
              <w:right w:val="single" w:sz="6" w:space="0" w:color="EFEFEF"/>
            </w:tcBorders>
            <w:shd w:val="clear" w:color="auto" w:fill="FFE599" w:themeFill="accent4" w:themeFillTint="66"/>
            <w:vAlign w:val="bottom"/>
            <w:hideMark/>
          </w:tcPr>
          <w:p w14:paraId="3552CE8C" w14:textId="77777777" w:rsidR="007932FC" w:rsidRPr="0054775B" w:rsidRDefault="007932FC" w:rsidP="00F1522E">
            <w:pPr>
              <w:pStyle w:val="2024TABLEHEADER"/>
            </w:pPr>
            <w:r w:rsidRPr="0054775B">
              <w:t>№ of participants</w:t>
            </w:r>
            <w:r w:rsidRPr="0054775B">
              <w:br/>
              <w:t>(studies)</w:t>
            </w:r>
          </w:p>
        </w:tc>
        <w:tc>
          <w:tcPr>
            <w:tcW w:w="454" w:type="pct"/>
            <w:tcBorders>
              <w:right w:val="single" w:sz="6" w:space="0" w:color="EFEFEF"/>
            </w:tcBorders>
            <w:shd w:val="clear" w:color="auto" w:fill="FFE599" w:themeFill="accent4" w:themeFillTint="66"/>
            <w:vAlign w:val="bottom"/>
            <w:hideMark/>
          </w:tcPr>
          <w:p w14:paraId="44CA9CFD" w14:textId="77777777" w:rsidR="007932FC" w:rsidRPr="0054775B" w:rsidRDefault="007932FC" w:rsidP="00F1522E">
            <w:pPr>
              <w:pStyle w:val="2024TABLEHEADER"/>
            </w:pPr>
            <w:r w:rsidRPr="0054775B">
              <w:t>Certainty of the evidence</w:t>
            </w:r>
            <w:r w:rsidRPr="0054775B">
              <w:br/>
              <w:t>(GRADE)</w:t>
            </w:r>
          </w:p>
        </w:tc>
        <w:tc>
          <w:tcPr>
            <w:tcW w:w="1566" w:type="pct"/>
            <w:tcBorders>
              <w:right w:val="single" w:sz="6" w:space="0" w:color="EFEFEF"/>
            </w:tcBorders>
            <w:shd w:val="clear" w:color="auto" w:fill="FFE599" w:themeFill="accent4" w:themeFillTint="66"/>
            <w:vAlign w:val="bottom"/>
            <w:hideMark/>
          </w:tcPr>
          <w:p w14:paraId="2BF55E5E" w14:textId="77777777" w:rsidR="007932FC" w:rsidRPr="0054775B" w:rsidRDefault="007932FC" w:rsidP="00F1522E">
            <w:pPr>
              <w:pStyle w:val="2024TABLEHEADER"/>
            </w:pPr>
            <w:r w:rsidRPr="0054775B">
              <w:t>Evidence statement</w:t>
            </w:r>
          </w:p>
        </w:tc>
      </w:tr>
    </w:tbl>
    <w:tbl>
      <w:tblPr>
        <w:tblW w:w="4615" w:type="pct"/>
        <w:tblLayout w:type="fixed"/>
        <w:tblCellMar>
          <w:top w:w="28" w:type="dxa"/>
          <w:left w:w="57" w:type="dxa"/>
          <w:bottom w:w="28" w:type="dxa"/>
          <w:right w:w="28" w:type="dxa"/>
        </w:tblCellMar>
        <w:tblLook w:val="04A0" w:firstRow="1" w:lastRow="0" w:firstColumn="1" w:lastColumn="0" w:noHBand="0" w:noVBand="1"/>
      </w:tblPr>
      <w:tblGrid>
        <w:gridCol w:w="711"/>
        <w:gridCol w:w="3685"/>
        <w:gridCol w:w="1274"/>
        <w:gridCol w:w="1420"/>
        <w:gridCol w:w="1274"/>
        <w:gridCol w:w="1274"/>
        <w:gridCol w:w="4395"/>
      </w:tblGrid>
      <w:tr w:rsidR="002B69D4" w:rsidRPr="0054775B" w14:paraId="5D574E29" w14:textId="77777777" w:rsidTr="00C63A25">
        <w:trPr>
          <w:cantSplit/>
          <w:trHeight w:val="671"/>
        </w:trPr>
        <w:tc>
          <w:tcPr>
            <w:tcW w:w="253" w:type="pct"/>
            <w:vMerge w:val="restart"/>
            <w:tcBorders>
              <w:top w:val="single" w:sz="6" w:space="0" w:color="000000"/>
              <w:left w:val="nil"/>
              <w:right w:val="nil"/>
            </w:tcBorders>
            <w:vAlign w:val="center"/>
          </w:tcPr>
          <w:p w14:paraId="3D7A13FE" w14:textId="77777777" w:rsidR="00C63A25" w:rsidRPr="0054775B" w:rsidRDefault="00C63A25" w:rsidP="00F1522E">
            <w:pPr>
              <w:pStyle w:val="2024TABLETEXT"/>
              <w:framePr w:hSpace="0" w:wrap="auto" w:vAnchor="margin" w:yAlign="inline"/>
              <w:suppressOverlap w:val="0"/>
            </w:pPr>
            <w:r w:rsidRPr="0054775B">
              <w:t>9</w:t>
            </w:r>
          </w:p>
        </w:tc>
        <w:tc>
          <w:tcPr>
            <w:tcW w:w="1313" w:type="pct"/>
            <w:tcBorders>
              <w:top w:val="single" w:sz="6" w:space="0" w:color="000000"/>
              <w:left w:val="nil"/>
              <w:bottom w:val="single" w:sz="6" w:space="0" w:color="000000"/>
              <w:right w:val="nil"/>
            </w:tcBorders>
            <w:vAlign w:val="center"/>
            <w:hideMark/>
          </w:tcPr>
          <w:p w14:paraId="0F5DBB63" w14:textId="77777777" w:rsidR="00C63A25" w:rsidRPr="0054775B" w:rsidRDefault="00C63A25" w:rsidP="00F1522E">
            <w:pPr>
              <w:pStyle w:val="2024TABLETEXT"/>
              <w:framePr w:hSpace="0" w:wrap="auto" w:vAnchor="margin" w:yAlign="inline"/>
              <w:spacing w:after="120"/>
              <w:ind w:left="87"/>
              <w:suppressOverlap w:val="0"/>
              <w:rPr>
                <w:b/>
                <w:bCs/>
              </w:rPr>
            </w:pPr>
            <w:r w:rsidRPr="0054775B">
              <w:rPr>
                <w:b/>
                <w:bCs/>
              </w:rPr>
              <w:t>Blood pressure (systolic, diastolic)</w:t>
            </w:r>
          </w:p>
          <w:p w14:paraId="19EA7CB7" w14:textId="77777777" w:rsidR="00C63A25" w:rsidRPr="0054775B" w:rsidRDefault="00C63A25" w:rsidP="00F1522E">
            <w:pPr>
              <w:pStyle w:val="2024TABLETEXT"/>
              <w:framePr w:hSpace="0" w:wrap="auto" w:vAnchor="margin" w:yAlign="inline"/>
              <w:ind w:left="370"/>
              <w:suppressOverlap w:val="0"/>
            </w:pPr>
            <w:r w:rsidRPr="0054775B">
              <w:rPr>
                <w:b/>
                <w:bCs/>
              </w:rPr>
              <w:t>Dose:</w:t>
            </w:r>
            <w:r w:rsidRPr="0054775B">
              <w:t xml:space="preserve"> Fish-oil (EPA + DHA, capsule form, up to 13.33g/day; 8 to 24 weeks)</w:t>
            </w:r>
          </w:p>
          <w:p w14:paraId="53BF315A" w14:textId="77777777" w:rsidR="00C63A25" w:rsidRPr="0054775B" w:rsidRDefault="00C63A25" w:rsidP="00F1522E">
            <w:pPr>
              <w:pStyle w:val="2024TABLETEXT"/>
              <w:framePr w:hSpace="0" w:wrap="auto" w:vAnchor="margin" w:yAlign="inline"/>
              <w:ind w:left="370"/>
              <w:suppressOverlap w:val="0"/>
            </w:pPr>
            <w:r w:rsidRPr="0054775B">
              <w:rPr>
                <w:b/>
                <w:bCs/>
              </w:rPr>
              <w:t>Follow up:</w:t>
            </w:r>
            <w:r w:rsidRPr="0054775B">
              <w:t xml:space="preserve"> 8-24 weeks</w:t>
            </w:r>
          </w:p>
        </w:tc>
        <w:tc>
          <w:tcPr>
            <w:tcW w:w="454" w:type="pct"/>
            <w:vMerge w:val="restart"/>
            <w:tcBorders>
              <w:top w:val="single" w:sz="6" w:space="0" w:color="000000"/>
              <w:left w:val="nil"/>
              <w:right w:val="nil"/>
            </w:tcBorders>
            <w:vAlign w:val="center"/>
          </w:tcPr>
          <w:p w14:paraId="68D51E5D" w14:textId="12A457E1" w:rsidR="00C63A25" w:rsidRPr="0054775B" w:rsidRDefault="00C63A25" w:rsidP="001428E8">
            <w:pPr>
              <w:pStyle w:val="2024TABLETEXT"/>
              <w:framePr w:hSpace="0" w:wrap="auto" w:vAnchor="margin" w:yAlign="inline"/>
              <w:suppressOverlap w:val="0"/>
            </w:pPr>
            <w:r w:rsidRPr="0054775B">
              <w:rPr>
                <w:rFonts w:eastAsiaTheme="minorHAnsi"/>
                <w:lang w:eastAsia="en-US"/>
              </w:rPr>
              <w:t>Campbell 2013</w:t>
            </w:r>
          </w:p>
        </w:tc>
        <w:tc>
          <w:tcPr>
            <w:tcW w:w="506" w:type="pct"/>
            <w:tcBorders>
              <w:top w:val="single" w:sz="6" w:space="0" w:color="000000"/>
              <w:left w:val="nil"/>
              <w:bottom w:val="single" w:sz="6" w:space="0" w:color="000000"/>
              <w:right w:val="nil"/>
            </w:tcBorders>
            <w:shd w:val="clear" w:color="auto" w:fill="auto"/>
            <w:vAlign w:val="center"/>
            <w:hideMark/>
          </w:tcPr>
          <w:p w14:paraId="52FAB95D" w14:textId="6A4D5990" w:rsidR="00C63A25" w:rsidRPr="0054775B" w:rsidRDefault="00C63A25" w:rsidP="00F1522E">
            <w:pPr>
              <w:pStyle w:val="2024TABLETEXT"/>
              <w:framePr w:hSpace="0" w:wrap="auto" w:vAnchor="margin" w:yAlign="inline"/>
              <w:suppressOverlap w:val="0"/>
            </w:pPr>
          </w:p>
        </w:tc>
        <w:tc>
          <w:tcPr>
            <w:tcW w:w="454" w:type="pct"/>
            <w:tcBorders>
              <w:top w:val="single" w:sz="6" w:space="0" w:color="000000"/>
              <w:left w:val="nil"/>
              <w:bottom w:val="single" w:sz="6" w:space="0" w:color="000000"/>
              <w:right w:val="nil"/>
            </w:tcBorders>
            <w:vAlign w:val="center"/>
            <w:hideMark/>
          </w:tcPr>
          <w:p w14:paraId="77A60DFB" w14:textId="3A76A9A8" w:rsidR="00C63A25" w:rsidRPr="0054775B" w:rsidRDefault="00C63A25" w:rsidP="00F1522E">
            <w:pPr>
              <w:pStyle w:val="2024TABLETEXT"/>
              <w:framePr w:hSpace="0" w:wrap="auto" w:vAnchor="margin" w:yAlign="inline"/>
              <w:suppressOverlap w:val="0"/>
            </w:pPr>
          </w:p>
        </w:tc>
        <w:tc>
          <w:tcPr>
            <w:tcW w:w="454" w:type="pct"/>
            <w:tcBorders>
              <w:top w:val="single" w:sz="6" w:space="0" w:color="000000"/>
              <w:left w:val="nil"/>
              <w:bottom w:val="single" w:sz="6" w:space="0" w:color="000000"/>
              <w:right w:val="nil"/>
            </w:tcBorders>
            <w:vAlign w:val="center"/>
          </w:tcPr>
          <w:p w14:paraId="38735749" w14:textId="77777777" w:rsidR="00C63A25" w:rsidRPr="0054775B" w:rsidRDefault="00C63A25" w:rsidP="00F1522E">
            <w:pPr>
              <w:pStyle w:val="2024TABLETEXT"/>
              <w:framePr w:hSpace="0" w:wrap="auto" w:vAnchor="margin" w:yAlign="inline"/>
              <w:suppressOverlap w:val="0"/>
              <w:rPr>
                <w:rStyle w:val="FootnoteReference"/>
                <w:caps/>
              </w:rPr>
            </w:pPr>
          </w:p>
        </w:tc>
        <w:tc>
          <w:tcPr>
            <w:tcW w:w="1566" w:type="pct"/>
            <w:tcBorders>
              <w:top w:val="single" w:sz="6" w:space="0" w:color="000000"/>
              <w:left w:val="nil"/>
              <w:bottom w:val="single" w:sz="6" w:space="0" w:color="000000"/>
              <w:right w:val="nil"/>
            </w:tcBorders>
            <w:vAlign w:val="center"/>
          </w:tcPr>
          <w:p w14:paraId="3BE86429" w14:textId="77777777" w:rsidR="00C63A25" w:rsidRPr="0054775B" w:rsidRDefault="00C63A25" w:rsidP="00F1522E">
            <w:pPr>
              <w:pStyle w:val="2024TABLETEXT"/>
              <w:framePr w:hSpace="0" w:wrap="auto" w:vAnchor="margin" w:yAlign="inline"/>
              <w:suppressOverlap w:val="0"/>
            </w:pPr>
          </w:p>
        </w:tc>
      </w:tr>
      <w:tr w:rsidR="00CA696B" w:rsidRPr="0054775B" w14:paraId="08FDAAFF" w14:textId="77777777" w:rsidTr="00C63A25">
        <w:trPr>
          <w:cantSplit/>
          <w:trHeight w:val="671"/>
        </w:trPr>
        <w:tc>
          <w:tcPr>
            <w:tcW w:w="253" w:type="pct"/>
            <w:vMerge/>
            <w:tcBorders>
              <w:left w:val="nil"/>
              <w:right w:val="nil"/>
            </w:tcBorders>
            <w:vAlign w:val="center"/>
          </w:tcPr>
          <w:p w14:paraId="795E6FDB" w14:textId="77777777" w:rsidR="00C63A25" w:rsidRPr="0054775B" w:rsidRDefault="00C63A25" w:rsidP="00F1522E">
            <w:pPr>
              <w:pStyle w:val="2024TABLETEXT"/>
              <w:framePr w:hSpace="0" w:wrap="auto" w:vAnchor="margin" w:yAlign="inline"/>
              <w:suppressOverlap w:val="0"/>
            </w:pPr>
          </w:p>
        </w:tc>
        <w:tc>
          <w:tcPr>
            <w:tcW w:w="1313" w:type="pct"/>
            <w:tcBorders>
              <w:top w:val="single" w:sz="6" w:space="0" w:color="000000"/>
              <w:left w:val="nil"/>
              <w:bottom w:val="single" w:sz="6" w:space="0" w:color="000000"/>
              <w:right w:val="nil"/>
            </w:tcBorders>
            <w:vAlign w:val="center"/>
          </w:tcPr>
          <w:p w14:paraId="36F61327" w14:textId="514E03BB" w:rsidR="00C63A25" w:rsidRPr="0054775B" w:rsidRDefault="00C63A25" w:rsidP="00F1522E">
            <w:pPr>
              <w:pStyle w:val="2024TABLETEXT"/>
              <w:framePr w:hSpace="0" w:wrap="auto" w:vAnchor="margin" w:yAlign="inline"/>
              <w:ind w:left="369"/>
              <w:suppressOverlap w:val="0"/>
              <w:rPr>
                <w:b/>
                <w:bCs/>
              </w:rPr>
            </w:pPr>
            <w:r w:rsidRPr="0054775B">
              <w:rPr>
                <w:b/>
                <w:bCs/>
              </w:rPr>
              <w:t>Systolic blood pressure</w:t>
            </w:r>
            <w:r w:rsidR="0024590D">
              <w:rPr>
                <w:b/>
                <w:bCs/>
              </w:rPr>
              <w:t xml:space="preserve"> (mm Hg)</w:t>
            </w:r>
          </w:p>
        </w:tc>
        <w:tc>
          <w:tcPr>
            <w:tcW w:w="454" w:type="pct"/>
            <w:vMerge/>
            <w:tcBorders>
              <w:left w:val="nil"/>
              <w:right w:val="nil"/>
            </w:tcBorders>
            <w:vAlign w:val="center"/>
          </w:tcPr>
          <w:p w14:paraId="19499CE8" w14:textId="3F380AB6" w:rsidR="00C63A25" w:rsidRPr="0054775B" w:rsidRDefault="00C63A25" w:rsidP="00F1522E">
            <w:pPr>
              <w:pStyle w:val="2024TABLETEXT"/>
              <w:framePr w:wrap="around"/>
              <w:rPr>
                <w:rFonts w:eastAsiaTheme="minorHAnsi"/>
                <w:lang w:eastAsia="en-US"/>
              </w:rPr>
            </w:pPr>
          </w:p>
        </w:tc>
        <w:tc>
          <w:tcPr>
            <w:tcW w:w="506" w:type="pct"/>
            <w:tcBorders>
              <w:top w:val="single" w:sz="6" w:space="0" w:color="000000"/>
              <w:left w:val="nil"/>
              <w:bottom w:val="single" w:sz="6" w:space="0" w:color="000000"/>
              <w:right w:val="nil"/>
            </w:tcBorders>
            <w:shd w:val="clear" w:color="auto" w:fill="auto"/>
            <w:vAlign w:val="center"/>
          </w:tcPr>
          <w:p w14:paraId="38152CAD" w14:textId="658138D1" w:rsidR="00C63A25" w:rsidRPr="0054775B" w:rsidRDefault="00C63A25" w:rsidP="00F1522E">
            <w:pPr>
              <w:pStyle w:val="2024TABLETEXT"/>
              <w:framePr w:hSpace="0" w:wrap="auto" w:vAnchor="margin" w:yAlign="inline"/>
              <w:suppressOverlap w:val="0"/>
            </w:pPr>
            <w:r w:rsidRPr="0054775B">
              <w:t>MD = −2.56 (−0.58</w:t>
            </w:r>
            <w:r w:rsidR="0024590D">
              <w:t xml:space="preserve"> to </w:t>
            </w:r>
            <w:r w:rsidRPr="0054775B">
              <w:t>−4.53)</w:t>
            </w:r>
            <w:r>
              <w:t>#</w:t>
            </w:r>
          </w:p>
        </w:tc>
        <w:tc>
          <w:tcPr>
            <w:tcW w:w="454" w:type="pct"/>
            <w:tcBorders>
              <w:top w:val="single" w:sz="6" w:space="0" w:color="000000"/>
              <w:left w:val="nil"/>
              <w:bottom w:val="single" w:sz="6" w:space="0" w:color="000000"/>
              <w:right w:val="nil"/>
            </w:tcBorders>
            <w:vAlign w:val="center"/>
          </w:tcPr>
          <w:p w14:paraId="1F5FABC3" w14:textId="77777777" w:rsidR="00C63A25" w:rsidRPr="0054775B" w:rsidRDefault="00C63A25" w:rsidP="00F1522E">
            <w:pPr>
              <w:pStyle w:val="2024TABLETEXT"/>
              <w:framePr w:hSpace="0" w:wrap="auto" w:vAnchor="margin" w:yAlign="inline"/>
              <w:suppressOverlap w:val="0"/>
            </w:pPr>
            <w:r w:rsidRPr="0054775B">
              <w:t>475 (8)</w:t>
            </w:r>
          </w:p>
        </w:tc>
        <w:tc>
          <w:tcPr>
            <w:tcW w:w="454" w:type="pct"/>
            <w:tcBorders>
              <w:top w:val="single" w:sz="6" w:space="0" w:color="000000"/>
              <w:left w:val="nil"/>
              <w:bottom w:val="single" w:sz="6" w:space="0" w:color="000000"/>
              <w:right w:val="nil"/>
            </w:tcBorders>
            <w:vAlign w:val="center"/>
          </w:tcPr>
          <w:p w14:paraId="344D132F" w14:textId="77777777" w:rsidR="00C63A25" w:rsidRPr="0054775B" w:rsidRDefault="00C63A25" w:rsidP="00F1522E">
            <w:pPr>
              <w:pStyle w:val="2024TABLETEXT"/>
              <w:framePr w:hSpace="0" w:wrap="auto" w:vAnchor="margin" w:yAlign="inline"/>
              <w:suppressOverlap w:val="0"/>
            </w:pPr>
            <w:r w:rsidRPr="0054775B">
              <w:rPr>
                <w:rFonts w:ascii="Cambria Math" w:hAnsi="Cambria Math" w:cs="Cambria Math"/>
                <w:sz w:val="20"/>
                <w:szCs w:val="20"/>
              </w:rPr>
              <w:t>⨁⨁</w:t>
            </w:r>
            <w:r w:rsidRPr="0054775B">
              <w:rPr>
                <w:rFonts w:ascii="Segoe UI Symbol" w:hAnsi="Segoe UI Symbol" w:cs="Segoe UI Symbol"/>
              </w:rPr>
              <w:t>◯◯</w:t>
            </w:r>
            <w:r w:rsidRPr="0054775B">
              <w:br/>
              <w:t>LOW</w:t>
            </w:r>
            <w:r w:rsidRPr="0054775B">
              <w:rPr>
                <w:rStyle w:val="FootnoteReference"/>
              </w:rPr>
              <w:t xml:space="preserve"> </w:t>
            </w:r>
            <w:r w:rsidRPr="0054775B">
              <w:rPr>
                <w:vertAlign w:val="superscript"/>
              </w:rPr>
              <w:t>a</w:t>
            </w:r>
          </w:p>
        </w:tc>
        <w:tc>
          <w:tcPr>
            <w:tcW w:w="1566" w:type="pct"/>
            <w:tcBorders>
              <w:top w:val="single" w:sz="6" w:space="0" w:color="000000"/>
              <w:left w:val="nil"/>
              <w:bottom w:val="single" w:sz="6" w:space="0" w:color="000000"/>
              <w:right w:val="nil"/>
            </w:tcBorders>
            <w:vAlign w:val="center"/>
          </w:tcPr>
          <w:p w14:paraId="0BE5C686" w14:textId="3B9C2035" w:rsidR="00C63A25" w:rsidRPr="0054775B" w:rsidRDefault="00C63A25" w:rsidP="00F1522E">
            <w:pPr>
              <w:pStyle w:val="2024TABLETEXT"/>
              <w:framePr w:hSpace="0" w:wrap="auto" w:vAnchor="margin" w:yAlign="inline"/>
              <w:suppressOverlap w:val="0"/>
            </w:pPr>
            <w:r w:rsidRPr="0054775B">
              <w:t>Omega-3</w:t>
            </w:r>
            <w:r w:rsidR="001D0020">
              <w:t xml:space="preserve"> fatty acids</w:t>
            </w:r>
            <w:r w:rsidRPr="0054775B">
              <w:t xml:space="preserve"> may result in a</w:t>
            </w:r>
            <w:r w:rsidR="00FB574B">
              <w:t xml:space="preserve"> slight</w:t>
            </w:r>
            <w:r w:rsidRPr="0054775B">
              <w:t xml:space="preserve"> improvement in systolic blood pressure for people with hypertension.</w:t>
            </w:r>
          </w:p>
        </w:tc>
      </w:tr>
      <w:tr w:rsidR="002B69D4" w:rsidRPr="0054775B" w14:paraId="252253B5" w14:textId="77777777" w:rsidTr="00C63A25">
        <w:trPr>
          <w:cantSplit/>
          <w:trHeight w:val="671"/>
        </w:trPr>
        <w:tc>
          <w:tcPr>
            <w:tcW w:w="253" w:type="pct"/>
            <w:vMerge/>
            <w:tcBorders>
              <w:left w:val="nil"/>
              <w:bottom w:val="single" w:sz="6" w:space="0" w:color="000000"/>
              <w:right w:val="nil"/>
            </w:tcBorders>
            <w:vAlign w:val="center"/>
          </w:tcPr>
          <w:p w14:paraId="0695A17A" w14:textId="77777777" w:rsidR="00C63A25" w:rsidRPr="0054775B" w:rsidRDefault="00C63A25" w:rsidP="00F1522E">
            <w:pPr>
              <w:pStyle w:val="2024TABLETEXT"/>
              <w:framePr w:hSpace="0" w:wrap="auto" w:vAnchor="margin" w:yAlign="inline"/>
              <w:suppressOverlap w:val="0"/>
            </w:pPr>
          </w:p>
        </w:tc>
        <w:tc>
          <w:tcPr>
            <w:tcW w:w="1313" w:type="pct"/>
            <w:tcBorders>
              <w:top w:val="single" w:sz="6" w:space="0" w:color="000000"/>
              <w:left w:val="nil"/>
              <w:bottom w:val="single" w:sz="6" w:space="0" w:color="000000"/>
              <w:right w:val="nil"/>
            </w:tcBorders>
            <w:vAlign w:val="center"/>
          </w:tcPr>
          <w:p w14:paraId="35607892" w14:textId="654D33E8" w:rsidR="00C63A25" w:rsidRPr="0054775B" w:rsidRDefault="00C63A25" w:rsidP="00F1522E">
            <w:pPr>
              <w:pStyle w:val="2024TABLETEXT"/>
              <w:framePr w:hSpace="0" w:wrap="auto" w:vAnchor="margin" w:yAlign="inline"/>
              <w:ind w:left="369"/>
              <w:suppressOverlap w:val="0"/>
              <w:rPr>
                <w:b/>
                <w:bCs/>
              </w:rPr>
            </w:pPr>
            <w:r w:rsidRPr="0054775B">
              <w:rPr>
                <w:b/>
                <w:bCs/>
              </w:rPr>
              <w:t>Diastolic blood pressure</w:t>
            </w:r>
            <w:r w:rsidR="00C44233">
              <w:rPr>
                <w:b/>
                <w:bCs/>
              </w:rPr>
              <w:t xml:space="preserve"> </w:t>
            </w:r>
            <w:r w:rsidR="0024590D">
              <w:rPr>
                <w:b/>
                <w:bCs/>
              </w:rPr>
              <w:t>(mm Hg)</w:t>
            </w:r>
          </w:p>
        </w:tc>
        <w:tc>
          <w:tcPr>
            <w:tcW w:w="454" w:type="pct"/>
            <w:vMerge/>
            <w:tcBorders>
              <w:left w:val="nil"/>
              <w:bottom w:val="single" w:sz="6" w:space="0" w:color="000000"/>
              <w:right w:val="nil"/>
            </w:tcBorders>
            <w:vAlign w:val="center"/>
          </w:tcPr>
          <w:p w14:paraId="50FE5C2B" w14:textId="1640F67D" w:rsidR="00C63A25" w:rsidRPr="0054775B" w:rsidRDefault="00C63A25" w:rsidP="00F1522E">
            <w:pPr>
              <w:pStyle w:val="2024TABLETEXT"/>
              <w:framePr w:hSpace="0" w:wrap="auto" w:vAnchor="margin" w:yAlign="inline"/>
              <w:suppressOverlap w:val="0"/>
              <w:rPr>
                <w:rFonts w:eastAsiaTheme="minorHAnsi"/>
                <w:lang w:eastAsia="en-US"/>
              </w:rPr>
            </w:pPr>
          </w:p>
        </w:tc>
        <w:tc>
          <w:tcPr>
            <w:tcW w:w="506" w:type="pct"/>
            <w:tcBorders>
              <w:top w:val="single" w:sz="6" w:space="0" w:color="000000"/>
              <w:left w:val="nil"/>
              <w:bottom w:val="single" w:sz="6" w:space="0" w:color="000000"/>
              <w:right w:val="nil"/>
            </w:tcBorders>
            <w:shd w:val="clear" w:color="auto" w:fill="auto"/>
            <w:vAlign w:val="center"/>
          </w:tcPr>
          <w:p w14:paraId="4922C360" w14:textId="14754EF0" w:rsidR="00C63A25" w:rsidRPr="0054775B" w:rsidRDefault="00C63A25" w:rsidP="00F1522E">
            <w:pPr>
              <w:pStyle w:val="2024TABLETEXT"/>
              <w:framePr w:hSpace="0" w:wrap="auto" w:vAnchor="margin" w:yAlign="inline"/>
              <w:suppressOverlap w:val="0"/>
            </w:pPr>
            <w:r w:rsidRPr="0054775B">
              <w:t>MD = −1.47  (−0.41</w:t>
            </w:r>
            <w:r w:rsidR="0024590D">
              <w:t xml:space="preserve"> to</w:t>
            </w:r>
            <w:r w:rsidRPr="0054775B">
              <w:t xml:space="preserve"> −2.53</w:t>
            </w:r>
            <w:r>
              <w:t>)#</w:t>
            </w:r>
          </w:p>
        </w:tc>
        <w:tc>
          <w:tcPr>
            <w:tcW w:w="454" w:type="pct"/>
            <w:tcBorders>
              <w:top w:val="single" w:sz="6" w:space="0" w:color="000000"/>
              <w:left w:val="nil"/>
              <w:bottom w:val="single" w:sz="6" w:space="0" w:color="000000"/>
              <w:right w:val="nil"/>
            </w:tcBorders>
            <w:vAlign w:val="center"/>
          </w:tcPr>
          <w:p w14:paraId="55AE06FA" w14:textId="77777777" w:rsidR="00C63A25" w:rsidRPr="0054775B" w:rsidRDefault="00C63A25" w:rsidP="00F1522E">
            <w:pPr>
              <w:pStyle w:val="2024TABLETEXT"/>
              <w:framePr w:hSpace="0" w:wrap="auto" w:vAnchor="margin" w:yAlign="inline"/>
              <w:suppressOverlap w:val="0"/>
            </w:pPr>
            <w:r w:rsidRPr="0054775B">
              <w:t>475 (8)</w:t>
            </w:r>
          </w:p>
        </w:tc>
        <w:tc>
          <w:tcPr>
            <w:tcW w:w="454" w:type="pct"/>
            <w:tcBorders>
              <w:top w:val="single" w:sz="6" w:space="0" w:color="000000"/>
              <w:left w:val="nil"/>
              <w:bottom w:val="single" w:sz="6" w:space="0" w:color="000000"/>
              <w:right w:val="nil"/>
            </w:tcBorders>
            <w:vAlign w:val="center"/>
          </w:tcPr>
          <w:p w14:paraId="104E7B24" w14:textId="77777777" w:rsidR="00C63A25" w:rsidRPr="0054775B" w:rsidRDefault="00C63A25" w:rsidP="00F1522E">
            <w:pPr>
              <w:pStyle w:val="2024TABLETEXT"/>
              <w:framePr w:hSpace="0" w:wrap="auto" w:vAnchor="margin" w:yAlign="inline"/>
              <w:suppressOverlap w:val="0"/>
            </w:pPr>
            <w:r w:rsidRPr="0054775B">
              <w:rPr>
                <w:rFonts w:ascii="Cambria Math" w:hAnsi="Cambria Math" w:cs="Cambria Math"/>
                <w:sz w:val="20"/>
                <w:szCs w:val="20"/>
              </w:rPr>
              <w:t>⨁⨁</w:t>
            </w:r>
            <w:r w:rsidRPr="0054775B">
              <w:rPr>
                <w:rFonts w:ascii="Segoe UI Symbol" w:hAnsi="Segoe UI Symbol" w:cs="Segoe UI Symbol"/>
              </w:rPr>
              <w:t>◯◯</w:t>
            </w:r>
            <w:r w:rsidRPr="0054775B">
              <w:br/>
              <w:t>LOW</w:t>
            </w:r>
            <w:r w:rsidRPr="0054775B">
              <w:rPr>
                <w:rStyle w:val="FootnoteReference"/>
              </w:rPr>
              <w:t xml:space="preserve"> </w:t>
            </w:r>
            <w:r w:rsidRPr="0054775B">
              <w:rPr>
                <w:vertAlign w:val="superscript"/>
              </w:rPr>
              <w:t>a</w:t>
            </w:r>
          </w:p>
        </w:tc>
        <w:tc>
          <w:tcPr>
            <w:tcW w:w="1566" w:type="pct"/>
            <w:tcBorders>
              <w:top w:val="single" w:sz="6" w:space="0" w:color="000000"/>
              <w:left w:val="nil"/>
              <w:bottom w:val="single" w:sz="6" w:space="0" w:color="000000"/>
              <w:right w:val="nil"/>
            </w:tcBorders>
            <w:vAlign w:val="center"/>
          </w:tcPr>
          <w:p w14:paraId="2DD6D125" w14:textId="40504F88" w:rsidR="00C63A25" w:rsidRPr="0054775B" w:rsidRDefault="00C63A25" w:rsidP="00F1522E">
            <w:pPr>
              <w:pStyle w:val="2024TABLETEXT"/>
              <w:framePr w:hSpace="0" w:wrap="auto" w:vAnchor="margin" w:yAlign="inline"/>
              <w:suppressOverlap w:val="0"/>
            </w:pPr>
            <w:r w:rsidRPr="0054775B">
              <w:t>Omega-3</w:t>
            </w:r>
            <w:r w:rsidR="001D0020">
              <w:t xml:space="preserve"> fatty acids</w:t>
            </w:r>
            <w:r w:rsidRPr="0054775B">
              <w:t xml:space="preserve"> may result in </w:t>
            </w:r>
            <w:r w:rsidR="00FB574B">
              <w:t xml:space="preserve">little to no </w:t>
            </w:r>
            <w:r w:rsidRPr="0054775B">
              <w:t>improvement in diastolic blood pressure for people with hypertension.</w:t>
            </w:r>
          </w:p>
        </w:tc>
      </w:tr>
      <w:tr w:rsidR="00CC1980" w:rsidRPr="0054775B" w14:paraId="4E40BBC1" w14:textId="77777777" w:rsidTr="00C63A25">
        <w:trPr>
          <w:cantSplit/>
        </w:trPr>
        <w:tc>
          <w:tcPr>
            <w:tcW w:w="253" w:type="pct"/>
            <w:tcBorders>
              <w:top w:val="single" w:sz="6" w:space="0" w:color="000000"/>
              <w:left w:val="nil"/>
              <w:bottom w:val="single" w:sz="6" w:space="0" w:color="000000"/>
              <w:right w:val="nil"/>
            </w:tcBorders>
            <w:vAlign w:val="center"/>
          </w:tcPr>
          <w:p w14:paraId="30F2035F" w14:textId="77777777" w:rsidR="007932FC" w:rsidRPr="0054775B" w:rsidRDefault="007932FC" w:rsidP="00F1522E">
            <w:pPr>
              <w:pStyle w:val="2024TABLETEXT"/>
              <w:framePr w:hSpace="0" w:wrap="auto" w:vAnchor="margin" w:yAlign="inline"/>
              <w:suppressOverlap w:val="0"/>
            </w:pPr>
            <w:r w:rsidRPr="0054775B">
              <w:t>8</w:t>
            </w:r>
          </w:p>
        </w:tc>
        <w:tc>
          <w:tcPr>
            <w:tcW w:w="1313" w:type="pct"/>
            <w:tcBorders>
              <w:top w:val="single" w:sz="6" w:space="0" w:color="000000"/>
              <w:left w:val="nil"/>
              <w:bottom w:val="single" w:sz="6" w:space="0" w:color="000000"/>
              <w:right w:val="nil"/>
            </w:tcBorders>
            <w:vAlign w:val="center"/>
          </w:tcPr>
          <w:p w14:paraId="4F782B54" w14:textId="77777777" w:rsidR="007932FC" w:rsidRPr="0054775B" w:rsidRDefault="007932FC" w:rsidP="00F1522E">
            <w:pPr>
              <w:pStyle w:val="2024TABLETEXT"/>
              <w:framePr w:hSpace="0" w:wrap="auto" w:vAnchor="margin" w:yAlign="inline"/>
              <w:suppressOverlap w:val="0"/>
              <w:rPr>
                <w:b/>
                <w:bCs/>
              </w:rPr>
            </w:pPr>
            <w:r w:rsidRPr="0054775B">
              <w:rPr>
                <w:b/>
                <w:bCs/>
              </w:rPr>
              <w:t>Quality of life</w:t>
            </w:r>
          </w:p>
        </w:tc>
        <w:tc>
          <w:tcPr>
            <w:tcW w:w="454" w:type="pct"/>
            <w:tcBorders>
              <w:top w:val="single" w:sz="6" w:space="0" w:color="000000"/>
              <w:left w:val="nil"/>
              <w:bottom w:val="single" w:sz="6" w:space="0" w:color="000000"/>
              <w:right w:val="nil"/>
            </w:tcBorders>
            <w:vAlign w:val="center"/>
          </w:tcPr>
          <w:p w14:paraId="50230ADC" w14:textId="77777777" w:rsidR="007932FC" w:rsidRPr="0054775B" w:rsidRDefault="007932FC" w:rsidP="00F1522E">
            <w:pPr>
              <w:pStyle w:val="2024TABLETEXT"/>
              <w:framePr w:hSpace="0" w:wrap="auto" w:vAnchor="margin" w:yAlign="inline"/>
              <w:suppressOverlap w:val="0"/>
            </w:pPr>
            <w:r w:rsidRPr="0054775B">
              <w:t>-</w:t>
            </w:r>
          </w:p>
        </w:tc>
        <w:tc>
          <w:tcPr>
            <w:tcW w:w="506" w:type="pct"/>
            <w:tcBorders>
              <w:top w:val="single" w:sz="6" w:space="0" w:color="000000"/>
              <w:left w:val="nil"/>
              <w:bottom w:val="single" w:sz="6" w:space="0" w:color="000000"/>
              <w:right w:val="nil"/>
            </w:tcBorders>
            <w:shd w:val="clear" w:color="auto" w:fill="auto"/>
            <w:vAlign w:val="center"/>
          </w:tcPr>
          <w:p w14:paraId="6B646F7D" w14:textId="77777777" w:rsidR="007932FC" w:rsidRPr="0054775B" w:rsidRDefault="007932FC" w:rsidP="00F1522E">
            <w:pPr>
              <w:pStyle w:val="2024TABLETEXT"/>
              <w:framePr w:hSpace="0" w:wrap="auto" w:vAnchor="margin" w:yAlign="inline"/>
              <w:suppressOverlap w:val="0"/>
            </w:pPr>
            <w:r w:rsidRPr="0054775B">
              <w:t>-</w:t>
            </w:r>
          </w:p>
        </w:tc>
        <w:tc>
          <w:tcPr>
            <w:tcW w:w="454" w:type="pct"/>
            <w:tcBorders>
              <w:top w:val="single" w:sz="6" w:space="0" w:color="000000"/>
              <w:left w:val="nil"/>
              <w:bottom w:val="single" w:sz="6" w:space="0" w:color="000000"/>
              <w:right w:val="nil"/>
            </w:tcBorders>
            <w:vAlign w:val="center"/>
          </w:tcPr>
          <w:p w14:paraId="0715F8E3" w14:textId="77777777" w:rsidR="007932FC" w:rsidRPr="0054775B" w:rsidRDefault="007932FC" w:rsidP="00F1522E">
            <w:pPr>
              <w:pStyle w:val="2024TABLETEXT"/>
              <w:framePr w:hSpace="0" w:wrap="auto" w:vAnchor="margin" w:yAlign="inline"/>
              <w:suppressOverlap w:val="0"/>
            </w:pPr>
            <w:r w:rsidRPr="0054775B">
              <w:t>-</w:t>
            </w:r>
          </w:p>
        </w:tc>
        <w:tc>
          <w:tcPr>
            <w:tcW w:w="454" w:type="pct"/>
            <w:tcBorders>
              <w:top w:val="single" w:sz="6" w:space="0" w:color="000000"/>
              <w:left w:val="nil"/>
              <w:bottom w:val="single" w:sz="6" w:space="0" w:color="000000"/>
              <w:right w:val="nil"/>
            </w:tcBorders>
            <w:vAlign w:val="center"/>
          </w:tcPr>
          <w:p w14:paraId="70F9D449" w14:textId="77777777" w:rsidR="007932FC" w:rsidRPr="0054775B" w:rsidRDefault="007932FC" w:rsidP="00F1522E">
            <w:pPr>
              <w:pStyle w:val="2024TABLETEXT"/>
              <w:framePr w:hSpace="0" w:wrap="auto" w:vAnchor="margin" w:yAlign="inline"/>
              <w:suppressOverlap w:val="0"/>
            </w:pPr>
            <w:r w:rsidRPr="0054775B">
              <w:t>-</w:t>
            </w:r>
          </w:p>
        </w:tc>
        <w:tc>
          <w:tcPr>
            <w:tcW w:w="1566" w:type="pct"/>
            <w:tcBorders>
              <w:top w:val="single" w:sz="6" w:space="0" w:color="000000"/>
              <w:left w:val="nil"/>
              <w:bottom w:val="single" w:sz="6" w:space="0" w:color="000000"/>
              <w:right w:val="nil"/>
            </w:tcBorders>
            <w:vAlign w:val="center"/>
          </w:tcPr>
          <w:p w14:paraId="3B51DAB9" w14:textId="30706E93" w:rsidR="007932FC" w:rsidRPr="0054775B" w:rsidRDefault="007932FC" w:rsidP="00F1522E">
            <w:pPr>
              <w:pStyle w:val="2024TABLETEXT"/>
              <w:framePr w:hSpace="0" w:wrap="auto" w:vAnchor="margin" w:yAlign="inline"/>
              <w:suppressOverlap w:val="0"/>
            </w:pPr>
            <w:r w:rsidRPr="0054775B">
              <w:t xml:space="preserve">No </w:t>
            </w:r>
            <w:r w:rsidR="008E7717">
              <w:t>reviews</w:t>
            </w:r>
            <w:r w:rsidR="008E7717" w:rsidRPr="0054775B">
              <w:t xml:space="preserve"> </w:t>
            </w:r>
            <w:r w:rsidRPr="0054775B">
              <w:t>found. The effect of omega-3</w:t>
            </w:r>
            <w:r w:rsidR="001D0020">
              <w:t xml:space="preserve"> fatty acids</w:t>
            </w:r>
            <w:r w:rsidRPr="0054775B">
              <w:t xml:space="preserve"> on quality of life for hypertension is unknown.</w:t>
            </w:r>
          </w:p>
        </w:tc>
      </w:tr>
      <w:tr w:rsidR="00CC1980" w:rsidRPr="0054775B" w14:paraId="7335820A" w14:textId="77777777" w:rsidTr="00C63A25">
        <w:trPr>
          <w:cantSplit/>
          <w:trHeight w:val="559"/>
        </w:trPr>
        <w:tc>
          <w:tcPr>
            <w:tcW w:w="253" w:type="pct"/>
            <w:tcBorders>
              <w:top w:val="single" w:sz="6" w:space="0" w:color="000000"/>
              <w:left w:val="nil"/>
              <w:bottom w:val="single" w:sz="6" w:space="0" w:color="000000"/>
              <w:right w:val="nil"/>
            </w:tcBorders>
            <w:vAlign w:val="center"/>
          </w:tcPr>
          <w:p w14:paraId="246FBF12" w14:textId="77777777" w:rsidR="007932FC" w:rsidRPr="0054775B" w:rsidRDefault="007932FC" w:rsidP="00F1522E">
            <w:pPr>
              <w:pStyle w:val="2024TABLETEXT"/>
              <w:framePr w:hSpace="0" w:wrap="auto" w:vAnchor="margin" w:yAlign="inline"/>
              <w:suppressOverlap w:val="0"/>
              <w:rPr>
                <w:sz w:val="16"/>
                <w:szCs w:val="16"/>
              </w:rPr>
            </w:pPr>
            <w:r w:rsidRPr="0054775B">
              <w:t>8</w:t>
            </w:r>
          </w:p>
        </w:tc>
        <w:tc>
          <w:tcPr>
            <w:tcW w:w="1313" w:type="pct"/>
            <w:tcBorders>
              <w:top w:val="single" w:sz="6" w:space="0" w:color="000000"/>
              <w:left w:val="nil"/>
              <w:bottom w:val="single" w:sz="6" w:space="0" w:color="000000"/>
              <w:right w:val="nil"/>
            </w:tcBorders>
            <w:vAlign w:val="center"/>
          </w:tcPr>
          <w:p w14:paraId="6E01D4DA" w14:textId="77777777" w:rsidR="007932FC" w:rsidRPr="0054775B" w:rsidRDefault="007932FC" w:rsidP="00F1522E">
            <w:pPr>
              <w:pStyle w:val="2024TABLETEXT"/>
              <w:framePr w:hSpace="0" w:wrap="auto" w:vAnchor="margin" w:yAlign="inline"/>
              <w:suppressOverlap w:val="0"/>
              <w:rPr>
                <w:b/>
                <w:bCs/>
              </w:rPr>
            </w:pPr>
            <w:r w:rsidRPr="0054775B">
              <w:rPr>
                <w:b/>
                <w:bCs/>
              </w:rPr>
              <w:t>Cardiovascular events (fatal or non</w:t>
            </w:r>
            <w:r w:rsidRPr="0054775B">
              <w:rPr>
                <w:rFonts w:ascii="Cambria Math" w:hAnsi="Cambria Math" w:cs="Cambria Math"/>
                <w:b/>
                <w:bCs/>
              </w:rPr>
              <w:t>‐</w:t>
            </w:r>
            <w:r w:rsidRPr="0054775B">
              <w:rPr>
                <w:b/>
                <w:bCs/>
              </w:rPr>
              <w:t>fatal myocardial infarction, excluding heart failure and if possible angina)</w:t>
            </w:r>
          </w:p>
        </w:tc>
        <w:tc>
          <w:tcPr>
            <w:tcW w:w="454" w:type="pct"/>
            <w:tcBorders>
              <w:top w:val="single" w:sz="6" w:space="0" w:color="000000"/>
              <w:left w:val="nil"/>
              <w:bottom w:val="single" w:sz="6" w:space="0" w:color="000000"/>
              <w:right w:val="nil"/>
            </w:tcBorders>
            <w:vAlign w:val="center"/>
          </w:tcPr>
          <w:p w14:paraId="574F9BB1" w14:textId="77777777" w:rsidR="007932FC" w:rsidRPr="0054775B" w:rsidRDefault="007932FC" w:rsidP="00F1522E">
            <w:pPr>
              <w:pStyle w:val="2024TABLETEXT"/>
              <w:framePr w:hSpace="0" w:wrap="auto" w:vAnchor="margin" w:yAlign="inline"/>
              <w:suppressOverlap w:val="0"/>
            </w:pPr>
            <w:r w:rsidRPr="0054775B">
              <w:t>-</w:t>
            </w:r>
          </w:p>
        </w:tc>
        <w:tc>
          <w:tcPr>
            <w:tcW w:w="506" w:type="pct"/>
            <w:tcBorders>
              <w:top w:val="single" w:sz="6" w:space="0" w:color="000000"/>
              <w:left w:val="nil"/>
              <w:bottom w:val="single" w:sz="6" w:space="0" w:color="000000"/>
              <w:right w:val="nil"/>
            </w:tcBorders>
            <w:shd w:val="clear" w:color="auto" w:fill="auto"/>
            <w:vAlign w:val="center"/>
          </w:tcPr>
          <w:p w14:paraId="2414AFBE" w14:textId="77777777" w:rsidR="007932FC" w:rsidRPr="0054775B" w:rsidRDefault="007932FC" w:rsidP="00F1522E">
            <w:pPr>
              <w:pStyle w:val="2024TABLETEXT"/>
              <w:framePr w:hSpace="0" w:wrap="auto" w:vAnchor="margin" w:yAlign="inline"/>
              <w:suppressOverlap w:val="0"/>
            </w:pPr>
            <w:r w:rsidRPr="0054775B">
              <w:t>-</w:t>
            </w:r>
          </w:p>
        </w:tc>
        <w:tc>
          <w:tcPr>
            <w:tcW w:w="454" w:type="pct"/>
            <w:tcBorders>
              <w:top w:val="single" w:sz="6" w:space="0" w:color="000000"/>
              <w:left w:val="nil"/>
              <w:bottom w:val="single" w:sz="6" w:space="0" w:color="000000"/>
              <w:right w:val="nil"/>
            </w:tcBorders>
            <w:vAlign w:val="center"/>
          </w:tcPr>
          <w:p w14:paraId="48A6C8B7" w14:textId="77777777" w:rsidR="007932FC" w:rsidRPr="0054775B" w:rsidRDefault="007932FC" w:rsidP="00F1522E">
            <w:pPr>
              <w:pStyle w:val="2024TABLETEXT"/>
              <w:framePr w:hSpace="0" w:wrap="auto" w:vAnchor="margin" w:yAlign="inline"/>
              <w:suppressOverlap w:val="0"/>
            </w:pPr>
            <w:r w:rsidRPr="0054775B">
              <w:t>-</w:t>
            </w:r>
          </w:p>
        </w:tc>
        <w:tc>
          <w:tcPr>
            <w:tcW w:w="454" w:type="pct"/>
            <w:tcBorders>
              <w:top w:val="single" w:sz="6" w:space="0" w:color="000000"/>
              <w:left w:val="nil"/>
              <w:bottom w:val="single" w:sz="6" w:space="0" w:color="000000"/>
              <w:right w:val="nil"/>
            </w:tcBorders>
            <w:vAlign w:val="center"/>
          </w:tcPr>
          <w:p w14:paraId="416EF344" w14:textId="77777777" w:rsidR="007932FC" w:rsidRPr="0054775B" w:rsidRDefault="007932FC" w:rsidP="00F1522E">
            <w:pPr>
              <w:pStyle w:val="2024TABLETEXT"/>
              <w:framePr w:hSpace="0" w:wrap="auto" w:vAnchor="margin" w:yAlign="inline"/>
              <w:suppressOverlap w:val="0"/>
            </w:pPr>
            <w:r w:rsidRPr="0054775B">
              <w:t>-</w:t>
            </w:r>
          </w:p>
        </w:tc>
        <w:tc>
          <w:tcPr>
            <w:tcW w:w="1566" w:type="pct"/>
            <w:tcBorders>
              <w:top w:val="single" w:sz="6" w:space="0" w:color="000000"/>
              <w:left w:val="nil"/>
              <w:bottom w:val="single" w:sz="6" w:space="0" w:color="000000"/>
              <w:right w:val="nil"/>
            </w:tcBorders>
            <w:vAlign w:val="center"/>
          </w:tcPr>
          <w:p w14:paraId="587748ED" w14:textId="4B2195FB" w:rsidR="007932FC" w:rsidRPr="0054775B" w:rsidRDefault="007932FC" w:rsidP="00F1522E">
            <w:pPr>
              <w:pStyle w:val="2024TABLETEXT"/>
              <w:framePr w:hSpace="0" w:wrap="auto" w:vAnchor="margin" w:yAlign="inline"/>
              <w:suppressOverlap w:val="0"/>
            </w:pPr>
            <w:r w:rsidRPr="0054775B">
              <w:t xml:space="preserve">No </w:t>
            </w:r>
            <w:r w:rsidR="008E7717">
              <w:t>reviews</w:t>
            </w:r>
            <w:r w:rsidR="008E7717" w:rsidRPr="0054775B">
              <w:t xml:space="preserve"> </w:t>
            </w:r>
            <w:r w:rsidRPr="0054775B">
              <w:t>found. The effect of omega-3</w:t>
            </w:r>
            <w:r w:rsidR="001D0020">
              <w:t xml:space="preserve"> fatty acids</w:t>
            </w:r>
            <w:r w:rsidRPr="0054775B">
              <w:t xml:space="preserve"> on cardiovascular events for hypertension is unknown.</w:t>
            </w:r>
          </w:p>
        </w:tc>
      </w:tr>
      <w:tr w:rsidR="00CC1980" w:rsidRPr="0054775B" w14:paraId="3947D2E0" w14:textId="77777777" w:rsidTr="00C63A25">
        <w:trPr>
          <w:cantSplit/>
        </w:trPr>
        <w:tc>
          <w:tcPr>
            <w:tcW w:w="253" w:type="pct"/>
            <w:tcBorders>
              <w:top w:val="single" w:sz="6" w:space="0" w:color="000000"/>
              <w:left w:val="nil"/>
              <w:bottom w:val="single" w:sz="6" w:space="0" w:color="000000"/>
              <w:right w:val="nil"/>
            </w:tcBorders>
            <w:vAlign w:val="center"/>
          </w:tcPr>
          <w:p w14:paraId="66CAA095" w14:textId="77777777" w:rsidR="007932FC" w:rsidRPr="0054775B" w:rsidRDefault="007932FC" w:rsidP="00F1522E">
            <w:pPr>
              <w:pStyle w:val="2024TABLETEXT"/>
              <w:framePr w:hSpace="0" w:wrap="auto" w:vAnchor="margin" w:yAlign="inline"/>
              <w:suppressOverlap w:val="0"/>
            </w:pPr>
            <w:r w:rsidRPr="0054775B">
              <w:t>8</w:t>
            </w:r>
          </w:p>
        </w:tc>
        <w:tc>
          <w:tcPr>
            <w:tcW w:w="1313" w:type="pct"/>
            <w:tcBorders>
              <w:top w:val="single" w:sz="6" w:space="0" w:color="000000"/>
              <w:left w:val="nil"/>
              <w:bottom w:val="single" w:sz="6" w:space="0" w:color="000000"/>
              <w:right w:val="nil"/>
            </w:tcBorders>
            <w:vAlign w:val="center"/>
          </w:tcPr>
          <w:p w14:paraId="067F6400" w14:textId="77777777" w:rsidR="007932FC" w:rsidRPr="0054775B" w:rsidRDefault="007932FC" w:rsidP="00F1522E">
            <w:pPr>
              <w:pStyle w:val="2024TABLETEXT"/>
              <w:framePr w:hSpace="0" w:wrap="auto" w:vAnchor="margin" w:yAlign="inline"/>
              <w:suppressOverlap w:val="0"/>
              <w:rPr>
                <w:b/>
                <w:bCs/>
              </w:rPr>
            </w:pPr>
            <w:r w:rsidRPr="0054775B">
              <w:rPr>
                <w:b/>
                <w:bCs/>
              </w:rPr>
              <w:t>Cerebrovascular events (fatal or non</w:t>
            </w:r>
            <w:r w:rsidRPr="0054775B">
              <w:rPr>
                <w:rFonts w:ascii="Cambria Math" w:hAnsi="Cambria Math" w:cs="Cambria Math"/>
                <w:b/>
                <w:bCs/>
              </w:rPr>
              <w:t>‐</w:t>
            </w:r>
            <w:r w:rsidRPr="0054775B">
              <w:rPr>
                <w:b/>
                <w:bCs/>
              </w:rPr>
              <w:t>fatal strokes, excluding transient ischaemic attacks if possible)</w:t>
            </w:r>
          </w:p>
        </w:tc>
        <w:tc>
          <w:tcPr>
            <w:tcW w:w="454" w:type="pct"/>
            <w:tcBorders>
              <w:top w:val="single" w:sz="6" w:space="0" w:color="000000"/>
              <w:left w:val="nil"/>
              <w:bottom w:val="single" w:sz="6" w:space="0" w:color="000000"/>
              <w:right w:val="nil"/>
            </w:tcBorders>
            <w:vAlign w:val="center"/>
          </w:tcPr>
          <w:p w14:paraId="602C0EBE" w14:textId="77777777" w:rsidR="007932FC" w:rsidRPr="0054775B" w:rsidRDefault="007932FC" w:rsidP="00F1522E">
            <w:pPr>
              <w:pStyle w:val="2024TABLETEXT"/>
              <w:framePr w:hSpace="0" w:wrap="auto" w:vAnchor="margin" w:yAlign="inline"/>
              <w:suppressOverlap w:val="0"/>
            </w:pPr>
            <w:r w:rsidRPr="0054775B">
              <w:t>-</w:t>
            </w:r>
          </w:p>
        </w:tc>
        <w:tc>
          <w:tcPr>
            <w:tcW w:w="506" w:type="pct"/>
            <w:tcBorders>
              <w:top w:val="single" w:sz="6" w:space="0" w:color="000000"/>
              <w:left w:val="nil"/>
              <w:bottom w:val="single" w:sz="6" w:space="0" w:color="000000"/>
              <w:right w:val="nil"/>
            </w:tcBorders>
            <w:shd w:val="clear" w:color="auto" w:fill="auto"/>
            <w:vAlign w:val="center"/>
          </w:tcPr>
          <w:p w14:paraId="153E7873" w14:textId="77777777" w:rsidR="007932FC" w:rsidRPr="0054775B" w:rsidRDefault="007932FC" w:rsidP="00F1522E">
            <w:pPr>
              <w:pStyle w:val="2024TABLETEXT"/>
              <w:framePr w:hSpace="0" w:wrap="auto" w:vAnchor="margin" w:yAlign="inline"/>
              <w:suppressOverlap w:val="0"/>
            </w:pPr>
            <w:r w:rsidRPr="0054775B">
              <w:t>-</w:t>
            </w:r>
          </w:p>
        </w:tc>
        <w:tc>
          <w:tcPr>
            <w:tcW w:w="454" w:type="pct"/>
            <w:tcBorders>
              <w:top w:val="single" w:sz="6" w:space="0" w:color="000000"/>
              <w:left w:val="nil"/>
              <w:bottom w:val="single" w:sz="6" w:space="0" w:color="000000"/>
              <w:right w:val="nil"/>
            </w:tcBorders>
            <w:vAlign w:val="center"/>
          </w:tcPr>
          <w:p w14:paraId="189F9D0F" w14:textId="77777777" w:rsidR="007932FC" w:rsidRPr="0054775B" w:rsidRDefault="007932FC" w:rsidP="00F1522E">
            <w:pPr>
              <w:pStyle w:val="2024TABLETEXT"/>
              <w:framePr w:hSpace="0" w:wrap="auto" w:vAnchor="margin" w:yAlign="inline"/>
              <w:suppressOverlap w:val="0"/>
            </w:pPr>
            <w:r w:rsidRPr="0054775B">
              <w:t>-</w:t>
            </w:r>
          </w:p>
        </w:tc>
        <w:tc>
          <w:tcPr>
            <w:tcW w:w="454" w:type="pct"/>
            <w:tcBorders>
              <w:top w:val="single" w:sz="6" w:space="0" w:color="000000"/>
              <w:left w:val="nil"/>
              <w:bottom w:val="single" w:sz="6" w:space="0" w:color="000000"/>
              <w:right w:val="nil"/>
            </w:tcBorders>
            <w:vAlign w:val="center"/>
          </w:tcPr>
          <w:p w14:paraId="3E5914A7" w14:textId="77777777" w:rsidR="007932FC" w:rsidRPr="0054775B" w:rsidRDefault="007932FC" w:rsidP="00F1522E">
            <w:pPr>
              <w:pStyle w:val="2024TABLETEXT"/>
              <w:framePr w:hSpace="0" w:wrap="auto" w:vAnchor="margin" w:yAlign="inline"/>
              <w:suppressOverlap w:val="0"/>
            </w:pPr>
            <w:r w:rsidRPr="0054775B">
              <w:t>-</w:t>
            </w:r>
          </w:p>
        </w:tc>
        <w:tc>
          <w:tcPr>
            <w:tcW w:w="1566" w:type="pct"/>
            <w:tcBorders>
              <w:top w:val="single" w:sz="6" w:space="0" w:color="000000"/>
              <w:left w:val="nil"/>
              <w:bottom w:val="single" w:sz="6" w:space="0" w:color="000000"/>
              <w:right w:val="nil"/>
            </w:tcBorders>
            <w:vAlign w:val="center"/>
          </w:tcPr>
          <w:p w14:paraId="7A7A1A17" w14:textId="26C249BB" w:rsidR="007932FC" w:rsidRPr="0054775B" w:rsidRDefault="007932FC" w:rsidP="00F1522E">
            <w:pPr>
              <w:pStyle w:val="2024TABLETEXT"/>
              <w:framePr w:hSpace="0" w:wrap="auto" w:vAnchor="margin" w:yAlign="inline"/>
              <w:suppressOverlap w:val="0"/>
            </w:pPr>
            <w:r w:rsidRPr="0054775B">
              <w:t xml:space="preserve">No </w:t>
            </w:r>
            <w:r w:rsidR="008E7717">
              <w:t>reviews</w:t>
            </w:r>
            <w:r w:rsidR="008E7717" w:rsidRPr="0054775B">
              <w:t xml:space="preserve"> </w:t>
            </w:r>
            <w:r w:rsidRPr="0054775B">
              <w:t>found. The effect of omega-3</w:t>
            </w:r>
            <w:r w:rsidR="001D0020">
              <w:t xml:space="preserve"> fatty acids</w:t>
            </w:r>
            <w:r w:rsidRPr="0054775B">
              <w:t xml:space="preserve"> on cerebrovascular events for hypertension is unknown.</w:t>
            </w:r>
          </w:p>
        </w:tc>
      </w:tr>
      <w:tr w:rsidR="00CC1980" w:rsidRPr="0054775B" w14:paraId="278368E3" w14:textId="77777777" w:rsidTr="00C63A25">
        <w:trPr>
          <w:cantSplit/>
        </w:trPr>
        <w:tc>
          <w:tcPr>
            <w:tcW w:w="253" w:type="pct"/>
            <w:tcBorders>
              <w:top w:val="single" w:sz="6" w:space="0" w:color="000000"/>
              <w:left w:val="nil"/>
              <w:bottom w:val="single" w:sz="6" w:space="0" w:color="000000"/>
              <w:right w:val="nil"/>
            </w:tcBorders>
            <w:vAlign w:val="center"/>
          </w:tcPr>
          <w:p w14:paraId="1371B238" w14:textId="77777777" w:rsidR="007932FC" w:rsidRPr="0054775B" w:rsidRDefault="007932FC" w:rsidP="00F1522E">
            <w:pPr>
              <w:pStyle w:val="2024TABLETEXT"/>
              <w:framePr w:hSpace="0" w:wrap="auto" w:vAnchor="margin" w:yAlign="inline"/>
              <w:suppressOverlap w:val="0"/>
              <w:rPr>
                <w:sz w:val="16"/>
                <w:szCs w:val="16"/>
              </w:rPr>
            </w:pPr>
            <w:r w:rsidRPr="0054775B">
              <w:t>7</w:t>
            </w:r>
          </w:p>
        </w:tc>
        <w:tc>
          <w:tcPr>
            <w:tcW w:w="1313" w:type="pct"/>
            <w:tcBorders>
              <w:top w:val="single" w:sz="6" w:space="0" w:color="000000"/>
              <w:left w:val="nil"/>
              <w:bottom w:val="single" w:sz="6" w:space="0" w:color="000000"/>
              <w:right w:val="nil"/>
            </w:tcBorders>
            <w:vAlign w:val="center"/>
          </w:tcPr>
          <w:p w14:paraId="0BCED5D4" w14:textId="77777777" w:rsidR="007932FC" w:rsidRPr="0054775B" w:rsidRDefault="007932FC" w:rsidP="00F1522E">
            <w:pPr>
              <w:pStyle w:val="2024TABLETEXT"/>
              <w:framePr w:hSpace="0" w:wrap="auto" w:vAnchor="margin" w:yAlign="inline"/>
              <w:suppressOverlap w:val="0"/>
              <w:rPr>
                <w:b/>
                <w:bCs/>
              </w:rPr>
            </w:pPr>
            <w:r w:rsidRPr="0054775B">
              <w:rPr>
                <w:b/>
                <w:bCs/>
              </w:rPr>
              <w:t>Death from cardiovascular</w:t>
            </w:r>
          </w:p>
        </w:tc>
        <w:tc>
          <w:tcPr>
            <w:tcW w:w="454" w:type="pct"/>
            <w:tcBorders>
              <w:top w:val="single" w:sz="6" w:space="0" w:color="000000"/>
              <w:left w:val="nil"/>
              <w:bottom w:val="single" w:sz="6" w:space="0" w:color="000000"/>
              <w:right w:val="nil"/>
            </w:tcBorders>
            <w:vAlign w:val="center"/>
          </w:tcPr>
          <w:p w14:paraId="18EDE46F" w14:textId="77777777" w:rsidR="007932FC" w:rsidRPr="0054775B" w:rsidRDefault="007932FC" w:rsidP="00F1522E">
            <w:pPr>
              <w:pStyle w:val="2024TABLETEXT"/>
              <w:framePr w:hSpace="0" w:wrap="auto" w:vAnchor="margin" w:yAlign="inline"/>
              <w:suppressOverlap w:val="0"/>
            </w:pPr>
            <w:r w:rsidRPr="0054775B">
              <w:t>-</w:t>
            </w:r>
          </w:p>
        </w:tc>
        <w:tc>
          <w:tcPr>
            <w:tcW w:w="506" w:type="pct"/>
            <w:tcBorders>
              <w:top w:val="single" w:sz="6" w:space="0" w:color="000000"/>
              <w:left w:val="nil"/>
              <w:bottom w:val="single" w:sz="6" w:space="0" w:color="000000"/>
              <w:right w:val="nil"/>
            </w:tcBorders>
            <w:shd w:val="clear" w:color="auto" w:fill="auto"/>
            <w:vAlign w:val="center"/>
          </w:tcPr>
          <w:p w14:paraId="7961358F" w14:textId="77777777" w:rsidR="007932FC" w:rsidRPr="0054775B" w:rsidRDefault="007932FC" w:rsidP="00F1522E">
            <w:pPr>
              <w:pStyle w:val="2024TABLETEXT"/>
              <w:framePr w:hSpace="0" w:wrap="auto" w:vAnchor="margin" w:yAlign="inline"/>
              <w:suppressOverlap w:val="0"/>
            </w:pPr>
            <w:r w:rsidRPr="0054775B">
              <w:t>-</w:t>
            </w:r>
          </w:p>
        </w:tc>
        <w:tc>
          <w:tcPr>
            <w:tcW w:w="454" w:type="pct"/>
            <w:tcBorders>
              <w:top w:val="single" w:sz="6" w:space="0" w:color="000000"/>
              <w:left w:val="nil"/>
              <w:bottom w:val="single" w:sz="6" w:space="0" w:color="000000"/>
              <w:right w:val="nil"/>
            </w:tcBorders>
            <w:vAlign w:val="center"/>
          </w:tcPr>
          <w:p w14:paraId="2150BAD8" w14:textId="77777777" w:rsidR="007932FC" w:rsidRPr="0054775B" w:rsidRDefault="007932FC" w:rsidP="00F1522E">
            <w:pPr>
              <w:pStyle w:val="2024TABLETEXT"/>
              <w:framePr w:hSpace="0" w:wrap="auto" w:vAnchor="margin" w:yAlign="inline"/>
              <w:suppressOverlap w:val="0"/>
            </w:pPr>
            <w:r w:rsidRPr="0054775B">
              <w:t>-</w:t>
            </w:r>
          </w:p>
        </w:tc>
        <w:tc>
          <w:tcPr>
            <w:tcW w:w="454" w:type="pct"/>
            <w:tcBorders>
              <w:top w:val="single" w:sz="6" w:space="0" w:color="000000"/>
              <w:left w:val="nil"/>
              <w:bottom w:val="single" w:sz="6" w:space="0" w:color="000000"/>
              <w:right w:val="nil"/>
            </w:tcBorders>
            <w:vAlign w:val="center"/>
          </w:tcPr>
          <w:p w14:paraId="311CA8BE" w14:textId="77777777" w:rsidR="007932FC" w:rsidRPr="0054775B" w:rsidRDefault="007932FC" w:rsidP="00F1522E">
            <w:pPr>
              <w:pStyle w:val="2024TABLETEXT"/>
              <w:framePr w:hSpace="0" w:wrap="auto" w:vAnchor="margin" w:yAlign="inline"/>
              <w:suppressOverlap w:val="0"/>
            </w:pPr>
            <w:r w:rsidRPr="0054775B">
              <w:t>-</w:t>
            </w:r>
          </w:p>
        </w:tc>
        <w:tc>
          <w:tcPr>
            <w:tcW w:w="1566" w:type="pct"/>
            <w:tcBorders>
              <w:top w:val="single" w:sz="6" w:space="0" w:color="000000"/>
              <w:left w:val="nil"/>
              <w:bottom w:val="single" w:sz="6" w:space="0" w:color="000000"/>
              <w:right w:val="nil"/>
            </w:tcBorders>
            <w:vAlign w:val="center"/>
          </w:tcPr>
          <w:p w14:paraId="3382444F" w14:textId="79683333" w:rsidR="007932FC" w:rsidRPr="0054775B" w:rsidRDefault="007932FC" w:rsidP="00F1522E">
            <w:pPr>
              <w:pStyle w:val="2024TABLETEXT"/>
              <w:framePr w:hSpace="0" w:wrap="auto" w:vAnchor="margin" w:yAlign="inline"/>
              <w:suppressOverlap w:val="0"/>
            </w:pPr>
            <w:r w:rsidRPr="0054775B">
              <w:t xml:space="preserve">No </w:t>
            </w:r>
            <w:r w:rsidR="008E7717">
              <w:t>reviews</w:t>
            </w:r>
            <w:r w:rsidR="008E7717" w:rsidRPr="0054775B">
              <w:t xml:space="preserve"> </w:t>
            </w:r>
            <w:r w:rsidRPr="0054775B">
              <w:t>found. The effect of omega-3</w:t>
            </w:r>
            <w:r w:rsidR="001D0020">
              <w:t xml:space="preserve"> fatty acids</w:t>
            </w:r>
            <w:r w:rsidRPr="0054775B">
              <w:t xml:space="preserve"> on death from cardiovascular for hypertension is unknown.</w:t>
            </w:r>
          </w:p>
        </w:tc>
      </w:tr>
    </w:tbl>
    <w:tbl>
      <w:tblPr>
        <w:tblpPr w:leftFromText="180" w:rightFromText="180" w:vertAnchor="text" w:tblpY="1"/>
        <w:tblOverlap w:val="never"/>
        <w:tblW w:w="4615" w:type="pct"/>
        <w:tblLayout w:type="fixed"/>
        <w:tblCellMar>
          <w:top w:w="28" w:type="dxa"/>
          <w:left w:w="57" w:type="dxa"/>
          <w:bottom w:w="28" w:type="dxa"/>
          <w:right w:w="28" w:type="dxa"/>
        </w:tblCellMar>
        <w:tblLook w:val="04A0" w:firstRow="1" w:lastRow="0" w:firstColumn="1" w:lastColumn="0" w:noHBand="0" w:noVBand="1"/>
      </w:tblPr>
      <w:tblGrid>
        <w:gridCol w:w="14033"/>
      </w:tblGrid>
      <w:tr w:rsidR="007932FC" w:rsidRPr="0054775B" w14:paraId="57522E21" w14:textId="77777777" w:rsidTr="007932FC">
        <w:trPr>
          <w:cantSplit/>
          <w:trHeight w:val="50"/>
        </w:trPr>
        <w:tc>
          <w:tcPr>
            <w:tcW w:w="5000" w:type="pct"/>
            <w:tcBorders>
              <w:top w:val="single" w:sz="6" w:space="0" w:color="000000"/>
              <w:left w:val="nil"/>
              <w:bottom w:val="single" w:sz="6" w:space="0" w:color="000000"/>
              <w:right w:val="nil"/>
            </w:tcBorders>
          </w:tcPr>
          <w:p w14:paraId="775B8C4D" w14:textId="3AE68ADA" w:rsidR="007932FC" w:rsidRDefault="007932FC" w:rsidP="00F1522E">
            <w:pPr>
              <w:pStyle w:val="2024TABLEFOOTER"/>
            </w:pPr>
            <w:r w:rsidRPr="0054775B">
              <w:t>*Ratings 1-3 = of limited importance to decision making; 4-6 = important, but not critical, to decision making; 7-9 = critical for decision-making</w:t>
            </w:r>
          </w:p>
          <w:p w14:paraId="3314FBEE" w14:textId="77ACF2BC" w:rsidR="00704844" w:rsidRDefault="00704844" w:rsidP="00704844">
            <w:pPr>
              <w:pStyle w:val="2024TABLEFOOTER"/>
              <w:rPr>
                <w:szCs w:val="16"/>
              </w:rPr>
            </w:pPr>
            <w:r>
              <w:rPr>
                <w:szCs w:val="16"/>
              </w:rPr>
              <w:t xml:space="preserve">#MCID for SBP and DBP = </w:t>
            </w:r>
            <w:r w:rsidRPr="00426D50">
              <w:rPr>
                <w:szCs w:val="16"/>
              </w:rPr>
              <w:t>2mmHg</w:t>
            </w:r>
            <w:r>
              <w:rPr>
                <w:szCs w:val="16"/>
              </w:rPr>
              <w:t xml:space="preserve"> </w:t>
            </w:r>
            <w:r>
              <w:rPr>
                <w:noProof/>
                <w:szCs w:val="16"/>
              </w:rPr>
              <w:t>(179)</w:t>
            </w:r>
            <w:r>
              <w:rPr>
                <w:szCs w:val="16"/>
              </w:rPr>
              <w:t>.</w:t>
            </w:r>
          </w:p>
          <w:p w14:paraId="2C833328" w14:textId="77777777" w:rsidR="005C2FFC" w:rsidRPr="0054775B" w:rsidRDefault="005C2FFC" w:rsidP="00F1522E">
            <w:pPr>
              <w:pStyle w:val="2024TABLEFOOTER"/>
            </w:pPr>
          </w:p>
          <w:p w14:paraId="0E225CE3" w14:textId="77777777" w:rsidR="007932FC" w:rsidRPr="0054775B" w:rsidRDefault="007932FC" w:rsidP="00F1522E">
            <w:pPr>
              <w:pStyle w:val="2024TABLEFOOTER"/>
            </w:pPr>
            <w:r w:rsidRPr="0054775B">
              <w:t>Abbreviations:  CI=Confidence interval, MD=Mean difference, NR=Not reported, EPA= eicosapentaenoic acid, DHA=docosahexaenoic acid</w:t>
            </w:r>
          </w:p>
        </w:tc>
      </w:tr>
      <w:tr w:rsidR="007932FC" w:rsidRPr="0054775B" w14:paraId="2512F33B" w14:textId="77777777" w:rsidTr="007932FC">
        <w:trPr>
          <w:cantSplit/>
          <w:trHeight w:val="236"/>
        </w:trPr>
        <w:tc>
          <w:tcPr>
            <w:tcW w:w="5000" w:type="pct"/>
            <w:tcBorders>
              <w:top w:val="single" w:sz="6" w:space="0" w:color="000000"/>
              <w:left w:val="nil"/>
              <w:bottom w:val="single" w:sz="6" w:space="0" w:color="000000"/>
              <w:right w:val="nil"/>
            </w:tcBorders>
          </w:tcPr>
          <w:p w14:paraId="06C094A3" w14:textId="77777777" w:rsidR="007932FC" w:rsidRPr="0054775B" w:rsidRDefault="007932FC" w:rsidP="00F1522E">
            <w:pPr>
              <w:pStyle w:val="2024TABLEFOOTER"/>
            </w:pPr>
            <w:r w:rsidRPr="0054775B">
              <w:t>GRADE Working Group grades of evidence</w:t>
            </w:r>
            <w:r w:rsidRPr="0054775B">
              <w:br/>
            </w:r>
            <w:r w:rsidRPr="0054775B">
              <w:rPr>
                <w:b/>
                <w:bCs/>
              </w:rPr>
              <w:t>High certainty:</w:t>
            </w:r>
            <w:r w:rsidRPr="0054775B">
              <w:t xml:space="preserve"> we are very confident that the true effect lies close to that of the estimate of the effect.</w:t>
            </w:r>
            <w:r w:rsidRPr="0054775B">
              <w:br/>
            </w:r>
            <w:r w:rsidRPr="0054775B">
              <w:rPr>
                <w:b/>
                <w:bCs/>
              </w:rPr>
              <w:t>Moderate certainty:</w:t>
            </w:r>
            <w:r w:rsidRPr="0054775B">
              <w:t xml:space="preserve"> we are moderately confident in the effect estimate: the true effect is likely to be close to the estimate of the effect, but there is a possibility that it is substantially different.</w:t>
            </w:r>
            <w:r w:rsidRPr="0054775B">
              <w:br/>
            </w:r>
            <w:r w:rsidRPr="0054775B">
              <w:rPr>
                <w:b/>
                <w:bCs/>
              </w:rPr>
              <w:t>Low certainty:</w:t>
            </w:r>
            <w:r w:rsidRPr="0054775B">
              <w:t xml:space="preserve"> our confidence in the effect estimate is limited: the true effect may be substantially different from the estimate of the effect.</w:t>
            </w:r>
            <w:r w:rsidRPr="0054775B">
              <w:br/>
            </w:r>
            <w:r w:rsidRPr="0054775B">
              <w:rPr>
                <w:b/>
                <w:bCs/>
              </w:rPr>
              <w:t>Very low certainty:</w:t>
            </w:r>
            <w:r w:rsidRPr="0054775B">
              <w:t xml:space="preserve"> we have very little confidence in the effect estimate: the true effect is likely to be substantially different from the estimate of effect.</w:t>
            </w:r>
          </w:p>
        </w:tc>
      </w:tr>
      <w:tr w:rsidR="007932FC" w:rsidRPr="0054775B" w14:paraId="1BEDC265" w14:textId="77777777" w:rsidTr="007932FC">
        <w:trPr>
          <w:cantSplit/>
          <w:trHeight w:val="236"/>
        </w:trPr>
        <w:tc>
          <w:tcPr>
            <w:tcW w:w="5000" w:type="pct"/>
            <w:tcBorders>
              <w:top w:val="single" w:sz="6" w:space="0" w:color="000000"/>
              <w:left w:val="nil"/>
              <w:bottom w:val="single" w:sz="6" w:space="0" w:color="000000"/>
              <w:right w:val="nil"/>
            </w:tcBorders>
          </w:tcPr>
          <w:p w14:paraId="6309D2E2" w14:textId="77777777" w:rsidR="007932FC" w:rsidRPr="0054775B" w:rsidRDefault="007932FC" w:rsidP="00F1522E">
            <w:pPr>
              <w:pStyle w:val="2024TABLEFOOTER"/>
            </w:pPr>
            <w:r w:rsidRPr="0054775B">
              <w:lastRenderedPageBreak/>
              <w:t>Explanations</w:t>
            </w:r>
          </w:p>
          <w:p w14:paraId="0AEC07A4" w14:textId="33AB7895" w:rsidR="00A674DC" w:rsidRPr="0054775B" w:rsidRDefault="007932FC" w:rsidP="00107BEE">
            <w:pPr>
              <w:pStyle w:val="2024TABLEFOOTER"/>
              <w:numPr>
                <w:ilvl w:val="0"/>
                <w:numId w:val="31"/>
              </w:numPr>
            </w:pPr>
            <w:r w:rsidRPr="0054775B">
              <w:t xml:space="preserve">Moderate risk of bias </w:t>
            </w:r>
            <w:r w:rsidR="00C63A25">
              <w:t xml:space="preserve">assessed </w:t>
            </w:r>
            <w:r w:rsidRPr="0054775B">
              <w:t xml:space="preserve">for 6/8 </w:t>
            </w:r>
            <w:r w:rsidR="00636137">
              <w:t xml:space="preserve">included </w:t>
            </w:r>
            <w:r w:rsidRPr="0054775B">
              <w:t>primary studies</w:t>
            </w:r>
            <w:r w:rsidR="00267A25">
              <w:t xml:space="preserve">; there are concerns that fish oil has a strong taste and therefore </w:t>
            </w:r>
            <w:r w:rsidR="00A32145">
              <w:t>study arm concealment may be compromised</w:t>
            </w:r>
            <w:r w:rsidR="00EA184A">
              <w:t>. On balance,</w:t>
            </w:r>
            <w:r w:rsidR="00D1253A">
              <w:t xml:space="preserve"> </w:t>
            </w:r>
            <w:r w:rsidR="00EA184A">
              <w:t>key risk of bias concerns</w:t>
            </w:r>
            <w:r w:rsidR="00D1253A">
              <w:t xml:space="preserve"> would be unlikely to impact </w:t>
            </w:r>
            <w:r w:rsidR="00EA184A">
              <w:t>results</w:t>
            </w:r>
            <w:r w:rsidRPr="0054775B">
              <w:t xml:space="preserve"> (</w:t>
            </w:r>
            <w:r w:rsidR="00EA184A">
              <w:t>no change</w:t>
            </w:r>
            <w:r w:rsidRPr="0054775B">
              <w:t xml:space="preserve"> for risk of bias). Some populations were receiving hypertensive treatment which may impact the applicability of results (downgrade one for indirectness).</w:t>
            </w:r>
            <w:r w:rsidR="009A1F86">
              <w:t xml:space="preserve"> </w:t>
            </w:r>
            <w:r w:rsidR="00A8229F" w:rsidRPr="00A8229F">
              <w:t>CI boundaries suggest different inferences based on MCID (</w:t>
            </w:r>
            <w:r w:rsidR="00A8229F">
              <w:t>SBP</w:t>
            </w:r>
            <w:r w:rsidR="00B07116">
              <w:t>, DBP</w:t>
            </w:r>
            <w:r w:rsidR="00A8229F" w:rsidRPr="00A8229F">
              <w:t xml:space="preserve"> = 2</w:t>
            </w:r>
            <w:r w:rsidR="00A8229F">
              <w:t>mmHg</w:t>
            </w:r>
            <w:r w:rsidR="00A8229F" w:rsidRPr="00A8229F">
              <w:t>)</w:t>
            </w:r>
            <w:r w:rsidR="00A8229F">
              <w:t xml:space="preserve"> </w:t>
            </w:r>
            <w:r w:rsidR="00A8229F" w:rsidRPr="00A8229F">
              <w:t>(downgraded one for imprecision).</w:t>
            </w:r>
            <w:r w:rsidR="00A8229F">
              <w:t xml:space="preserve"> </w:t>
            </w:r>
            <w:r w:rsidR="005B62F7">
              <w:t xml:space="preserve">Low </w:t>
            </w:r>
            <w:r w:rsidR="00800860">
              <w:t>i</w:t>
            </w:r>
            <w:r w:rsidR="005B62F7" w:rsidRPr="005B62F7">
              <w:t xml:space="preserve">nconsistency supported by </w:t>
            </w:r>
            <w:r w:rsidR="005B62F7">
              <w:t>low</w:t>
            </w:r>
            <w:r w:rsidR="005B62F7" w:rsidRPr="005B62F7">
              <w:t xml:space="preserve"> I² values and </w:t>
            </w:r>
            <w:r w:rsidR="00D60990">
              <w:t>non-</w:t>
            </w:r>
            <w:r w:rsidR="005B62F7" w:rsidRPr="005B62F7">
              <w:t>statistically significant heterogeneity, point estimates favoured the intervention for the majority (no change for inconsistency).</w:t>
            </w:r>
            <w:r w:rsidR="007C27CD">
              <w:t xml:space="preserve"> </w:t>
            </w:r>
            <w:r w:rsidR="007C27CD" w:rsidRPr="007F1751">
              <w:t xml:space="preserve">Publication bias unlikely </w:t>
            </w:r>
            <w:r w:rsidR="007C27CD">
              <w:t>from</w:t>
            </w:r>
            <w:r w:rsidR="007C27CD" w:rsidRPr="007F1751">
              <w:t xml:space="preserve"> visual inspection of funnel plot (no change for publication bias).</w:t>
            </w:r>
          </w:p>
        </w:tc>
      </w:tr>
    </w:tbl>
    <w:p w14:paraId="00B29DAF" w14:textId="77777777" w:rsidR="007932FC" w:rsidRDefault="007932FC" w:rsidP="009E6F7F">
      <w:pPr>
        <w:sectPr w:rsidR="007932FC" w:rsidSect="006A72DC">
          <w:pgSz w:w="16840" w:h="11910" w:orient="landscape"/>
          <w:pgMar w:top="1340" w:right="280" w:bottom="1340" w:left="1356" w:header="720" w:footer="720" w:gutter="0"/>
          <w:cols w:space="720"/>
          <w:docGrid w:linePitch="299"/>
        </w:sectPr>
      </w:pPr>
    </w:p>
    <w:p w14:paraId="2C8E82D1" w14:textId="1FE321F1" w:rsidR="00764746" w:rsidRPr="0054775B" w:rsidRDefault="00980972" w:rsidP="00F9201F">
      <w:pPr>
        <w:pStyle w:val="2024HEADER2"/>
      </w:pPr>
      <w:bookmarkStart w:id="123" w:name="_Toc179379628"/>
      <w:r w:rsidRPr="0054775B">
        <w:lastRenderedPageBreak/>
        <w:t xml:space="preserve">Fibromyalgia, </w:t>
      </w:r>
      <w:r w:rsidR="00B23B3F" w:rsidRPr="0054775B">
        <w:t>m</w:t>
      </w:r>
      <w:r w:rsidRPr="0054775B">
        <w:t>agnesium</w:t>
      </w:r>
      <w:bookmarkEnd w:id="123"/>
    </w:p>
    <w:p w14:paraId="1C8FF6A3" w14:textId="77777777" w:rsidR="008308E9" w:rsidRPr="0054775B" w:rsidRDefault="008308E9" w:rsidP="009E6F7F">
      <w:pPr>
        <w:pStyle w:val="2024HEADER3"/>
        <w:rPr>
          <w:rFonts w:ascii="Aptos" w:hAnsi="Aptos"/>
        </w:rPr>
      </w:pPr>
      <w:r w:rsidRPr="0054775B">
        <w:rPr>
          <w:rFonts w:ascii="Aptos" w:hAnsi="Aptos"/>
        </w:rPr>
        <w:t>Description of condition</w:t>
      </w:r>
    </w:p>
    <w:p w14:paraId="5DED46B6" w14:textId="357D1AC7" w:rsidR="004B102F" w:rsidRPr="0054775B" w:rsidRDefault="004B102F" w:rsidP="009E6F7F">
      <w:r w:rsidRPr="0054775B">
        <w:t xml:space="preserve">Fibromyalgia is a chronic condition primarily characterized by widespread pain, fatigue, sleep disturbances, and cognitive difficulties ("fibro fog") </w:t>
      </w:r>
      <w:r w:rsidR="00227084">
        <w:rPr>
          <w:noProof/>
        </w:rPr>
        <w:t>(180, 181)</w:t>
      </w:r>
      <w:r w:rsidRPr="0054775B">
        <w:t xml:space="preserve">. It is a complex and often debilitating syndrome of multifactorial origin, with a significant impact on quality of life and functional abilities. The underlying mechanisms of fibromyalgia are not fully understood, but research suggests a dysregulation in pain processing within the central nervous system </w:t>
      </w:r>
      <w:r w:rsidR="00227084">
        <w:rPr>
          <w:noProof/>
        </w:rPr>
        <w:t>(182)</w:t>
      </w:r>
      <w:r w:rsidR="002366E6" w:rsidRPr="0054775B">
        <w:t xml:space="preserve">. </w:t>
      </w:r>
    </w:p>
    <w:p w14:paraId="496916C5" w14:textId="475D4420" w:rsidR="004B102F" w:rsidRPr="0054775B" w:rsidRDefault="004B102F" w:rsidP="009E6F7F">
      <w:r w:rsidRPr="0054775B">
        <w:t xml:space="preserve">Globally, fibromyalgia is estimated to affect approximately </w:t>
      </w:r>
      <w:r w:rsidR="00A04567" w:rsidRPr="0054775B">
        <w:t>3-5</w:t>
      </w:r>
      <w:r w:rsidRPr="0054775B">
        <w:t xml:space="preserve">% of the population, with a higher prevalence among women </w:t>
      </w:r>
      <w:r w:rsidR="00227084">
        <w:rPr>
          <w:noProof/>
        </w:rPr>
        <w:t>(183)</w:t>
      </w:r>
      <w:r w:rsidR="00470A5B" w:rsidRPr="0054775B">
        <w:t>.</w:t>
      </w:r>
      <w:r w:rsidR="00C62984" w:rsidRPr="0054775B">
        <w:t xml:space="preserve"> </w:t>
      </w:r>
      <w:r w:rsidR="00470A5B" w:rsidRPr="0054775B">
        <w:t>N</w:t>
      </w:r>
      <w:r w:rsidRPr="0054775B">
        <w:t xml:space="preserve">o specific diagnostic test exists, </w:t>
      </w:r>
      <w:r w:rsidR="002D6B53" w:rsidRPr="0054775B">
        <w:t xml:space="preserve">and </w:t>
      </w:r>
      <w:r w:rsidRPr="0054775B">
        <w:t xml:space="preserve">fibromyalgia is diagnosed based on clinical criteria that </w:t>
      </w:r>
      <w:r w:rsidR="007B1908" w:rsidRPr="0054775B">
        <w:t xml:space="preserve">include chronic musculoskeletal pain and tenderness, as well as fatigue, sleep problems, cognitive disturbance </w:t>
      </w:r>
      <w:r w:rsidR="00227084">
        <w:rPr>
          <w:noProof/>
        </w:rPr>
        <w:t>(183)</w:t>
      </w:r>
      <w:r w:rsidR="007B1908" w:rsidRPr="0054775B">
        <w:t xml:space="preserve">. </w:t>
      </w:r>
      <w:r w:rsidRPr="0054775B">
        <w:t>A careful evaluation is needed to rule out other medical conditions that might cause similar presentations</w:t>
      </w:r>
      <w:r w:rsidR="002D6B53" w:rsidRPr="0054775B">
        <w:t>, and fibromyalgia is often missed as a diagnosis when it coexists with another chronic illness, particularly when it occurs with another condition causing similar symptoms such as arthritis, endocrine disorders, depression or sleep apnoea</w:t>
      </w:r>
      <w:r w:rsidR="00E37B60" w:rsidRPr="0054775B">
        <w:t xml:space="preserve"> </w:t>
      </w:r>
      <w:r w:rsidR="00227084">
        <w:rPr>
          <w:noProof/>
        </w:rPr>
        <w:t>(183)</w:t>
      </w:r>
      <w:r w:rsidR="002D6B53" w:rsidRPr="0054775B">
        <w:t>.</w:t>
      </w:r>
    </w:p>
    <w:p w14:paraId="63E88CA5" w14:textId="5EBF83C7" w:rsidR="004B102F" w:rsidRPr="0054775B" w:rsidRDefault="004B102F" w:rsidP="009E6F7F">
      <w:r w:rsidRPr="0054775B">
        <w:t xml:space="preserve">Beyond chronic pain, fatigue, sleep difficulties, and cognitive problems, individuals with fibromyalgia may also experience a range of associated symptoms, including headaches, </w:t>
      </w:r>
      <w:r w:rsidR="00E37B60" w:rsidRPr="0054775B">
        <w:t>gastrointestinal issues</w:t>
      </w:r>
      <w:r w:rsidRPr="0054775B">
        <w:t xml:space="preserve">, anxiety, and depression </w:t>
      </w:r>
      <w:r w:rsidR="00227084">
        <w:rPr>
          <w:noProof/>
        </w:rPr>
        <w:t>(180, 183)</w:t>
      </w:r>
      <w:r w:rsidR="00420491" w:rsidRPr="0054775B">
        <w:t xml:space="preserve">. </w:t>
      </w:r>
      <w:r w:rsidRPr="0054775B">
        <w:t xml:space="preserve">Fibromyalgia can </w:t>
      </w:r>
      <w:r w:rsidR="00367468" w:rsidRPr="0054775B">
        <w:t xml:space="preserve">also </w:t>
      </w:r>
      <w:r w:rsidRPr="0054775B">
        <w:t xml:space="preserve">significantly hinder daily activities, employment, and social relationships, leading to a diminished quality of life. </w:t>
      </w:r>
      <w:r w:rsidR="00FF057D" w:rsidRPr="0054775B">
        <w:t>As a</w:t>
      </w:r>
      <w:r w:rsidRPr="0054775B">
        <w:t xml:space="preserve"> complex condition</w:t>
      </w:r>
      <w:r w:rsidR="00FF057D" w:rsidRPr="0054775B">
        <w:t>, fibromyalgia</w:t>
      </w:r>
      <w:r w:rsidRPr="0054775B">
        <w:t xml:space="preserve"> requires an integrated approach to management,</w:t>
      </w:r>
      <w:r w:rsidR="00FF057D" w:rsidRPr="0054775B">
        <w:t xml:space="preserve"> and often</w:t>
      </w:r>
      <w:r w:rsidRPr="0054775B">
        <w:t xml:space="preserve"> includ</w:t>
      </w:r>
      <w:r w:rsidR="00FF057D" w:rsidRPr="0054775B">
        <w:t>es both</w:t>
      </w:r>
      <w:r w:rsidRPr="0054775B">
        <w:t xml:space="preserve"> pharmacological and non-pharmacological interventions</w:t>
      </w:r>
      <w:r w:rsidR="008D796B" w:rsidRPr="0054775B">
        <w:t xml:space="preserve"> </w:t>
      </w:r>
      <w:r w:rsidR="00227084">
        <w:rPr>
          <w:noProof/>
        </w:rPr>
        <w:t>(183)</w:t>
      </w:r>
      <w:r w:rsidRPr="0054775B">
        <w:t>.</w:t>
      </w:r>
    </w:p>
    <w:p w14:paraId="0BCC6FE5" w14:textId="7F54794E" w:rsidR="00B23B3F" w:rsidRPr="0054775B" w:rsidRDefault="008308E9" w:rsidP="009E6F7F">
      <w:pPr>
        <w:pStyle w:val="2024HEADER3"/>
        <w:rPr>
          <w:rFonts w:ascii="Aptos" w:hAnsi="Aptos"/>
        </w:rPr>
      </w:pPr>
      <w:r w:rsidRPr="0054775B">
        <w:rPr>
          <w:rFonts w:ascii="Aptos" w:hAnsi="Aptos"/>
        </w:rPr>
        <w:t>Description of the intervention</w:t>
      </w:r>
    </w:p>
    <w:p w14:paraId="089DA77D" w14:textId="67669A31" w:rsidR="00C6042F" w:rsidRPr="0054775B" w:rsidRDefault="00C6042F" w:rsidP="009E6F7F">
      <w:r w:rsidRPr="0054775B">
        <w:t xml:space="preserve">Magnesium (often abbreviated as its chemical symbol: Mg) is a naturally occurring mineral in the human body. It is a </w:t>
      </w:r>
      <w:r w:rsidRPr="0054775B">
        <w:rPr>
          <w:sz w:val="21"/>
          <w:szCs w:val="21"/>
        </w:rPr>
        <w:t>typical</w:t>
      </w:r>
      <w:r w:rsidRPr="0054775B">
        <w:t xml:space="preserve"> component of most diets, and is abundant in foods such as leafy vegetables, nuts, legumes, and grains </w:t>
      </w:r>
      <w:r w:rsidR="00A61385">
        <w:rPr>
          <w:noProof/>
        </w:rPr>
        <w:t>(17)</w:t>
      </w:r>
      <w:r w:rsidRPr="0054775B">
        <w:t xml:space="preserve">. Magnesium is an essential mineral playing numerous crucial roles in the human body, including enzymatic reactions, energy production, muscle function, and bone health </w:t>
      </w:r>
      <w:r w:rsidR="00A61385">
        <w:rPr>
          <w:noProof/>
        </w:rPr>
        <w:t>(16, 17)</w:t>
      </w:r>
      <w:r w:rsidRPr="0054775B">
        <w:t xml:space="preserve">. </w:t>
      </w:r>
    </w:p>
    <w:p w14:paraId="232F2AD2" w14:textId="21BA9DDB" w:rsidR="00C6042F" w:rsidRPr="0054775B" w:rsidRDefault="00C6042F" w:rsidP="009E6F7F">
      <w:r w:rsidRPr="0054775B">
        <w:t xml:space="preserve">Magnesium supplements come in several forms with varying bioavailability (absorption rate).  Common forms include magnesium oxide, citrate, glycinate, or lactate </w:t>
      </w:r>
      <w:r w:rsidR="00A61385">
        <w:rPr>
          <w:noProof/>
        </w:rPr>
        <w:t>(17)</w:t>
      </w:r>
      <w:r w:rsidRPr="0054775B">
        <w:t xml:space="preserve">. The recommended dietary </w:t>
      </w:r>
      <w:r w:rsidR="004817BD">
        <w:t>intake</w:t>
      </w:r>
      <w:r w:rsidR="004817BD" w:rsidRPr="0054775B">
        <w:t xml:space="preserve"> </w:t>
      </w:r>
      <w:r w:rsidRPr="0054775B">
        <w:t>(</w:t>
      </w:r>
      <w:r w:rsidR="004817BD" w:rsidRPr="0054775B">
        <w:t>RD</w:t>
      </w:r>
      <w:r w:rsidR="004817BD">
        <w:t>I</w:t>
      </w:r>
      <w:r w:rsidRPr="0054775B">
        <w:t xml:space="preserve">) for magnesium varies depending on age and sex, typically ranging from 310-420 mg daily for adults </w:t>
      </w:r>
      <w:r w:rsidR="00A61385">
        <w:rPr>
          <w:noProof/>
        </w:rPr>
        <w:t>(</w:t>
      </w:r>
      <w:r w:rsidR="004817BD">
        <w:rPr>
          <w:noProof/>
        </w:rPr>
        <w:t>19</w:t>
      </w:r>
      <w:r w:rsidR="00A61385">
        <w:rPr>
          <w:noProof/>
        </w:rPr>
        <w:t>)</w:t>
      </w:r>
      <w:r w:rsidRPr="0054775B">
        <w:t xml:space="preserve">. Recent evidence suggests that magnesium levels in the body may be associated with some health conditions, including Diabetes Mellitus (Type II), cardiovascular disease, osteoporosis, and migraines </w:t>
      </w:r>
      <w:r w:rsidR="00A61385">
        <w:rPr>
          <w:noProof/>
        </w:rPr>
        <w:t>(17)</w:t>
      </w:r>
      <w:r w:rsidRPr="0054775B">
        <w:t>.</w:t>
      </w:r>
    </w:p>
    <w:p w14:paraId="46641581" w14:textId="3E15D50A" w:rsidR="00670CFB" w:rsidRPr="0054775B" w:rsidRDefault="00670CFB" w:rsidP="00495903">
      <w:r w:rsidRPr="0054775B">
        <w:t xml:space="preserve">Magnesium </w:t>
      </w:r>
      <w:r w:rsidR="00A10E2C" w:rsidRPr="0054775B">
        <w:t xml:space="preserve">may </w:t>
      </w:r>
      <w:r w:rsidRPr="0054775B">
        <w:t>play a role in preventing central sensitization, reducing muscle pain, and</w:t>
      </w:r>
      <w:r w:rsidR="00A10E2C" w:rsidRPr="0054775B">
        <w:t xml:space="preserve"> Substance P and Pain Intensity Correlation.</w:t>
      </w:r>
      <w:r w:rsidRPr="0054775B">
        <w:t xml:space="preserve"> </w:t>
      </w:r>
      <w:r w:rsidR="00F5164B" w:rsidRPr="0054775B">
        <w:t>It is thought that f</w:t>
      </w:r>
      <w:r w:rsidR="00495903" w:rsidRPr="0054775B">
        <w:t>ibromyalgia involves central sensitization, where the brain amplifies pain signals.</w:t>
      </w:r>
      <w:r w:rsidR="00C06CB8" w:rsidRPr="0054775B">
        <w:t xml:space="preserve"> </w:t>
      </w:r>
      <w:r w:rsidR="00495903" w:rsidRPr="0054775B">
        <w:t>Magnesium blocks N-methyl-D-aspartate (NMDA) receptors</w:t>
      </w:r>
      <w:r w:rsidR="00A479FD" w:rsidRPr="0054775B">
        <w:t xml:space="preserve"> </w:t>
      </w:r>
      <w:r w:rsidR="00227084">
        <w:rPr>
          <w:noProof/>
        </w:rPr>
        <w:t>(184)</w:t>
      </w:r>
      <w:r w:rsidR="00495903" w:rsidRPr="0054775B">
        <w:t xml:space="preserve">, </w:t>
      </w:r>
      <w:r w:rsidR="006C550D" w:rsidRPr="0054775B">
        <w:t>which may prevent</w:t>
      </w:r>
      <w:r w:rsidR="00495903" w:rsidRPr="0054775B">
        <w:t xml:space="preserve"> central sensitization and </w:t>
      </w:r>
      <w:r w:rsidR="001B2786" w:rsidRPr="0054775B">
        <w:t>reduc</w:t>
      </w:r>
      <w:r w:rsidR="001B2786">
        <w:t>e</w:t>
      </w:r>
      <w:r w:rsidR="00495903" w:rsidRPr="0054775B">
        <w:t xml:space="preserve"> pain perception.</w:t>
      </w:r>
      <w:r w:rsidR="00175509" w:rsidRPr="0054775B">
        <w:t xml:space="preserve"> </w:t>
      </w:r>
      <w:r w:rsidR="00495903" w:rsidRPr="0054775B">
        <w:t>Magnesium deficiency is associated with muscle pain, fatigue, sleep disturbances, and anxiety</w:t>
      </w:r>
      <w:r w:rsidR="00E42003">
        <w:t>, which are all</w:t>
      </w:r>
      <w:r w:rsidR="00F85DAF" w:rsidRPr="0054775B">
        <w:t xml:space="preserve"> </w:t>
      </w:r>
      <w:r w:rsidR="00495903" w:rsidRPr="0054775B">
        <w:t>common symptoms in fibromyalgia</w:t>
      </w:r>
      <w:r w:rsidR="00EE452B" w:rsidRPr="0054775B">
        <w:t xml:space="preserve"> </w:t>
      </w:r>
      <w:r w:rsidR="00227084">
        <w:rPr>
          <w:noProof/>
        </w:rPr>
        <w:t>(185)</w:t>
      </w:r>
      <w:r w:rsidR="00495903" w:rsidRPr="0054775B">
        <w:t>.</w:t>
      </w:r>
      <w:r w:rsidR="00F85DAF" w:rsidRPr="0054775B">
        <w:t xml:space="preserve"> </w:t>
      </w:r>
      <w:r w:rsidR="00495903" w:rsidRPr="0054775B">
        <w:t>Increased levels of substance P, a neurotransmitter linked to pain perception, are correlated with magnesium deficiency and pain intensity in fibromyalgia</w:t>
      </w:r>
      <w:r w:rsidR="00EE452B" w:rsidRPr="0054775B">
        <w:t xml:space="preserve"> </w:t>
      </w:r>
      <w:r w:rsidR="00227084">
        <w:rPr>
          <w:noProof/>
        </w:rPr>
        <w:t>(185)</w:t>
      </w:r>
      <w:r w:rsidR="00495903" w:rsidRPr="0054775B">
        <w:t>.</w:t>
      </w:r>
    </w:p>
    <w:p w14:paraId="638A8DE8" w14:textId="5D24EAC6" w:rsidR="00C6042F" w:rsidRPr="0054775B" w:rsidRDefault="00C6042F" w:rsidP="009E6F7F">
      <w:r w:rsidRPr="0054775B">
        <w:lastRenderedPageBreak/>
        <w:t>Oral magnesium supplements are readily available without prescription and are often marketed in tandem with one or multiple other nutritional supplements. Magnesium supplements are generally safe for most people when taken at appropriate doses</w:t>
      </w:r>
      <w:r w:rsidR="00BE6BEA">
        <w:rPr>
          <w:rStyle w:val="FootnoteReference"/>
        </w:rPr>
        <w:footnoteReference w:id="7"/>
      </w:r>
      <w:r w:rsidRPr="0054775B">
        <w:t>; though some medications may interact with magnesium (including antibiotics, diuretics and bisphosphonates). Excess magnesium is usually</w:t>
      </w:r>
      <w:r w:rsidRPr="0054775B" w:rsidDel="001909D9">
        <w:t xml:space="preserve"> </w:t>
      </w:r>
      <w:r w:rsidR="001909D9">
        <w:t>excreted</w:t>
      </w:r>
      <w:r w:rsidR="001909D9" w:rsidRPr="0054775B">
        <w:t xml:space="preserve"> </w:t>
      </w:r>
      <w:r w:rsidRPr="0054775B">
        <w:t xml:space="preserve">by the kidneys as urine, though very high amounts of magnesium from dietary supplements can result in diarrhea, nausea and abdominal cramping </w:t>
      </w:r>
      <w:r w:rsidR="00A61385">
        <w:rPr>
          <w:noProof/>
        </w:rPr>
        <w:t>(17)</w:t>
      </w:r>
      <w:r w:rsidRPr="0054775B">
        <w:t>.</w:t>
      </w:r>
    </w:p>
    <w:p w14:paraId="3AAB16BB" w14:textId="77777777" w:rsidR="008308E9" w:rsidRPr="0054775B" w:rsidRDefault="008308E9" w:rsidP="009E6F7F">
      <w:pPr>
        <w:pStyle w:val="2024HEADER3"/>
        <w:rPr>
          <w:rFonts w:ascii="Aptos" w:hAnsi="Aptos"/>
        </w:rPr>
      </w:pPr>
      <w:r w:rsidRPr="0054775B">
        <w:rPr>
          <w:rFonts w:ascii="Aptos" w:hAnsi="Aptos"/>
        </w:rPr>
        <w:t>Prioritised outcomes</w:t>
      </w:r>
    </w:p>
    <w:p w14:paraId="6FF1D4AA" w14:textId="26D7C0CC" w:rsidR="00FE333A" w:rsidRPr="0054775B" w:rsidRDefault="00FE333A" w:rsidP="009E6F7F">
      <w:r w:rsidRPr="0054775B">
        <w:t xml:space="preserve">Seven </w:t>
      </w:r>
      <w:r w:rsidR="00EF78B0" w:rsidRPr="0054775B">
        <w:t xml:space="preserve">priority outcomes were identified </w:t>
      </w:r>
      <w:r w:rsidR="007F404D" w:rsidRPr="0054775B">
        <w:t xml:space="preserve">by NTWC as part of the Outcome Prioritisation Exercise. These are listed below by order of priority. </w:t>
      </w:r>
      <w:r w:rsidR="00EF78B0" w:rsidRPr="0054775B">
        <w:t>Outcomes were rated by their importance to decision-making, with those rated 7-9 being critical for decision-making</w:t>
      </w:r>
      <w:r w:rsidRPr="0054775B">
        <w:t xml:space="preserve">. </w:t>
      </w:r>
    </w:p>
    <w:p w14:paraId="06AAEF9D" w14:textId="68E9C626" w:rsidR="00764746" w:rsidRPr="0054775B" w:rsidRDefault="00C6042F" w:rsidP="006F63D3">
      <w:pPr>
        <w:pStyle w:val="2024TABLECAPTION"/>
        <w:rPr>
          <w:rFonts w:ascii="Aptos" w:hAnsi="Aptos"/>
        </w:rPr>
      </w:pPr>
      <w:bookmarkStart w:id="124" w:name="_Toc185261620"/>
      <w:r w:rsidRPr="0054775B">
        <w:rPr>
          <w:rFonts w:ascii="Aptos" w:hAnsi="Aptos"/>
        </w:rPr>
        <w:t xml:space="preserve">Table </w:t>
      </w:r>
      <w:r w:rsidR="002F1F6C" w:rsidRPr="0054775B">
        <w:rPr>
          <w:rFonts w:ascii="Aptos" w:hAnsi="Aptos"/>
        </w:rPr>
        <w:fldChar w:fldCharType="begin"/>
      </w:r>
      <w:r w:rsidR="002F1F6C" w:rsidRPr="0054775B">
        <w:rPr>
          <w:rFonts w:ascii="Aptos" w:hAnsi="Aptos"/>
        </w:rPr>
        <w:instrText xml:space="preserve"> SEQ Table \* ARABIC </w:instrText>
      </w:r>
      <w:r w:rsidR="002F1F6C" w:rsidRPr="0054775B">
        <w:rPr>
          <w:rFonts w:ascii="Aptos" w:hAnsi="Aptos"/>
        </w:rPr>
        <w:fldChar w:fldCharType="separate"/>
      </w:r>
      <w:r w:rsidR="00651E04">
        <w:rPr>
          <w:rFonts w:ascii="Aptos" w:hAnsi="Aptos"/>
          <w:noProof/>
        </w:rPr>
        <w:t>42</w:t>
      </w:r>
      <w:r w:rsidR="002F1F6C" w:rsidRPr="0054775B">
        <w:rPr>
          <w:rFonts w:ascii="Aptos" w:hAnsi="Aptos"/>
          <w:noProof/>
        </w:rPr>
        <w:fldChar w:fldCharType="end"/>
      </w:r>
      <w:r w:rsidRPr="0054775B">
        <w:rPr>
          <w:rFonts w:ascii="Aptos" w:hAnsi="Aptos"/>
        </w:rPr>
        <w:t xml:space="preserve">. </w:t>
      </w:r>
      <w:r w:rsidR="00764746" w:rsidRPr="0054775B">
        <w:rPr>
          <w:rFonts w:ascii="Aptos" w:hAnsi="Aptos"/>
        </w:rPr>
        <w:t xml:space="preserve">List of prioritised outcomes – </w:t>
      </w:r>
      <w:r w:rsidR="008B74BD" w:rsidRPr="0054775B">
        <w:rPr>
          <w:rFonts w:ascii="Aptos" w:hAnsi="Aptos"/>
        </w:rPr>
        <w:t>f</w:t>
      </w:r>
      <w:r w:rsidR="0012437F" w:rsidRPr="0054775B">
        <w:rPr>
          <w:rFonts w:ascii="Aptos" w:hAnsi="Aptos"/>
        </w:rPr>
        <w:t xml:space="preserve">ibromyalgia, </w:t>
      </w:r>
      <w:r w:rsidR="008B74BD" w:rsidRPr="0054775B">
        <w:rPr>
          <w:rFonts w:ascii="Aptos" w:hAnsi="Aptos"/>
        </w:rPr>
        <w:t>m</w:t>
      </w:r>
      <w:r w:rsidR="0012437F" w:rsidRPr="0054775B">
        <w:rPr>
          <w:rFonts w:ascii="Aptos" w:hAnsi="Aptos"/>
        </w:rPr>
        <w:t xml:space="preserve">agnesium </w:t>
      </w:r>
      <w:r w:rsidR="00764746" w:rsidRPr="0054775B">
        <w:rPr>
          <w:rFonts w:ascii="Aptos" w:hAnsi="Aptos"/>
        </w:rPr>
        <w:t>(as assessed as part of the Outcome Prioritisation Exercise by NTWC).</w:t>
      </w:r>
      <w:bookmarkEnd w:id="124"/>
      <w:r w:rsidR="00764746" w:rsidRPr="0054775B">
        <w:rPr>
          <w:rFonts w:ascii="Aptos" w:hAnsi="Aptos"/>
        </w:rPr>
        <w:t> </w:t>
      </w:r>
    </w:p>
    <w:tbl>
      <w:tblPr>
        <w:tblW w:w="9209" w:type="dxa"/>
        <w:tblCellMar>
          <w:top w:w="28" w:type="dxa"/>
          <w:left w:w="57" w:type="dxa"/>
          <w:bottom w:w="28" w:type="dxa"/>
          <w:right w:w="28" w:type="dxa"/>
        </w:tblCellMar>
        <w:tblLook w:val="04A0" w:firstRow="1" w:lastRow="0" w:firstColumn="1" w:lastColumn="0" w:noHBand="0" w:noVBand="1"/>
      </w:tblPr>
      <w:tblGrid>
        <w:gridCol w:w="399"/>
        <w:gridCol w:w="1268"/>
        <w:gridCol w:w="1229"/>
        <w:gridCol w:w="758"/>
        <w:gridCol w:w="5555"/>
      </w:tblGrid>
      <w:tr w:rsidR="00A70B1C" w:rsidRPr="0054775B" w14:paraId="40B1175E" w14:textId="77777777" w:rsidTr="00816677">
        <w:trPr>
          <w:trHeight w:val="95"/>
        </w:trPr>
        <w:tc>
          <w:tcPr>
            <w:tcW w:w="0" w:type="auto"/>
            <w:vMerge w:val="restart"/>
            <w:tcBorders>
              <w:top w:val="single" w:sz="4" w:space="0" w:color="auto"/>
              <w:left w:val="single" w:sz="4" w:space="0" w:color="auto"/>
              <w:right w:val="single" w:sz="4" w:space="0" w:color="auto"/>
            </w:tcBorders>
            <w:shd w:val="clear" w:color="auto" w:fill="D9D9D9" w:themeFill="background1" w:themeFillShade="D9"/>
            <w:vAlign w:val="center"/>
            <w:hideMark/>
          </w:tcPr>
          <w:p w14:paraId="66B70484" w14:textId="77777777" w:rsidR="00816677" w:rsidRPr="0054775B" w:rsidRDefault="00816677" w:rsidP="006F63D3">
            <w:pPr>
              <w:pStyle w:val="2024TABLEHEADER"/>
            </w:pPr>
            <w:r w:rsidRPr="0054775B">
              <w:t> #</w:t>
            </w:r>
          </w:p>
        </w:tc>
        <w:tc>
          <w:tcPr>
            <w:tcW w:w="1268" w:type="dxa"/>
            <w:vMerge w:val="restart"/>
            <w:tcBorders>
              <w:top w:val="single" w:sz="4" w:space="0" w:color="auto"/>
              <w:left w:val="nil"/>
              <w:right w:val="single" w:sz="4" w:space="0" w:color="auto"/>
            </w:tcBorders>
            <w:shd w:val="clear" w:color="auto" w:fill="D9D9D9" w:themeFill="background1" w:themeFillShade="D9"/>
            <w:vAlign w:val="center"/>
            <w:hideMark/>
          </w:tcPr>
          <w:p w14:paraId="16353BC9" w14:textId="77777777" w:rsidR="00816677" w:rsidRPr="0054775B" w:rsidRDefault="00816677" w:rsidP="006F63D3">
            <w:pPr>
              <w:pStyle w:val="2024TABLEHEADER"/>
              <w:rPr>
                <w:color w:val="000000"/>
              </w:rPr>
            </w:pPr>
            <w:r w:rsidRPr="0054775B">
              <w:t>Priority population</w:t>
            </w:r>
          </w:p>
        </w:tc>
        <w:tc>
          <w:tcPr>
            <w:tcW w:w="1229" w:type="dxa"/>
            <w:vMerge w:val="restart"/>
            <w:tcBorders>
              <w:top w:val="single" w:sz="4" w:space="0" w:color="auto"/>
              <w:left w:val="nil"/>
              <w:right w:val="single" w:sz="4" w:space="0" w:color="auto"/>
            </w:tcBorders>
            <w:shd w:val="clear" w:color="auto" w:fill="D9D9D9" w:themeFill="background1" w:themeFillShade="D9"/>
            <w:vAlign w:val="center"/>
            <w:hideMark/>
          </w:tcPr>
          <w:p w14:paraId="13433CDA" w14:textId="77777777" w:rsidR="00816677" w:rsidRPr="0054775B" w:rsidRDefault="00816677" w:rsidP="006F63D3">
            <w:pPr>
              <w:pStyle w:val="2024TABLEHEADER"/>
              <w:rPr>
                <w:color w:val="000000"/>
              </w:rPr>
            </w:pPr>
            <w:r w:rsidRPr="0054775B">
              <w:t xml:space="preserve">Priority intervention </w:t>
            </w:r>
          </w:p>
        </w:tc>
        <w:tc>
          <w:tcPr>
            <w:tcW w:w="6313" w:type="dxa"/>
            <w:gridSpan w:val="2"/>
            <w:tcBorders>
              <w:top w:val="single" w:sz="4" w:space="0" w:color="auto"/>
              <w:left w:val="nil"/>
              <w:bottom w:val="single" w:sz="4" w:space="0" w:color="auto"/>
              <w:right w:val="single" w:sz="4" w:space="0" w:color="auto"/>
            </w:tcBorders>
            <w:shd w:val="clear" w:color="auto" w:fill="D9D9D9" w:themeFill="background1" w:themeFillShade="D9"/>
            <w:vAlign w:val="center"/>
          </w:tcPr>
          <w:p w14:paraId="6B2DA1BA" w14:textId="77777777" w:rsidR="00816677" w:rsidRPr="0054775B" w:rsidRDefault="00816677" w:rsidP="006F63D3">
            <w:pPr>
              <w:pStyle w:val="2024TABLEHEADER"/>
            </w:pPr>
            <w:r w:rsidRPr="0054775B">
              <w:t>Priority outcomes</w:t>
            </w:r>
          </w:p>
        </w:tc>
      </w:tr>
      <w:tr w:rsidR="00A70B1C" w:rsidRPr="0054775B" w14:paraId="0C523237" w14:textId="77777777" w:rsidTr="00816677">
        <w:trPr>
          <w:trHeight w:val="95"/>
        </w:trPr>
        <w:tc>
          <w:tcPr>
            <w:tcW w:w="0" w:type="auto"/>
            <w:vMerge/>
            <w:tcBorders>
              <w:left w:val="single" w:sz="4" w:space="0" w:color="auto"/>
              <w:bottom w:val="single" w:sz="4" w:space="0" w:color="auto"/>
              <w:right w:val="single" w:sz="4" w:space="0" w:color="auto"/>
            </w:tcBorders>
            <w:shd w:val="clear" w:color="auto" w:fill="D9D9D9" w:themeFill="background1" w:themeFillShade="D9"/>
            <w:vAlign w:val="center"/>
          </w:tcPr>
          <w:p w14:paraId="64DA4E82" w14:textId="77777777" w:rsidR="00816677" w:rsidRPr="0054775B" w:rsidRDefault="00816677" w:rsidP="006F63D3">
            <w:pPr>
              <w:pStyle w:val="2024TABLEHEADER"/>
            </w:pPr>
          </w:p>
        </w:tc>
        <w:tc>
          <w:tcPr>
            <w:tcW w:w="1268" w:type="dxa"/>
            <w:vMerge/>
            <w:tcBorders>
              <w:left w:val="nil"/>
              <w:bottom w:val="single" w:sz="4" w:space="0" w:color="auto"/>
              <w:right w:val="single" w:sz="4" w:space="0" w:color="auto"/>
            </w:tcBorders>
            <w:shd w:val="clear" w:color="auto" w:fill="D9D9D9" w:themeFill="background1" w:themeFillShade="D9"/>
            <w:vAlign w:val="center"/>
          </w:tcPr>
          <w:p w14:paraId="2602B781" w14:textId="77777777" w:rsidR="00816677" w:rsidRPr="0054775B" w:rsidRDefault="00816677" w:rsidP="006F63D3">
            <w:pPr>
              <w:pStyle w:val="2024TABLEHEADER"/>
            </w:pPr>
          </w:p>
        </w:tc>
        <w:tc>
          <w:tcPr>
            <w:tcW w:w="1229" w:type="dxa"/>
            <w:vMerge/>
            <w:tcBorders>
              <w:left w:val="nil"/>
              <w:bottom w:val="single" w:sz="4" w:space="0" w:color="auto"/>
              <w:right w:val="single" w:sz="4" w:space="0" w:color="auto"/>
            </w:tcBorders>
            <w:shd w:val="clear" w:color="auto" w:fill="D9D9D9" w:themeFill="background1" w:themeFillShade="D9"/>
            <w:vAlign w:val="center"/>
          </w:tcPr>
          <w:p w14:paraId="5146A761" w14:textId="77777777" w:rsidR="00816677" w:rsidRPr="0054775B" w:rsidRDefault="00816677" w:rsidP="006F63D3">
            <w:pPr>
              <w:pStyle w:val="2024TABLEHEADER"/>
            </w:pPr>
          </w:p>
        </w:tc>
        <w:tc>
          <w:tcPr>
            <w:tcW w:w="758" w:type="dxa"/>
            <w:tcBorders>
              <w:top w:val="nil"/>
              <w:left w:val="nil"/>
              <w:bottom w:val="single" w:sz="4" w:space="0" w:color="auto"/>
              <w:right w:val="single" w:sz="4" w:space="0" w:color="auto"/>
            </w:tcBorders>
            <w:shd w:val="clear" w:color="auto" w:fill="D9D9D9" w:themeFill="background1" w:themeFillShade="D9"/>
            <w:vAlign w:val="center"/>
          </w:tcPr>
          <w:p w14:paraId="1E901413" w14:textId="77777777" w:rsidR="00816677" w:rsidRPr="0054775B" w:rsidRDefault="00816677" w:rsidP="006F63D3">
            <w:pPr>
              <w:pStyle w:val="2024TABLEHEADER"/>
            </w:pPr>
            <w:r w:rsidRPr="0054775B">
              <w:t>NTWC Rating</w:t>
            </w:r>
          </w:p>
        </w:tc>
        <w:tc>
          <w:tcPr>
            <w:tcW w:w="5555" w:type="dxa"/>
            <w:tcBorders>
              <w:top w:val="nil"/>
              <w:left w:val="nil"/>
              <w:bottom w:val="single" w:sz="4" w:space="0" w:color="auto"/>
              <w:right w:val="single" w:sz="4" w:space="0" w:color="auto"/>
            </w:tcBorders>
            <w:shd w:val="clear" w:color="auto" w:fill="D9D9D9" w:themeFill="background1" w:themeFillShade="D9"/>
            <w:vAlign w:val="center"/>
          </w:tcPr>
          <w:p w14:paraId="185EDC98" w14:textId="7BC1B1EB" w:rsidR="00816677" w:rsidRPr="0054775B" w:rsidRDefault="00816677" w:rsidP="006F63D3">
            <w:pPr>
              <w:pStyle w:val="2024TABLEHEADER"/>
            </w:pPr>
            <w:r w:rsidRPr="0054775B">
              <w:t>Outcome</w:t>
            </w:r>
            <w:r w:rsidR="00B62EAB">
              <w:t xml:space="preserve"> domain</w:t>
            </w:r>
          </w:p>
        </w:tc>
      </w:tr>
    </w:tbl>
    <w:tbl>
      <w:tblPr>
        <w:tblW w:w="9209" w:type="dxa"/>
        <w:tblCellMar>
          <w:top w:w="28" w:type="dxa"/>
          <w:left w:w="57" w:type="dxa"/>
          <w:bottom w:w="28" w:type="dxa"/>
          <w:right w:w="28" w:type="dxa"/>
        </w:tblCellMar>
        <w:tblLook w:val="04A0" w:firstRow="1" w:lastRow="0" w:firstColumn="1" w:lastColumn="0" w:noHBand="0" w:noVBand="1"/>
      </w:tblPr>
      <w:tblGrid>
        <w:gridCol w:w="399"/>
        <w:gridCol w:w="1268"/>
        <w:gridCol w:w="1229"/>
        <w:gridCol w:w="758"/>
        <w:gridCol w:w="5555"/>
      </w:tblGrid>
      <w:tr w:rsidR="002B69D4" w:rsidRPr="0054775B" w14:paraId="0B01F48A" w14:textId="77777777" w:rsidTr="001428E8">
        <w:trPr>
          <w:trHeight w:val="95"/>
        </w:trPr>
        <w:tc>
          <w:tcPr>
            <w:tcW w:w="0" w:type="auto"/>
            <w:vMerge w:val="restart"/>
            <w:tcBorders>
              <w:top w:val="nil"/>
              <w:left w:val="single" w:sz="4" w:space="0" w:color="auto"/>
              <w:right w:val="single" w:sz="4" w:space="0" w:color="auto"/>
            </w:tcBorders>
            <w:shd w:val="clear" w:color="auto" w:fill="auto"/>
            <w:vAlign w:val="center"/>
          </w:tcPr>
          <w:p w14:paraId="485D268C" w14:textId="2B87D84C" w:rsidR="00816677" w:rsidRPr="0054775B" w:rsidRDefault="00816677" w:rsidP="00603677">
            <w:pPr>
              <w:pStyle w:val="2024TABLETEXT"/>
              <w:framePr w:wrap="around"/>
            </w:pPr>
            <w:r w:rsidRPr="0054775B">
              <w:t>13</w:t>
            </w:r>
          </w:p>
        </w:tc>
        <w:tc>
          <w:tcPr>
            <w:tcW w:w="1268" w:type="dxa"/>
            <w:vMerge w:val="restart"/>
            <w:tcBorders>
              <w:top w:val="nil"/>
              <w:left w:val="nil"/>
              <w:right w:val="single" w:sz="4" w:space="0" w:color="auto"/>
            </w:tcBorders>
            <w:shd w:val="clear" w:color="auto" w:fill="auto"/>
            <w:vAlign w:val="center"/>
          </w:tcPr>
          <w:p w14:paraId="389C9609" w14:textId="15819CF3" w:rsidR="00816677" w:rsidRPr="0054775B" w:rsidRDefault="00816677" w:rsidP="00603677">
            <w:pPr>
              <w:pStyle w:val="2024TABLETEXT"/>
              <w:framePr w:wrap="around"/>
            </w:pPr>
            <w:r w:rsidRPr="0054775B">
              <w:t>Fibromyalgia</w:t>
            </w:r>
          </w:p>
        </w:tc>
        <w:tc>
          <w:tcPr>
            <w:tcW w:w="1229" w:type="dxa"/>
            <w:vMerge w:val="restart"/>
            <w:tcBorders>
              <w:top w:val="nil"/>
              <w:left w:val="nil"/>
              <w:right w:val="single" w:sz="4" w:space="0" w:color="auto"/>
            </w:tcBorders>
            <w:shd w:val="clear" w:color="auto" w:fill="auto"/>
            <w:vAlign w:val="center"/>
          </w:tcPr>
          <w:p w14:paraId="6A34B48E" w14:textId="286ED8BE" w:rsidR="00816677" w:rsidRPr="0054775B" w:rsidRDefault="00816677" w:rsidP="00603677">
            <w:pPr>
              <w:pStyle w:val="2024TABLETEXT"/>
              <w:framePr w:wrap="around"/>
            </w:pPr>
            <w:r w:rsidRPr="0054775B">
              <w:t>Magnesium</w:t>
            </w:r>
          </w:p>
        </w:tc>
        <w:tc>
          <w:tcPr>
            <w:tcW w:w="758" w:type="dxa"/>
            <w:tcBorders>
              <w:top w:val="nil"/>
              <w:left w:val="nil"/>
              <w:bottom w:val="single" w:sz="4" w:space="0" w:color="auto"/>
              <w:right w:val="single" w:sz="4" w:space="0" w:color="auto"/>
            </w:tcBorders>
            <w:shd w:val="clear" w:color="auto" w:fill="auto"/>
            <w:vAlign w:val="center"/>
          </w:tcPr>
          <w:p w14:paraId="02FF8AE6" w14:textId="3F7DA8EC" w:rsidR="00816677" w:rsidRPr="0054775B" w:rsidRDefault="00816677" w:rsidP="00603677">
            <w:pPr>
              <w:pStyle w:val="2024TABLETEXT"/>
              <w:framePr w:wrap="around"/>
            </w:pPr>
            <w:r w:rsidRPr="0054775B">
              <w:t>9</w:t>
            </w:r>
          </w:p>
        </w:tc>
        <w:tc>
          <w:tcPr>
            <w:tcW w:w="5555" w:type="dxa"/>
            <w:tcBorders>
              <w:top w:val="nil"/>
              <w:left w:val="nil"/>
              <w:bottom w:val="single" w:sz="4" w:space="0" w:color="auto"/>
              <w:right w:val="single" w:sz="4" w:space="0" w:color="auto"/>
            </w:tcBorders>
            <w:shd w:val="clear" w:color="auto" w:fill="auto"/>
          </w:tcPr>
          <w:p w14:paraId="20804ED5" w14:textId="52C62C8A" w:rsidR="00816677" w:rsidRPr="0054775B" w:rsidRDefault="00816677" w:rsidP="00603677">
            <w:pPr>
              <w:pStyle w:val="2024TABLETEXT"/>
              <w:framePr w:wrap="around"/>
            </w:pPr>
            <w:r w:rsidRPr="0054775B">
              <w:t>Pain</w:t>
            </w:r>
          </w:p>
        </w:tc>
      </w:tr>
      <w:tr w:rsidR="002B69D4" w:rsidRPr="0054775B" w14:paraId="78431C41" w14:textId="77777777" w:rsidTr="001428E8">
        <w:trPr>
          <w:trHeight w:val="95"/>
        </w:trPr>
        <w:tc>
          <w:tcPr>
            <w:tcW w:w="0" w:type="auto"/>
            <w:vMerge/>
            <w:tcBorders>
              <w:left w:val="single" w:sz="4" w:space="0" w:color="auto"/>
              <w:right w:val="single" w:sz="4" w:space="0" w:color="auto"/>
            </w:tcBorders>
            <w:shd w:val="clear" w:color="auto" w:fill="auto"/>
            <w:vAlign w:val="center"/>
          </w:tcPr>
          <w:p w14:paraId="650EF9EB" w14:textId="77777777" w:rsidR="00816677" w:rsidRPr="0054775B" w:rsidRDefault="00816677" w:rsidP="00603677">
            <w:pPr>
              <w:pStyle w:val="2024TABLETEXT"/>
              <w:framePr w:wrap="around"/>
            </w:pPr>
          </w:p>
        </w:tc>
        <w:tc>
          <w:tcPr>
            <w:tcW w:w="1268" w:type="dxa"/>
            <w:vMerge/>
            <w:tcBorders>
              <w:left w:val="nil"/>
              <w:right w:val="single" w:sz="4" w:space="0" w:color="auto"/>
            </w:tcBorders>
            <w:shd w:val="clear" w:color="auto" w:fill="auto"/>
            <w:vAlign w:val="center"/>
          </w:tcPr>
          <w:p w14:paraId="0A969786" w14:textId="77777777" w:rsidR="00816677" w:rsidRPr="0054775B" w:rsidRDefault="00816677" w:rsidP="00603677">
            <w:pPr>
              <w:pStyle w:val="2024TABLETEXT"/>
              <w:framePr w:wrap="around"/>
            </w:pPr>
          </w:p>
        </w:tc>
        <w:tc>
          <w:tcPr>
            <w:tcW w:w="1229" w:type="dxa"/>
            <w:vMerge/>
            <w:tcBorders>
              <w:left w:val="nil"/>
              <w:right w:val="single" w:sz="4" w:space="0" w:color="auto"/>
            </w:tcBorders>
            <w:shd w:val="clear" w:color="auto" w:fill="auto"/>
            <w:vAlign w:val="center"/>
          </w:tcPr>
          <w:p w14:paraId="4E3F996A" w14:textId="77777777" w:rsidR="00816677" w:rsidRPr="0054775B" w:rsidRDefault="00816677" w:rsidP="00603677">
            <w:pPr>
              <w:pStyle w:val="2024TABLETEXT"/>
              <w:framePr w:wrap="around"/>
            </w:pPr>
          </w:p>
        </w:tc>
        <w:tc>
          <w:tcPr>
            <w:tcW w:w="758" w:type="dxa"/>
            <w:tcBorders>
              <w:top w:val="nil"/>
              <w:left w:val="nil"/>
              <w:bottom w:val="single" w:sz="4" w:space="0" w:color="auto"/>
              <w:right w:val="single" w:sz="4" w:space="0" w:color="auto"/>
            </w:tcBorders>
            <w:shd w:val="clear" w:color="auto" w:fill="auto"/>
            <w:vAlign w:val="center"/>
          </w:tcPr>
          <w:p w14:paraId="78ED5803" w14:textId="17A79CED" w:rsidR="00816677" w:rsidRPr="0054775B" w:rsidRDefault="00816677" w:rsidP="00603677">
            <w:pPr>
              <w:pStyle w:val="2024TABLETEXT"/>
              <w:framePr w:wrap="around"/>
            </w:pPr>
            <w:r w:rsidRPr="0054775B">
              <w:t>9</w:t>
            </w:r>
          </w:p>
        </w:tc>
        <w:tc>
          <w:tcPr>
            <w:tcW w:w="5555" w:type="dxa"/>
            <w:tcBorders>
              <w:top w:val="nil"/>
              <w:left w:val="nil"/>
              <w:bottom w:val="single" w:sz="4" w:space="0" w:color="auto"/>
              <w:right w:val="single" w:sz="4" w:space="0" w:color="auto"/>
            </w:tcBorders>
            <w:shd w:val="clear" w:color="auto" w:fill="auto"/>
          </w:tcPr>
          <w:p w14:paraId="4456697E" w14:textId="143BEE11" w:rsidR="00816677" w:rsidRPr="0054775B" w:rsidRDefault="00816677" w:rsidP="00603677">
            <w:pPr>
              <w:pStyle w:val="2024TABLETEXT"/>
              <w:framePr w:wrap="around"/>
            </w:pPr>
            <w:r w:rsidRPr="0054775B">
              <w:t>Function/Disability</w:t>
            </w:r>
          </w:p>
        </w:tc>
      </w:tr>
      <w:tr w:rsidR="002B69D4" w:rsidRPr="0054775B" w14:paraId="27A63D98" w14:textId="77777777" w:rsidTr="001428E8">
        <w:trPr>
          <w:trHeight w:val="95"/>
        </w:trPr>
        <w:tc>
          <w:tcPr>
            <w:tcW w:w="0" w:type="auto"/>
            <w:vMerge/>
            <w:tcBorders>
              <w:left w:val="single" w:sz="4" w:space="0" w:color="auto"/>
              <w:right w:val="single" w:sz="4" w:space="0" w:color="auto"/>
            </w:tcBorders>
            <w:shd w:val="clear" w:color="auto" w:fill="auto"/>
            <w:vAlign w:val="center"/>
          </w:tcPr>
          <w:p w14:paraId="419FD117" w14:textId="77777777" w:rsidR="00816677" w:rsidRPr="0054775B" w:rsidRDefault="00816677" w:rsidP="00603677">
            <w:pPr>
              <w:pStyle w:val="2024TABLETEXT"/>
              <w:framePr w:wrap="around"/>
            </w:pPr>
          </w:p>
        </w:tc>
        <w:tc>
          <w:tcPr>
            <w:tcW w:w="1268" w:type="dxa"/>
            <w:vMerge/>
            <w:tcBorders>
              <w:left w:val="nil"/>
              <w:right w:val="single" w:sz="4" w:space="0" w:color="auto"/>
            </w:tcBorders>
            <w:shd w:val="clear" w:color="auto" w:fill="auto"/>
            <w:vAlign w:val="center"/>
          </w:tcPr>
          <w:p w14:paraId="2B25335A" w14:textId="77777777" w:rsidR="00816677" w:rsidRPr="0054775B" w:rsidRDefault="00816677" w:rsidP="00603677">
            <w:pPr>
              <w:pStyle w:val="2024TABLETEXT"/>
              <w:framePr w:wrap="around"/>
            </w:pPr>
          </w:p>
        </w:tc>
        <w:tc>
          <w:tcPr>
            <w:tcW w:w="1229" w:type="dxa"/>
            <w:vMerge/>
            <w:tcBorders>
              <w:left w:val="nil"/>
              <w:right w:val="single" w:sz="4" w:space="0" w:color="auto"/>
            </w:tcBorders>
            <w:shd w:val="clear" w:color="auto" w:fill="auto"/>
            <w:vAlign w:val="center"/>
          </w:tcPr>
          <w:p w14:paraId="4D2FCEEC" w14:textId="77777777" w:rsidR="00816677" w:rsidRPr="0054775B" w:rsidRDefault="00816677" w:rsidP="00603677">
            <w:pPr>
              <w:pStyle w:val="2024TABLETEXT"/>
              <w:framePr w:wrap="around"/>
            </w:pPr>
          </w:p>
        </w:tc>
        <w:tc>
          <w:tcPr>
            <w:tcW w:w="758" w:type="dxa"/>
            <w:tcBorders>
              <w:top w:val="nil"/>
              <w:left w:val="nil"/>
              <w:bottom w:val="single" w:sz="4" w:space="0" w:color="auto"/>
              <w:right w:val="single" w:sz="4" w:space="0" w:color="auto"/>
            </w:tcBorders>
            <w:shd w:val="clear" w:color="auto" w:fill="auto"/>
            <w:vAlign w:val="center"/>
          </w:tcPr>
          <w:p w14:paraId="3E221BA9" w14:textId="5A28BDF8" w:rsidR="00816677" w:rsidRPr="0054775B" w:rsidRDefault="00816677" w:rsidP="00603677">
            <w:pPr>
              <w:pStyle w:val="2024TABLETEXT"/>
              <w:framePr w:wrap="around"/>
            </w:pPr>
            <w:r w:rsidRPr="0054775B">
              <w:t>9</w:t>
            </w:r>
          </w:p>
        </w:tc>
        <w:tc>
          <w:tcPr>
            <w:tcW w:w="5555" w:type="dxa"/>
            <w:tcBorders>
              <w:top w:val="nil"/>
              <w:left w:val="nil"/>
              <w:bottom w:val="single" w:sz="4" w:space="0" w:color="auto"/>
              <w:right w:val="single" w:sz="4" w:space="0" w:color="auto"/>
            </w:tcBorders>
            <w:shd w:val="clear" w:color="auto" w:fill="auto"/>
          </w:tcPr>
          <w:p w14:paraId="3D8BF9C3" w14:textId="680CAAFC" w:rsidR="00816677" w:rsidRPr="0054775B" w:rsidRDefault="00816677" w:rsidP="00603677">
            <w:pPr>
              <w:pStyle w:val="2024TABLETEXT"/>
              <w:framePr w:wrap="around"/>
            </w:pPr>
            <w:r w:rsidRPr="0054775B">
              <w:t>Global assessment of condition</w:t>
            </w:r>
          </w:p>
        </w:tc>
      </w:tr>
      <w:tr w:rsidR="002B69D4" w:rsidRPr="0054775B" w14:paraId="197AC249" w14:textId="77777777" w:rsidTr="001428E8">
        <w:trPr>
          <w:trHeight w:val="95"/>
        </w:trPr>
        <w:tc>
          <w:tcPr>
            <w:tcW w:w="0" w:type="auto"/>
            <w:vMerge/>
            <w:tcBorders>
              <w:left w:val="single" w:sz="4" w:space="0" w:color="auto"/>
              <w:right w:val="single" w:sz="4" w:space="0" w:color="auto"/>
            </w:tcBorders>
            <w:shd w:val="clear" w:color="auto" w:fill="auto"/>
            <w:vAlign w:val="center"/>
          </w:tcPr>
          <w:p w14:paraId="2F95B215" w14:textId="77777777" w:rsidR="00816677" w:rsidRPr="0054775B" w:rsidRDefault="00816677" w:rsidP="00603677">
            <w:pPr>
              <w:pStyle w:val="2024TABLETEXT"/>
              <w:framePr w:wrap="around"/>
            </w:pPr>
          </w:p>
        </w:tc>
        <w:tc>
          <w:tcPr>
            <w:tcW w:w="1268" w:type="dxa"/>
            <w:vMerge/>
            <w:tcBorders>
              <w:left w:val="nil"/>
              <w:right w:val="single" w:sz="4" w:space="0" w:color="auto"/>
            </w:tcBorders>
            <w:shd w:val="clear" w:color="auto" w:fill="auto"/>
            <w:vAlign w:val="center"/>
          </w:tcPr>
          <w:p w14:paraId="1CDD9C82" w14:textId="77777777" w:rsidR="00816677" w:rsidRPr="0054775B" w:rsidRDefault="00816677" w:rsidP="00603677">
            <w:pPr>
              <w:pStyle w:val="2024TABLETEXT"/>
              <w:framePr w:wrap="around"/>
            </w:pPr>
          </w:p>
        </w:tc>
        <w:tc>
          <w:tcPr>
            <w:tcW w:w="1229" w:type="dxa"/>
            <w:vMerge/>
            <w:tcBorders>
              <w:left w:val="nil"/>
              <w:right w:val="single" w:sz="4" w:space="0" w:color="auto"/>
            </w:tcBorders>
            <w:shd w:val="clear" w:color="auto" w:fill="auto"/>
            <w:vAlign w:val="center"/>
          </w:tcPr>
          <w:p w14:paraId="7CC9E8A3" w14:textId="77777777" w:rsidR="00816677" w:rsidRPr="0054775B" w:rsidRDefault="00816677" w:rsidP="00603677">
            <w:pPr>
              <w:pStyle w:val="2024TABLETEXT"/>
              <w:framePr w:wrap="around"/>
            </w:pPr>
          </w:p>
        </w:tc>
        <w:tc>
          <w:tcPr>
            <w:tcW w:w="758" w:type="dxa"/>
            <w:tcBorders>
              <w:top w:val="nil"/>
              <w:left w:val="nil"/>
              <w:bottom w:val="single" w:sz="4" w:space="0" w:color="auto"/>
              <w:right w:val="single" w:sz="4" w:space="0" w:color="auto"/>
            </w:tcBorders>
            <w:shd w:val="clear" w:color="auto" w:fill="auto"/>
            <w:vAlign w:val="center"/>
          </w:tcPr>
          <w:p w14:paraId="68EEA501" w14:textId="490861DC" w:rsidR="00816677" w:rsidRPr="0054775B" w:rsidRDefault="00816677" w:rsidP="00603677">
            <w:pPr>
              <w:pStyle w:val="2024TABLETEXT"/>
              <w:framePr w:wrap="around"/>
            </w:pPr>
            <w:r w:rsidRPr="0054775B">
              <w:t>8</w:t>
            </w:r>
          </w:p>
        </w:tc>
        <w:tc>
          <w:tcPr>
            <w:tcW w:w="5555" w:type="dxa"/>
            <w:tcBorders>
              <w:top w:val="nil"/>
              <w:left w:val="nil"/>
              <w:bottom w:val="single" w:sz="4" w:space="0" w:color="auto"/>
              <w:right w:val="single" w:sz="4" w:space="0" w:color="auto"/>
            </w:tcBorders>
            <w:shd w:val="clear" w:color="auto" w:fill="auto"/>
          </w:tcPr>
          <w:p w14:paraId="263D17DE" w14:textId="619F065E" w:rsidR="00816677" w:rsidRPr="0054775B" w:rsidRDefault="00816677" w:rsidP="00603677">
            <w:pPr>
              <w:pStyle w:val="2024TABLETEXT"/>
              <w:framePr w:wrap="around"/>
            </w:pPr>
            <w:r w:rsidRPr="0054775B">
              <w:t>HRQoL</w:t>
            </w:r>
          </w:p>
        </w:tc>
      </w:tr>
      <w:tr w:rsidR="002B69D4" w:rsidRPr="0054775B" w14:paraId="285B2061" w14:textId="77777777" w:rsidTr="001428E8">
        <w:trPr>
          <w:trHeight w:val="95"/>
        </w:trPr>
        <w:tc>
          <w:tcPr>
            <w:tcW w:w="0" w:type="auto"/>
            <w:vMerge/>
            <w:tcBorders>
              <w:left w:val="single" w:sz="4" w:space="0" w:color="auto"/>
              <w:right w:val="single" w:sz="4" w:space="0" w:color="auto"/>
            </w:tcBorders>
            <w:shd w:val="clear" w:color="auto" w:fill="auto"/>
            <w:vAlign w:val="center"/>
          </w:tcPr>
          <w:p w14:paraId="157C3A3F" w14:textId="77777777" w:rsidR="00816677" w:rsidRPr="0054775B" w:rsidRDefault="00816677" w:rsidP="00603677">
            <w:pPr>
              <w:pStyle w:val="2024TABLETEXT"/>
              <w:framePr w:wrap="around"/>
            </w:pPr>
          </w:p>
        </w:tc>
        <w:tc>
          <w:tcPr>
            <w:tcW w:w="1268" w:type="dxa"/>
            <w:vMerge/>
            <w:tcBorders>
              <w:left w:val="nil"/>
              <w:right w:val="single" w:sz="4" w:space="0" w:color="auto"/>
            </w:tcBorders>
            <w:shd w:val="clear" w:color="auto" w:fill="auto"/>
            <w:vAlign w:val="center"/>
          </w:tcPr>
          <w:p w14:paraId="59D3408D" w14:textId="77777777" w:rsidR="00816677" w:rsidRPr="0054775B" w:rsidRDefault="00816677" w:rsidP="00603677">
            <w:pPr>
              <w:pStyle w:val="2024TABLETEXT"/>
              <w:framePr w:wrap="around"/>
            </w:pPr>
          </w:p>
        </w:tc>
        <w:tc>
          <w:tcPr>
            <w:tcW w:w="1229" w:type="dxa"/>
            <w:vMerge/>
            <w:tcBorders>
              <w:left w:val="nil"/>
              <w:right w:val="single" w:sz="4" w:space="0" w:color="auto"/>
            </w:tcBorders>
            <w:shd w:val="clear" w:color="auto" w:fill="auto"/>
            <w:vAlign w:val="center"/>
          </w:tcPr>
          <w:p w14:paraId="18604DDF" w14:textId="77777777" w:rsidR="00816677" w:rsidRPr="0054775B" w:rsidRDefault="00816677" w:rsidP="00603677">
            <w:pPr>
              <w:pStyle w:val="2024TABLETEXT"/>
              <w:framePr w:wrap="around"/>
            </w:pPr>
          </w:p>
        </w:tc>
        <w:tc>
          <w:tcPr>
            <w:tcW w:w="758" w:type="dxa"/>
            <w:tcBorders>
              <w:top w:val="nil"/>
              <w:left w:val="nil"/>
              <w:bottom w:val="single" w:sz="4" w:space="0" w:color="auto"/>
              <w:right w:val="single" w:sz="4" w:space="0" w:color="auto"/>
            </w:tcBorders>
            <w:shd w:val="clear" w:color="auto" w:fill="auto"/>
            <w:vAlign w:val="center"/>
          </w:tcPr>
          <w:p w14:paraId="41982606" w14:textId="2CC42EFF" w:rsidR="00816677" w:rsidRPr="0054775B" w:rsidRDefault="00816677" w:rsidP="00603677">
            <w:pPr>
              <w:pStyle w:val="2024TABLETEXT"/>
              <w:framePr w:wrap="around"/>
            </w:pPr>
            <w:r w:rsidRPr="0054775B">
              <w:t>7</w:t>
            </w:r>
          </w:p>
        </w:tc>
        <w:tc>
          <w:tcPr>
            <w:tcW w:w="5555" w:type="dxa"/>
            <w:tcBorders>
              <w:top w:val="nil"/>
              <w:left w:val="nil"/>
              <w:bottom w:val="single" w:sz="4" w:space="0" w:color="auto"/>
              <w:right w:val="single" w:sz="4" w:space="0" w:color="auto"/>
            </w:tcBorders>
            <w:shd w:val="clear" w:color="auto" w:fill="auto"/>
          </w:tcPr>
          <w:p w14:paraId="04F78EFF" w14:textId="7D4BC739" w:rsidR="00816677" w:rsidRPr="0054775B" w:rsidRDefault="00816677" w:rsidP="00603677">
            <w:pPr>
              <w:pStyle w:val="2024TABLETEXT"/>
              <w:framePr w:wrap="around"/>
            </w:pPr>
            <w:r w:rsidRPr="0054775B">
              <w:t>Tenderness</w:t>
            </w:r>
          </w:p>
        </w:tc>
      </w:tr>
      <w:tr w:rsidR="002B69D4" w:rsidRPr="0054775B" w14:paraId="2472074D" w14:textId="77777777" w:rsidTr="001428E8">
        <w:trPr>
          <w:trHeight w:val="95"/>
        </w:trPr>
        <w:tc>
          <w:tcPr>
            <w:tcW w:w="0" w:type="auto"/>
            <w:vMerge/>
            <w:tcBorders>
              <w:left w:val="single" w:sz="4" w:space="0" w:color="auto"/>
              <w:right w:val="single" w:sz="4" w:space="0" w:color="auto"/>
            </w:tcBorders>
            <w:shd w:val="clear" w:color="auto" w:fill="auto"/>
            <w:vAlign w:val="center"/>
          </w:tcPr>
          <w:p w14:paraId="4AF5FC55" w14:textId="77777777" w:rsidR="00816677" w:rsidRPr="0054775B" w:rsidRDefault="00816677" w:rsidP="00603677">
            <w:pPr>
              <w:pStyle w:val="2024TABLETEXT"/>
              <w:framePr w:wrap="around"/>
            </w:pPr>
          </w:p>
        </w:tc>
        <w:tc>
          <w:tcPr>
            <w:tcW w:w="1268" w:type="dxa"/>
            <w:vMerge/>
            <w:tcBorders>
              <w:left w:val="nil"/>
              <w:right w:val="single" w:sz="4" w:space="0" w:color="auto"/>
            </w:tcBorders>
            <w:shd w:val="clear" w:color="auto" w:fill="auto"/>
            <w:vAlign w:val="center"/>
          </w:tcPr>
          <w:p w14:paraId="59DE3393" w14:textId="77777777" w:rsidR="00816677" w:rsidRPr="0054775B" w:rsidRDefault="00816677" w:rsidP="00603677">
            <w:pPr>
              <w:pStyle w:val="2024TABLETEXT"/>
              <w:framePr w:wrap="around"/>
            </w:pPr>
          </w:p>
        </w:tc>
        <w:tc>
          <w:tcPr>
            <w:tcW w:w="1229" w:type="dxa"/>
            <w:vMerge/>
            <w:tcBorders>
              <w:left w:val="nil"/>
              <w:right w:val="single" w:sz="4" w:space="0" w:color="auto"/>
            </w:tcBorders>
            <w:shd w:val="clear" w:color="auto" w:fill="auto"/>
            <w:vAlign w:val="center"/>
          </w:tcPr>
          <w:p w14:paraId="3C6D816B" w14:textId="77777777" w:rsidR="00816677" w:rsidRPr="0054775B" w:rsidRDefault="00816677" w:rsidP="00603677">
            <w:pPr>
              <w:pStyle w:val="2024TABLETEXT"/>
              <w:framePr w:wrap="around"/>
            </w:pPr>
          </w:p>
        </w:tc>
        <w:tc>
          <w:tcPr>
            <w:tcW w:w="758" w:type="dxa"/>
            <w:tcBorders>
              <w:top w:val="nil"/>
              <w:left w:val="nil"/>
              <w:bottom w:val="single" w:sz="4" w:space="0" w:color="auto"/>
              <w:right w:val="single" w:sz="4" w:space="0" w:color="auto"/>
            </w:tcBorders>
            <w:shd w:val="clear" w:color="auto" w:fill="auto"/>
            <w:vAlign w:val="center"/>
          </w:tcPr>
          <w:p w14:paraId="500AB8BE" w14:textId="5F26C6B3" w:rsidR="00816677" w:rsidRPr="0054775B" w:rsidRDefault="00816677" w:rsidP="00603677">
            <w:pPr>
              <w:pStyle w:val="2024TABLETEXT"/>
              <w:framePr w:wrap="around"/>
            </w:pPr>
            <w:r w:rsidRPr="0054775B">
              <w:t>7</w:t>
            </w:r>
          </w:p>
        </w:tc>
        <w:tc>
          <w:tcPr>
            <w:tcW w:w="5555" w:type="dxa"/>
            <w:tcBorders>
              <w:top w:val="nil"/>
              <w:left w:val="nil"/>
              <w:bottom w:val="single" w:sz="4" w:space="0" w:color="auto"/>
              <w:right w:val="single" w:sz="4" w:space="0" w:color="auto"/>
            </w:tcBorders>
            <w:shd w:val="clear" w:color="auto" w:fill="auto"/>
          </w:tcPr>
          <w:p w14:paraId="465E26D1" w14:textId="6DA19791" w:rsidR="00816677" w:rsidRPr="0054775B" w:rsidRDefault="00816677" w:rsidP="00603677">
            <w:pPr>
              <w:pStyle w:val="2024TABLETEXT"/>
              <w:framePr w:wrap="around"/>
            </w:pPr>
            <w:r w:rsidRPr="0054775B">
              <w:t>Cognitive function burden from fibromyalgia</w:t>
            </w:r>
          </w:p>
        </w:tc>
      </w:tr>
      <w:tr w:rsidR="00CA696B" w:rsidRPr="0054775B" w14:paraId="156E58EB" w14:textId="77777777" w:rsidTr="001428E8">
        <w:trPr>
          <w:trHeight w:val="95"/>
        </w:trPr>
        <w:tc>
          <w:tcPr>
            <w:tcW w:w="0" w:type="auto"/>
            <w:vMerge/>
            <w:tcBorders>
              <w:left w:val="single" w:sz="4" w:space="0" w:color="auto"/>
              <w:bottom w:val="single" w:sz="4" w:space="0" w:color="auto"/>
              <w:right w:val="single" w:sz="4" w:space="0" w:color="auto"/>
            </w:tcBorders>
            <w:shd w:val="clear" w:color="auto" w:fill="auto"/>
            <w:vAlign w:val="center"/>
          </w:tcPr>
          <w:p w14:paraId="458ECEF8" w14:textId="77777777" w:rsidR="00816677" w:rsidRPr="0054775B" w:rsidRDefault="00816677" w:rsidP="00603677">
            <w:pPr>
              <w:pStyle w:val="2024TABLETEXT"/>
              <w:framePr w:wrap="around"/>
            </w:pPr>
          </w:p>
        </w:tc>
        <w:tc>
          <w:tcPr>
            <w:tcW w:w="1268" w:type="dxa"/>
            <w:vMerge/>
            <w:tcBorders>
              <w:left w:val="nil"/>
              <w:bottom w:val="single" w:sz="4" w:space="0" w:color="auto"/>
              <w:right w:val="single" w:sz="4" w:space="0" w:color="auto"/>
            </w:tcBorders>
            <w:shd w:val="clear" w:color="auto" w:fill="auto"/>
            <w:vAlign w:val="center"/>
          </w:tcPr>
          <w:p w14:paraId="12A6CA33" w14:textId="77777777" w:rsidR="00816677" w:rsidRPr="0054775B" w:rsidRDefault="00816677" w:rsidP="00603677">
            <w:pPr>
              <w:pStyle w:val="2024TABLETEXT"/>
              <w:framePr w:wrap="around"/>
            </w:pPr>
          </w:p>
        </w:tc>
        <w:tc>
          <w:tcPr>
            <w:tcW w:w="1229" w:type="dxa"/>
            <w:vMerge/>
            <w:tcBorders>
              <w:left w:val="nil"/>
              <w:bottom w:val="single" w:sz="4" w:space="0" w:color="auto"/>
              <w:right w:val="single" w:sz="4" w:space="0" w:color="auto"/>
            </w:tcBorders>
            <w:shd w:val="clear" w:color="auto" w:fill="auto"/>
            <w:vAlign w:val="center"/>
          </w:tcPr>
          <w:p w14:paraId="23A7D2A8" w14:textId="77777777" w:rsidR="00816677" w:rsidRPr="0054775B" w:rsidRDefault="00816677" w:rsidP="00603677">
            <w:pPr>
              <w:pStyle w:val="2024TABLETEXT"/>
              <w:framePr w:wrap="around"/>
            </w:pPr>
          </w:p>
        </w:tc>
        <w:tc>
          <w:tcPr>
            <w:tcW w:w="758" w:type="dxa"/>
            <w:tcBorders>
              <w:top w:val="nil"/>
              <w:left w:val="nil"/>
              <w:bottom w:val="single" w:sz="4" w:space="0" w:color="auto"/>
              <w:right w:val="single" w:sz="4" w:space="0" w:color="auto"/>
            </w:tcBorders>
            <w:shd w:val="clear" w:color="auto" w:fill="auto"/>
            <w:vAlign w:val="center"/>
          </w:tcPr>
          <w:p w14:paraId="78493F7C" w14:textId="6B408E02" w:rsidR="00816677" w:rsidRPr="0054775B" w:rsidRDefault="00816677" w:rsidP="00603677">
            <w:pPr>
              <w:pStyle w:val="2024TABLETEXT"/>
              <w:framePr w:wrap="around"/>
            </w:pPr>
            <w:r w:rsidRPr="0054775B">
              <w:t>7</w:t>
            </w:r>
          </w:p>
        </w:tc>
        <w:tc>
          <w:tcPr>
            <w:tcW w:w="5555" w:type="dxa"/>
            <w:tcBorders>
              <w:top w:val="nil"/>
              <w:left w:val="nil"/>
              <w:bottom w:val="single" w:sz="4" w:space="0" w:color="auto"/>
              <w:right w:val="single" w:sz="4" w:space="0" w:color="auto"/>
            </w:tcBorders>
            <w:shd w:val="clear" w:color="auto" w:fill="auto"/>
          </w:tcPr>
          <w:p w14:paraId="2D156AB0" w14:textId="2694D7FE" w:rsidR="00816677" w:rsidRPr="0054775B" w:rsidRDefault="00816677" w:rsidP="00603677">
            <w:pPr>
              <w:pStyle w:val="2024TABLETEXT"/>
              <w:framePr w:wrap="around"/>
            </w:pPr>
            <w:r w:rsidRPr="0054775B">
              <w:t>Stiffness</w:t>
            </w:r>
          </w:p>
        </w:tc>
      </w:tr>
    </w:tbl>
    <w:p w14:paraId="3E9F9E34" w14:textId="77777777" w:rsidR="00473756" w:rsidRPr="0054775B" w:rsidRDefault="00473756" w:rsidP="006F63D3">
      <w:pPr>
        <w:pStyle w:val="2024TABLEFOOTER"/>
      </w:pPr>
      <w:r w:rsidRPr="0054775B">
        <w:t>Abbreviations: BP=blood pressure; HRQoL=health-related quality of life; NTWC=Natural Therapies Working Group</w:t>
      </w:r>
    </w:p>
    <w:p w14:paraId="0C851752" w14:textId="4441F251" w:rsidR="00473756" w:rsidRPr="0054775B" w:rsidRDefault="00473756" w:rsidP="006F63D3">
      <w:pPr>
        <w:pStyle w:val="2024TABLEFOOTER"/>
      </w:pPr>
      <w:r w:rsidRPr="0054775B">
        <w:t>*1-3 = of limited importance to decision making; 4-6 = important, but not critical, to decision making; 7-9 = critical for decision-making</w:t>
      </w:r>
    </w:p>
    <w:p w14:paraId="43202DBF" w14:textId="77777777" w:rsidR="00184383" w:rsidRPr="0054775B" w:rsidRDefault="00184383" w:rsidP="006870D8">
      <w:pPr>
        <w:pStyle w:val="2024HEADER3"/>
        <w:rPr>
          <w:rFonts w:ascii="Aptos" w:hAnsi="Aptos"/>
        </w:rPr>
      </w:pPr>
      <w:r w:rsidRPr="0054775B">
        <w:rPr>
          <w:rFonts w:ascii="Aptos" w:hAnsi="Aptos"/>
        </w:rPr>
        <w:t>Search findings</w:t>
      </w:r>
    </w:p>
    <w:p w14:paraId="4487BEAB" w14:textId="02DF4029" w:rsidR="00184383" w:rsidRPr="0054775B" w:rsidRDefault="00184383" w:rsidP="009E6F7F">
      <w:r w:rsidRPr="0054775B">
        <w:t xml:space="preserve">In total, </w:t>
      </w:r>
      <w:r w:rsidR="00841D63" w:rsidRPr="0054775B">
        <w:t>246</w:t>
      </w:r>
      <w:r w:rsidRPr="0054775B">
        <w:t xml:space="preserve"> </w:t>
      </w:r>
      <w:r w:rsidR="008E7717">
        <w:t>reviews</w:t>
      </w:r>
      <w:r w:rsidR="008E7717" w:rsidRPr="0054775B">
        <w:t xml:space="preserve"> </w:t>
      </w:r>
      <w:r w:rsidR="006D190F" w:rsidRPr="0054775B">
        <w:t xml:space="preserve">were screened following de-duplication. </w:t>
      </w:r>
      <w:r w:rsidRPr="0054775B">
        <w:t>No</w:t>
      </w:r>
      <w:r w:rsidR="00CC1184" w:rsidRPr="0054775B">
        <w:t>ne of the</w:t>
      </w:r>
      <w:r w:rsidRPr="0054775B">
        <w:t xml:space="preserve"> </w:t>
      </w:r>
      <w:r w:rsidR="008E7717">
        <w:t>reviews</w:t>
      </w:r>
      <w:r w:rsidR="008E7717" w:rsidRPr="0054775B">
        <w:t xml:space="preserve"> </w:t>
      </w:r>
      <w:r w:rsidRPr="0054775B">
        <w:t>provided by the Department’s call for evidence</w:t>
      </w:r>
      <w:r w:rsidR="00CC1184" w:rsidRPr="0054775B">
        <w:t xml:space="preserve"> were relevant for this population-</w:t>
      </w:r>
      <w:r w:rsidR="0032560B">
        <w:t>supplement pair</w:t>
      </w:r>
      <w:r w:rsidRPr="0054775B">
        <w:t xml:space="preserve">. After title and abstract screening, </w:t>
      </w:r>
      <w:r w:rsidR="00841D63" w:rsidRPr="0054775B">
        <w:t>11</w:t>
      </w:r>
      <w:r w:rsidRPr="0054775B">
        <w:t xml:space="preserve"> </w:t>
      </w:r>
      <w:r w:rsidR="008E7717">
        <w:t>reviews</w:t>
      </w:r>
      <w:r w:rsidR="008E7717" w:rsidRPr="0054775B">
        <w:t xml:space="preserve"> </w:t>
      </w:r>
      <w:r w:rsidRPr="0054775B">
        <w:t xml:space="preserve">were </w:t>
      </w:r>
      <w:r w:rsidR="00F21095" w:rsidRPr="0054775B">
        <w:t>sought for retrieval for</w:t>
      </w:r>
      <w:r w:rsidRPr="0054775B">
        <w:t xml:space="preserve"> full-text screening: </w:t>
      </w:r>
    </w:p>
    <w:p w14:paraId="220FC36E" w14:textId="45693FBC" w:rsidR="00F21095" w:rsidRPr="0054775B" w:rsidRDefault="00F21095" w:rsidP="00107BEE">
      <w:pPr>
        <w:pStyle w:val="ListParagraph"/>
        <w:numPr>
          <w:ilvl w:val="0"/>
          <w:numId w:val="6"/>
        </w:numPr>
      </w:pPr>
      <w:r w:rsidRPr="0054775B">
        <w:t xml:space="preserve">3 </w:t>
      </w:r>
      <w:r w:rsidR="008E7717">
        <w:t>reviews</w:t>
      </w:r>
      <w:r w:rsidR="008E7717" w:rsidRPr="0054775B">
        <w:t xml:space="preserve"> </w:t>
      </w:r>
      <w:r w:rsidRPr="0054775B">
        <w:t>were ongoing (</w:t>
      </w:r>
      <w:r w:rsidR="007D2E60" w:rsidRPr="0054775B">
        <w:t xml:space="preserve">citation details recorded in Appendix </w:t>
      </w:r>
      <w:r w:rsidR="00BC6C8E">
        <w:t>C4</w:t>
      </w:r>
      <w:r w:rsidRPr="0054775B">
        <w:t>)</w:t>
      </w:r>
    </w:p>
    <w:p w14:paraId="26AA8E80" w14:textId="2786D9B5" w:rsidR="00184383" w:rsidRPr="0054775B" w:rsidRDefault="00841D63" w:rsidP="00107BEE">
      <w:pPr>
        <w:pStyle w:val="ListParagraph"/>
        <w:numPr>
          <w:ilvl w:val="0"/>
          <w:numId w:val="6"/>
        </w:numPr>
      </w:pPr>
      <w:r w:rsidRPr="0054775B">
        <w:t>5</w:t>
      </w:r>
      <w:r w:rsidR="00184383" w:rsidRPr="0054775B">
        <w:t xml:space="preserve"> </w:t>
      </w:r>
      <w:r w:rsidR="008E7717">
        <w:t>reviews</w:t>
      </w:r>
      <w:r w:rsidR="008E7717" w:rsidRPr="0054775B">
        <w:t xml:space="preserve"> </w:t>
      </w:r>
      <w:r w:rsidR="00184383" w:rsidRPr="0054775B">
        <w:t xml:space="preserve">did not meet inclusion criteria (citation details and </w:t>
      </w:r>
      <w:r w:rsidR="001332AF" w:rsidRPr="0054775B">
        <w:t xml:space="preserve">reasons for exclusion recorded in Appendix </w:t>
      </w:r>
      <w:r w:rsidR="00BC6C8E">
        <w:t>C1</w:t>
      </w:r>
      <w:r w:rsidR="00184383" w:rsidRPr="0054775B">
        <w:t xml:space="preserve">) </w:t>
      </w:r>
    </w:p>
    <w:p w14:paraId="6A11E1CF" w14:textId="7CBFC08C" w:rsidR="00184383" w:rsidRPr="0054775B" w:rsidRDefault="00184383" w:rsidP="009E6F7F">
      <w:r w:rsidRPr="0054775B">
        <w:t xml:space="preserve">A final </w:t>
      </w:r>
      <w:r w:rsidR="00841D63" w:rsidRPr="0054775B">
        <w:t>3</w:t>
      </w:r>
      <w:r w:rsidRPr="0054775B">
        <w:t xml:space="preserve"> </w:t>
      </w:r>
      <w:r w:rsidR="00104480" w:rsidRPr="0054775B">
        <w:t xml:space="preserve">reviews </w:t>
      </w:r>
      <w:r w:rsidRPr="0054775B">
        <w:t xml:space="preserve">met the inclusion criteria. Characteristics of included reviews are presented in </w:t>
      </w:r>
      <w:r w:rsidR="00FB0A70" w:rsidRPr="0054775B">
        <w:t xml:space="preserve">Appendix </w:t>
      </w:r>
      <w:r w:rsidR="00BC6C8E">
        <w:t>D</w:t>
      </w:r>
      <w:r w:rsidRPr="0054775B">
        <w:t>. A full PRISMA flowchart is presented below.</w:t>
      </w:r>
      <w:r w:rsidRPr="0054775B">
        <w:rPr>
          <w:highlight w:val="yellow"/>
        </w:rPr>
        <w:t xml:space="preserve"> </w:t>
      </w:r>
    </w:p>
    <w:p w14:paraId="4B10B2D1" w14:textId="0A6B4635" w:rsidR="00184383" w:rsidRPr="0054775B" w:rsidRDefault="00184383" w:rsidP="006F63D3">
      <w:pPr>
        <w:pStyle w:val="2024TABLECAPTION"/>
        <w:rPr>
          <w:rFonts w:ascii="Aptos" w:hAnsi="Aptos"/>
        </w:rPr>
      </w:pPr>
      <w:bookmarkStart w:id="125" w:name="_Toc178348016"/>
      <w:r w:rsidRPr="0054775B">
        <w:rPr>
          <w:rFonts w:ascii="Aptos" w:hAnsi="Aptos"/>
        </w:rPr>
        <w:lastRenderedPageBreak/>
        <w:t xml:space="preserve">Figure </w:t>
      </w:r>
      <w:r w:rsidR="002F1F6C" w:rsidRPr="001428E8">
        <w:rPr>
          <w:b w:val="0"/>
          <w:i/>
        </w:rPr>
        <w:fldChar w:fldCharType="begin"/>
      </w:r>
      <w:r w:rsidR="002F1F6C" w:rsidRPr="0054775B">
        <w:rPr>
          <w:rFonts w:ascii="Aptos" w:hAnsi="Aptos"/>
        </w:rPr>
        <w:instrText xml:space="preserve"> SEQ Figure \* ARABIC </w:instrText>
      </w:r>
      <w:r w:rsidR="002F1F6C" w:rsidRPr="001428E8">
        <w:rPr>
          <w:b w:val="0"/>
          <w:i/>
        </w:rPr>
        <w:fldChar w:fldCharType="separate"/>
      </w:r>
      <w:r w:rsidR="003D4896">
        <w:rPr>
          <w:noProof/>
        </w:rPr>
        <w:t>13</w:t>
      </w:r>
      <w:r w:rsidR="002F1F6C" w:rsidRPr="001428E8">
        <w:rPr>
          <w:b w:val="0"/>
          <w:i/>
        </w:rPr>
        <w:fldChar w:fldCharType="end"/>
      </w:r>
      <w:r w:rsidRPr="0054775B">
        <w:rPr>
          <w:rFonts w:ascii="Aptos" w:hAnsi="Aptos"/>
        </w:rPr>
        <w:t xml:space="preserve">. PRISMA flowchart – </w:t>
      </w:r>
      <w:r w:rsidR="008B74BD" w:rsidRPr="0054775B">
        <w:rPr>
          <w:rFonts w:ascii="Aptos" w:hAnsi="Aptos"/>
        </w:rPr>
        <w:t>fibromyalgia, magnesium</w:t>
      </w:r>
      <w:r w:rsidRPr="0054775B">
        <w:rPr>
          <w:rFonts w:ascii="Aptos" w:hAnsi="Aptos"/>
        </w:rPr>
        <w:t>.</w:t>
      </w:r>
      <w:bookmarkEnd w:id="125"/>
    </w:p>
    <w:p w14:paraId="5AA8D5FD" w14:textId="77777777" w:rsidR="00184383" w:rsidRPr="0054775B" w:rsidRDefault="00184383" w:rsidP="009E6F7F">
      <w:r w:rsidRPr="0054775B">
        <w:rPr>
          <w:noProof/>
          <w:highlight w:val="yellow"/>
        </w:rPr>
        <mc:AlternateContent>
          <mc:Choice Requires="wpg">
            <w:drawing>
              <wp:anchor distT="0" distB="0" distL="114300" distR="114300" simplePos="0" relativeHeight="251658251" behindDoc="0" locked="0" layoutInCell="1" allowOverlap="1" wp14:anchorId="3DEFD674" wp14:editId="685079A4">
                <wp:simplePos x="0" y="0"/>
                <wp:positionH relativeFrom="column">
                  <wp:posOffset>8890</wp:posOffset>
                </wp:positionH>
                <wp:positionV relativeFrom="paragraph">
                  <wp:posOffset>146050</wp:posOffset>
                </wp:positionV>
                <wp:extent cx="5339080" cy="4321810"/>
                <wp:effectExtent l="0" t="0" r="7620" b="8890"/>
                <wp:wrapSquare wrapText="bothSides"/>
                <wp:docPr id="1387399652" name="Group 1387399652"/>
                <wp:cNvGraphicFramePr/>
                <a:graphic xmlns:a="http://schemas.openxmlformats.org/drawingml/2006/main">
                  <a:graphicData uri="http://schemas.microsoft.com/office/word/2010/wordprocessingGroup">
                    <wpg:wgp>
                      <wpg:cNvGrpSpPr/>
                      <wpg:grpSpPr>
                        <a:xfrm>
                          <a:off x="0" y="0"/>
                          <a:ext cx="5339080" cy="4321810"/>
                          <a:chOff x="0" y="0"/>
                          <a:chExt cx="5536496" cy="4401067"/>
                        </a:xfrm>
                      </wpg:grpSpPr>
                      <wps:wsp>
                        <wps:cNvPr id="231356744" name="Rectangle 231356744"/>
                        <wps:cNvSpPr/>
                        <wps:spPr>
                          <a:xfrm>
                            <a:off x="3180705" y="425302"/>
                            <a:ext cx="2355790" cy="83947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A64B72A" w14:textId="77777777" w:rsidR="00184383" w:rsidRPr="000A34EA" w:rsidRDefault="00184383" w:rsidP="006F63D3">
                              <w:pPr>
                                <w:pStyle w:val="2024-PRISMA"/>
                              </w:pPr>
                              <w:r w:rsidRPr="000A34EA">
                                <w:t>Records removed before screening:</w:t>
                              </w:r>
                            </w:p>
                            <w:p w14:paraId="64D39EE5" w14:textId="10BB2027" w:rsidR="00184383" w:rsidRPr="000A34EA" w:rsidRDefault="00184383" w:rsidP="006F63D3">
                              <w:pPr>
                                <w:pStyle w:val="2024-PRISMA"/>
                              </w:pPr>
                              <w:r w:rsidRPr="000A34EA">
                                <w:t xml:space="preserve">Duplicate records removed (n = </w:t>
                              </w:r>
                              <w:r w:rsidR="006A47A7">
                                <w:t>1</w:t>
                              </w:r>
                              <w:r w:rsidR="007070FE">
                                <w:t>7</w:t>
                              </w:r>
                              <w:r w:rsidRPr="000A34EA">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6364802" name="Rectangle 136364802"/>
                        <wps:cNvSpPr/>
                        <wps:spPr>
                          <a:xfrm>
                            <a:off x="2987749" y="1509823"/>
                            <a:ext cx="1887220" cy="52641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8701740" w14:textId="77777777" w:rsidR="00184383" w:rsidRPr="000A34EA" w:rsidRDefault="00184383" w:rsidP="006F63D3">
                              <w:pPr>
                                <w:pStyle w:val="2024-PRISMA"/>
                              </w:pPr>
                              <w:r w:rsidRPr="000A34EA">
                                <w:t>Records excluded</w:t>
                              </w:r>
                            </w:p>
                            <w:p w14:paraId="0F38E0D9" w14:textId="61864B03" w:rsidR="00184383" w:rsidRPr="000A34EA" w:rsidRDefault="00184383" w:rsidP="006F63D3">
                              <w:pPr>
                                <w:pStyle w:val="2024-PRISMA"/>
                              </w:pPr>
                              <w:r w:rsidRPr="000A34EA">
                                <w:t xml:space="preserve">(n = </w:t>
                              </w:r>
                              <w:r w:rsidR="006A47A7">
                                <w:t>235</w:t>
                              </w:r>
                              <w:r w:rsidRPr="000A34EA">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07327385" name="Rectangle 1407327385"/>
                        <wps:cNvSpPr/>
                        <wps:spPr>
                          <a:xfrm>
                            <a:off x="2987749" y="2157362"/>
                            <a:ext cx="2351878" cy="71510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27359A5" w14:textId="77777777" w:rsidR="00184383" w:rsidRDefault="00184383" w:rsidP="006F63D3">
                              <w:pPr>
                                <w:pStyle w:val="2024-PRISMA"/>
                              </w:pPr>
                              <w:r>
                                <w:t>Full-text unavailable</w:t>
                              </w:r>
                              <w:r w:rsidRPr="000A34EA">
                                <w:t xml:space="preserve"> (n</w:t>
                              </w:r>
                              <w:r>
                                <w:t xml:space="preserve"> = 0</w:t>
                              </w:r>
                              <w:r w:rsidRPr="000A34EA">
                                <w:t>)</w:t>
                              </w:r>
                            </w:p>
                            <w:p w14:paraId="5E42F837" w14:textId="68FFA0DA" w:rsidR="00184383" w:rsidRPr="000A34EA" w:rsidRDefault="00184383" w:rsidP="006F63D3">
                              <w:pPr>
                                <w:pStyle w:val="2024-PRISMA"/>
                              </w:pPr>
                              <w:r>
                                <w:t>Ongoing study</w:t>
                              </w:r>
                              <w:r w:rsidRPr="000A34EA">
                                <w:t xml:space="preserve"> (n</w:t>
                              </w:r>
                              <w:r>
                                <w:t xml:space="preserve"> = </w:t>
                              </w:r>
                              <w:r w:rsidR="006A47A7">
                                <w:t>3</w:t>
                              </w:r>
                              <w:r w:rsidRPr="000A34EA">
                                <w:t>)</w:t>
                              </w:r>
                            </w:p>
                            <w:p w14:paraId="1941B705" w14:textId="77777777" w:rsidR="001D2614" w:rsidRDefault="001D2614" w:rsidP="001D2614">
                              <w:pPr>
                                <w:pStyle w:val="2024-PRISMA"/>
                              </w:pPr>
                              <w:r>
                                <w:t>Conference abstracts (n = 0)</w:t>
                              </w:r>
                            </w:p>
                            <w:p w14:paraId="4A3937B0" w14:textId="1CB08A2F" w:rsidR="00184383" w:rsidRPr="000A34EA" w:rsidRDefault="00F41ADB" w:rsidP="006F63D3">
                              <w:pPr>
                                <w:pStyle w:val="2024-PRISMA"/>
                              </w:pPr>
                              <w:r>
                                <w:t>Reviews</w:t>
                              </w:r>
                              <w:r w:rsidR="00184383" w:rsidRPr="000A34EA">
                                <w:t xml:space="preserve"> Awaiting Classification (n = </w:t>
                              </w:r>
                              <w:r w:rsidR="00184383">
                                <w:t>0</w:t>
                              </w:r>
                              <w:r w:rsidR="00184383" w:rsidRPr="000A34EA">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18482596" name="Rectangle 1618482596"/>
                        <wps:cNvSpPr/>
                        <wps:spPr>
                          <a:xfrm>
                            <a:off x="2987749" y="2955851"/>
                            <a:ext cx="2179320" cy="950414"/>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7989146" w14:textId="3B8A7D28" w:rsidR="00184383" w:rsidRPr="000A34EA" w:rsidRDefault="00184383" w:rsidP="006F63D3">
                              <w:pPr>
                                <w:pStyle w:val="2024-PRISMA"/>
                              </w:pPr>
                              <w:r w:rsidRPr="000A34EA">
                                <w:t xml:space="preserve">Reports excluded (n = </w:t>
                              </w:r>
                              <w:r w:rsidR="006A47A7">
                                <w:t>5</w:t>
                              </w:r>
                              <w:r w:rsidRPr="000A34EA">
                                <w:t>):</w:t>
                              </w:r>
                            </w:p>
                            <w:p w14:paraId="067A2CE4" w14:textId="58921537" w:rsidR="00184383" w:rsidRDefault="00184383" w:rsidP="006F63D3">
                              <w:pPr>
                                <w:pStyle w:val="2024-PRISMA"/>
                              </w:pPr>
                              <w:r>
                                <w:t xml:space="preserve">Wrong population (n = </w:t>
                              </w:r>
                              <w:r w:rsidR="006A47A7">
                                <w:t>2</w:t>
                              </w:r>
                              <w:r>
                                <w:t>)</w:t>
                              </w:r>
                            </w:p>
                            <w:p w14:paraId="1818E399" w14:textId="1DAC5084" w:rsidR="00184383" w:rsidRPr="000A34EA" w:rsidRDefault="00184383" w:rsidP="006F63D3">
                              <w:pPr>
                                <w:pStyle w:val="2024-PRISMA"/>
                              </w:pPr>
                              <w:r w:rsidRPr="000A34EA">
                                <w:t xml:space="preserve">Wrong intervention (n = </w:t>
                              </w:r>
                              <w:r w:rsidR="006A47A7">
                                <w:t>2</w:t>
                              </w:r>
                              <w:r w:rsidRPr="000A34EA">
                                <w:t>)</w:t>
                              </w:r>
                            </w:p>
                            <w:p w14:paraId="6AD0D48E" w14:textId="7CDFBD1C" w:rsidR="00184383" w:rsidRPr="000A34EA" w:rsidRDefault="00184383" w:rsidP="006F63D3">
                              <w:pPr>
                                <w:pStyle w:val="2024-PRISMA"/>
                              </w:pPr>
                              <w:r>
                                <w:t xml:space="preserve">Does not meet minimum criteria for systematic review (n = </w:t>
                              </w:r>
                              <w:r w:rsidR="006A47A7">
                                <w:t>1</w:t>
                              </w:r>
                              <w: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17769840" name="Straight Arrow Connector 1417769840"/>
                        <wps:cNvCnPr/>
                        <wps:spPr>
                          <a:xfrm>
                            <a:off x="2424224" y="975833"/>
                            <a:ext cx="756482"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828158862" name="Straight Arrow Connector 828158862"/>
                        <wps:cNvCnPr/>
                        <wps:spPr>
                          <a:xfrm>
                            <a:off x="2392326" y="1720112"/>
                            <a:ext cx="563245"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68766420" name="Straight Arrow Connector 168766420"/>
                        <wps:cNvCnPr/>
                        <wps:spPr>
                          <a:xfrm>
                            <a:off x="2402958" y="2421861"/>
                            <a:ext cx="563245"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67081714" name="Straight Arrow Connector 267081714"/>
                        <wps:cNvCnPr/>
                        <wps:spPr>
                          <a:xfrm>
                            <a:off x="2413591" y="3155507"/>
                            <a:ext cx="563245"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127796384" name="Flowchart: Alternate Process 31"/>
                        <wps:cNvSpPr/>
                        <wps:spPr>
                          <a:xfrm rot="16200000">
                            <a:off x="-299735" y="707580"/>
                            <a:ext cx="1009400" cy="343870"/>
                          </a:xfrm>
                          <a:prstGeom prst="flowChartAlternateProcess">
                            <a:avLst/>
                          </a:prstGeom>
                          <a:solidFill>
                            <a:schemeClr val="accent5">
                              <a:lumMod val="60000"/>
                              <a:lumOff val="40000"/>
                            </a:schemeClr>
                          </a:solidFill>
                          <a:ln>
                            <a:solidFill>
                              <a:schemeClr val="tx1"/>
                            </a:solidFill>
                          </a:ln>
                        </wps:spPr>
                        <wps:style>
                          <a:lnRef idx="2">
                            <a:schemeClr val="accent4">
                              <a:shade val="50000"/>
                            </a:schemeClr>
                          </a:lnRef>
                          <a:fillRef idx="1">
                            <a:schemeClr val="accent4"/>
                          </a:fillRef>
                          <a:effectRef idx="0">
                            <a:schemeClr val="accent4"/>
                          </a:effectRef>
                          <a:fontRef idx="minor">
                            <a:schemeClr val="lt1"/>
                          </a:fontRef>
                        </wps:style>
                        <wps:txbx>
                          <w:txbxContent>
                            <w:p w14:paraId="431C3C22" w14:textId="77777777" w:rsidR="00184383" w:rsidRPr="00537945" w:rsidRDefault="00184383" w:rsidP="006F63D3">
                              <w:pPr>
                                <w:pStyle w:val="2024-PRISMA"/>
                                <w:rPr>
                                  <w:b/>
                                </w:rPr>
                              </w:pPr>
                              <w:r w:rsidRPr="00537945">
                                <w:rPr>
                                  <w:b/>
                                </w:rPr>
                                <w:t>Identification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08520910" name="Flowchart: Alternate Process 32"/>
                        <wps:cNvSpPr/>
                        <wps:spPr>
                          <a:xfrm rot="16200000">
                            <a:off x="-870165" y="2364796"/>
                            <a:ext cx="2150418" cy="343870"/>
                          </a:xfrm>
                          <a:prstGeom prst="flowChartAlternateProcess">
                            <a:avLst/>
                          </a:prstGeom>
                          <a:solidFill>
                            <a:schemeClr val="accent5">
                              <a:lumMod val="60000"/>
                              <a:lumOff val="40000"/>
                            </a:schemeClr>
                          </a:solidFill>
                          <a:ln>
                            <a:solidFill>
                              <a:schemeClr val="tx1"/>
                            </a:solidFill>
                          </a:ln>
                        </wps:spPr>
                        <wps:style>
                          <a:lnRef idx="2">
                            <a:schemeClr val="accent4">
                              <a:shade val="50000"/>
                            </a:schemeClr>
                          </a:lnRef>
                          <a:fillRef idx="1">
                            <a:schemeClr val="accent4"/>
                          </a:fillRef>
                          <a:effectRef idx="0">
                            <a:schemeClr val="accent4"/>
                          </a:effectRef>
                          <a:fontRef idx="minor">
                            <a:schemeClr val="lt1"/>
                          </a:fontRef>
                        </wps:style>
                        <wps:txbx>
                          <w:txbxContent>
                            <w:p w14:paraId="6832CD03" w14:textId="77777777" w:rsidR="00184383" w:rsidRPr="00537945" w:rsidRDefault="00184383" w:rsidP="00537945">
                              <w:pPr>
                                <w:pStyle w:val="2024-PRISMA"/>
                                <w:jc w:val="center"/>
                                <w:rPr>
                                  <w:b/>
                                </w:rPr>
                              </w:pPr>
                              <w:r w:rsidRPr="00537945">
                                <w:rPr>
                                  <w:b/>
                                </w:rPr>
                                <w:t>Screening</w:t>
                              </w:r>
                            </w:p>
                            <w:p w14:paraId="7FEFEA44" w14:textId="77777777" w:rsidR="00184383" w:rsidRPr="00537945" w:rsidRDefault="00184383" w:rsidP="00537945">
                              <w:pPr>
                                <w:pStyle w:val="2024-PRISMA"/>
                                <w:jc w:val="center"/>
                                <w:rPr>
                                  <w: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51368960" name="Flowchart: Alternate Process 33"/>
                        <wps:cNvSpPr/>
                        <wps:spPr>
                          <a:xfrm rot="16200000">
                            <a:off x="-154890" y="3877886"/>
                            <a:ext cx="711090" cy="335272"/>
                          </a:xfrm>
                          <a:prstGeom prst="flowChartAlternateProcess">
                            <a:avLst/>
                          </a:prstGeom>
                          <a:solidFill>
                            <a:schemeClr val="accent5">
                              <a:lumMod val="60000"/>
                              <a:lumOff val="40000"/>
                            </a:schemeClr>
                          </a:solidFill>
                          <a:ln>
                            <a:solidFill>
                              <a:schemeClr val="tx1"/>
                            </a:solidFill>
                          </a:ln>
                        </wps:spPr>
                        <wps:style>
                          <a:lnRef idx="2">
                            <a:schemeClr val="accent4">
                              <a:shade val="50000"/>
                            </a:schemeClr>
                          </a:lnRef>
                          <a:fillRef idx="1">
                            <a:schemeClr val="accent4"/>
                          </a:fillRef>
                          <a:effectRef idx="0">
                            <a:schemeClr val="accent4"/>
                          </a:effectRef>
                          <a:fontRef idx="minor">
                            <a:schemeClr val="lt1"/>
                          </a:fontRef>
                        </wps:style>
                        <wps:txbx>
                          <w:txbxContent>
                            <w:p w14:paraId="0C3047CB" w14:textId="77777777" w:rsidR="00184383" w:rsidRPr="00537945" w:rsidRDefault="00184383" w:rsidP="006F63D3">
                              <w:pPr>
                                <w:pStyle w:val="2024-PRISMA"/>
                                <w:rPr>
                                  <w:b/>
                                </w:rPr>
                              </w:pPr>
                              <w:r w:rsidRPr="00537945">
                                <w:rPr>
                                  <w:b/>
                                </w:rPr>
                                <w:t>Included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3936625" name="Straight Arrow Connector 233936625"/>
                        <wps:cNvCnPr/>
                        <wps:spPr>
                          <a:xfrm>
                            <a:off x="1339407" y="1233377"/>
                            <a:ext cx="0" cy="28130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908866921" name="Straight Arrow Connector 1908866921"/>
                        <wps:cNvCnPr/>
                        <wps:spPr>
                          <a:xfrm>
                            <a:off x="1339407" y="1967023"/>
                            <a:ext cx="0" cy="28130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899489263" name="Straight Arrow Connector 1899489263"/>
                        <wps:cNvCnPr/>
                        <wps:spPr>
                          <a:xfrm>
                            <a:off x="1350040" y="2690037"/>
                            <a:ext cx="0" cy="28130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232806318" name="Straight Arrow Connector 1232806318"/>
                        <wps:cNvCnPr/>
                        <wps:spPr>
                          <a:xfrm>
                            <a:off x="1339406" y="2971496"/>
                            <a:ext cx="0" cy="74612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302654490" name="Flowchart: Alternate Process 29"/>
                        <wps:cNvSpPr/>
                        <wps:spPr>
                          <a:xfrm>
                            <a:off x="0" y="0"/>
                            <a:ext cx="5536496" cy="291848"/>
                          </a:xfrm>
                          <a:prstGeom prst="flowChartAlternateProcess">
                            <a:avLst/>
                          </a:prstGeom>
                        </wps:spPr>
                        <wps:style>
                          <a:lnRef idx="2">
                            <a:schemeClr val="accent4">
                              <a:shade val="50000"/>
                            </a:schemeClr>
                          </a:lnRef>
                          <a:fillRef idx="1">
                            <a:schemeClr val="accent4"/>
                          </a:fillRef>
                          <a:effectRef idx="0">
                            <a:schemeClr val="accent4"/>
                          </a:effectRef>
                          <a:fontRef idx="minor">
                            <a:schemeClr val="lt1"/>
                          </a:fontRef>
                        </wps:style>
                        <wps:txbx>
                          <w:txbxContent>
                            <w:p w14:paraId="0D7617DC" w14:textId="474B23D7" w:rsidR="00184383" w:rsidRPr="00537945" w:rsidRDefault="00184383" w:rsidP="00537945">
                              <w:pPr>
                                <w:pStyle w:val="2024-PRISMA"/>
                                <w:jc w:val="center"/>
                                <w:rPr>
                                  <w:b/>
                                </w:rPr>
                              </w:pPr>
                              <w:r w:rsidRPr="00537945">
                                <w:rPr>
                                  <w:b/>
                                </w:rPr>
                                <w:t xml:space="preserve">Identification of </w:t>
                              </w:r>
                              <w:r w:rsidR="00AD775E">
                                <w:rPr>
                                  <w:b/>
                                </w:rPr>
                                <w:t>reviews</w:t>
                              </w:r>
                              <w:r w:rsidR="00AD775E" w:rsidRPr="00537945">
                                <w:rPr>
                                  <w:b/>
                                </w:rPr>
                                <w:t xml:space="preserve"> </w:t>
                              </w:r>
                              <w:r w:rsidRPr="00537945">
                                <w:rPr>
                                  <w:b/>
                                </w:rPr>
                                <w:t>via databases and registers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11239905" name="Rectangle 2111239905"/>
                        <wps:cNvSpPr/>
                        <wps:spPr>
                          <a:xfrm>
                            <a:off x="499730" y="425302"/>
                            <a:ext cx="2455839" cy="839972"/>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CA59EC5" w14:textId="5BB9D3EB" w:rsidR="00184383" w:rsidRPr="000A34EA" w:rsidRDefault="00184383" w:rsidP="006F63D3">
                              <w:pPr>
                                <w:pStyle w:val="2024-PRISMA"/>
                              </w:pPr>
                              <w:r w:rsidRPr="000A34EA">
                                <w:t>Records identified from:</w:t>
                              </w:r>
                            </w:p>
                            <w:p w14:paraId="68C8BA8A" w14:textId="1ADE037F" w:rsidR="00184383" w:rsidRPr="000A34EA" w:rsidRDefault="00184383" w:rsidP="006F63D3">
                              <w:pPr>
                                <w:pStyle w:val="2024-PRISMA"/>
                              </w:pPr>
                              <w:r w:rsidRPr="000A34EA">
                                <w:t xml:space="preserve">Databases and registers (n = </w:t>
                              </w:r>
                              <w:r w:rsidR="006A47A7">
                                <w:t>262</w:t>
                              </w:r>
                              <w:r w:rsidRPr="000A34EA">
                                <w:t>)</w:t>
                              </w:r>
                            </w:p>
                            <w:p w14:paraId="77A92B34" w14:textId="42BD7D90" w:rsidR="00184383" w:rsidRDefault="00184383" w:rsidP="006F63D3">
                              <w:pPr>
                                <w:pStyle w:val="2024-PRISMA"/>
                              </w:pPr>
                              <w:r w:rsidRPr="000A34EA">
                                <w:t>Manual</w:t>
                              </w:r>
                              <w:r>
                                <w:t xml:space="preserve"> or </w:t>
                              </w:r>
                              <w:r w:rsidRPr="000A34EA">
                                <w:t xml:space="preserve">citation </w:t>
                              </w:r>
                              <w:r>
                                <w:t xml:space="preserve">searching </w:t>
                              </w:r>
                              <w:r w:rsidRPr="000A34EA">
                                <w:t xml:space="preserve">(n = </w:t>
                              </w:r>
                              <w:r w:rsidR="00990E45">
                                <w:t>1</w:t>
                              </w:r>
                              <w:r w:rsidRPr="000A34EA">
                                <w:t>)</w:t>
                              </w:r>
                            </w:p>
                            <w:p w14:paraId="2FEB5963" w14:textId="77777777" w:rsidR="00184383" w:rsidRPr="000A34EA" w:rsidRDefault="00184383" w:rsidP="006F63D3">
                              <w:pPr>
                                <w:pStyle w:val="2024-PRISMA"/>
                              </w:pPr>
                              <w:r>
                                <w:t>Department’s call for evidence</w:t>
                              </w:r>
                              <w:r w:rsidRPr="000A34EA">
                                <w:t xml:space="preserve"> (n = </w:t>
                              </w:r>
                              <w:r>
                                <w:t>0</w:t>
                              </w:r>
                              <w:r w:rsidRPr="000A34EA">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81517406" name="Rectangle 1381517406"/>
                        <wps:cNvSpPr/>
                        <wps:spPr>
                          <a:xfrm>
                            <a:off x="499731" y="1520456"/>
                            <a:ext cx="1887220" cy="52641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3905419" w14:textId="77777777" w:rsidR="00184383" w:rsidRPr="000A34EA" w:rsidRDefault="00184383" w:rsidP="006F63D3">
                              <w:pPr>
                                <w:pStyle w:val="2024-PRISMA"/>
                              </w:pPr>
                              <w:r w:rsidRPr="000A34EA">
                                <w:t>Records screened</w:t>
                              </w:r>
                            </w:p>
                            <w:p w14:paraId="62F730DA" w14:textId="53B97D4D" w:rsidR="00184383" w:rsidRPr="000A34EA" w:rsidRDefault="00184383" w:rsidP="006F63D3">
                              <w:pPr>
                                <w:pStyle w:val="2024-PRISMA"/>
                              </w:pPr>
                              <w:r w:rsidRPr="000A34EA">
                                <w:t xml:space="preserve">(n = </w:t>
                              </w:r>
                              <w:r w:rsidR="006A47A7">
                                <w:t>246</w:t>
                              </w:r>
                              <w:r w:rsidRPr="000A34EA">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32794367" name="Rectangle 1232794367"/>
                        <wps:cNvSpPr/>
                        <wps:spPr>
                          <a:xfrm>
                            <a:off x="499731" y="2977116"/>
                            <a:ext cx="1887220" cy="52641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F728516" w14:textId="77777777" w:rsidR="00184383" w:rsidRPr="000A34EA" w:rsidRDefault="00184383" w:rsidP="006F63D3">
                              <w:pPr>
                                <w:pStyle w:val="2024-PRISMA"/>
                              </w:pPr>
                              <w:r w:rsidRPr="000A34EA">
                                <w:t>Reports assessed for eligibility</w:t>
                              </w:r>
                            </w:p>
                            <w:p w14:paraId="27688226" w14:textId="3DB7AAE7" w:rsidR="00184383" w:rsidRPr="000A34EA" w:rsidRDefault="00184383" w:rsidP="006F63D3">
                              <w:pPr>
                                <w:pStyle w:val="2024-PRISMA"/>
                              </w:pPr>
                              <w:r w:rsidRPr="000A34EA">
                                <w:t xml:space="preserve">(n = </w:t>
                              </w:r>
                              <w:r w:rsidR="002C0EBF">
                                <w:t>8</w:t>
                              </w:r>
                              <w:r w:rsidRPr="000A34EA">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6242493" name="Rectangle 276242493"/>
                        <wps:cNvSpPr/>
                        <wps:spPr>
                          <a:xfrm>
                            <a:off x="489098" y="3715774"/>
                            <a:ext cx="1887220" cy="511952"/>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408909A" w14:textId="14D761E5" w:rsidR="00184383" w:rsidRPr="000A34EA" w:rsidRDefault="00B34E75" w:rsidP="006F63D3">
                              <w:pPr>
                                <w:pStyle w:val="2024-PRISMA"/>
                              </w:pPr>
                              <w:r>
                                <w:t>Reviews</w:t>
                              </w:r>
                              <w:r w:rsidRPr="000A34EA">
                                <w:t xml:space="preserve"> </w:t>
                              </w:r>
                              <w:r w:rsidR="00184383" w:rsidRPr="000A34EA">
                                <w:t xml:space="preserve">included in </w:t>
                              </w:r>
                              <w:r>
                                <w:t>over</w:t>
                              </w:r>
                              <w:r w:rsidR="00184383" w:rsidRPr="000A34EA">
                                <w:t>view</w:t>
                              </w:r>
                            </w:p>
                            <w:p w14:paraId="17A04461" w14:textId="44357F9A" w:rsidR="00184383" w:rsidRPr="000A34EA" w:rsidRDefault="00184383" w:rsidP="006F63D3">
                              <w:pPr>
                                <w:pStyle w:val="2024-PRISMA"/>
                              </w:pPr>
                              <w:r w:rsidRPr="000A34EA">
                                <w:t xml:space="preserve">(n = </w:t>
                              </w:r>
                              <w:r w:rsidR="002C0EBF">
                                <w:t>3</w:t>
                              </w:r>
                              <w:r w:rsidRPr="000A34EA">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47109896" name="Rectangle 647109896"/>
                        <wps:cNvSpPr/>
                        <wps:spPr>
                          <a:xfrm>
                            <a:off x="499731" y="2243470"/>
                            <a:ext cx="1887220" cy="52641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E6DDB12" w14:textId="77777777" w:rsidR="00184383" w:rsidRPr="000A34EA" w:rsidRDefault="00184383" w:rsidP="006F63D3">
                              <w:pPr>
                                <w:pStyle w:val="2024-PRISMA"/>
                              </w:pPr>
                              <w:r w:rsidRPr="000A34EA">
                                <w:t>Reports sought for retrieval</w:t>
                              </w:r>
                            </w:p>
                            <w:p w14:paraId="777A0A71" w14:textId="350A11A7" w:rsidR="00184383" w:rsidRPr="000A34EA" w:rsidRDefault="00184383" w:rsidP="006F63D3">
                              <w:pPr>
                                <w:pStyle w:val="2024-PRISMA"/>
                              </w:pPr>
                              <w:r w:rsidRPr="000A34EA">
                                <w:t xml:space="preserve">(n = </w:t>
                              </w:r>
                              <w:r>
                                <w:t>1</w:t>
                              </w:r>
                              <w:r w:rsidR="006A47A7">
                                <w:t>1</w:t>
                              </w:r>
                              <w:r w:rsidRPr="000A34EA">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DEFD674" id="Group 1387399652" o:spid="_x0000_s1290" style="position:absolute;margin-left:.7pt;margin-top:11.5pt;width:420.4pt;height:340.3pt;z-index:251658251;mso-width-relative:margin;mso-height-relative:margin" coordsize="55364,44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">
                <v:rect id="Rectangle 231356744" o:spid="_x0000_s1291" style="position:absolute;left:31807;top:4253;width:23557;height:83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" filled="f" strokecolor="black [3213]" strokeweight="1pt">
                  <v:textbox>
                    <w:txbxContent>
                      <w:p w14:paraId="5A64B72A" w14:textId="77777777" w:rsidR="00184383" w:rsidRPr="000A34EA" w:rsidRDefault="00184383" w:rsidP="006F63D3">
                        <w:pPr>
                          <w:pStyle w:val="2024-PRISMA"/>
                        </w:pPr>
                        <w:r w:rsidRPr="000A34EA">
                          <w:t>Records removed before screening:</w:t>
                        </w:r>
                      </w:p>
                      <w:p w14:paraId="64D39EE5" w14:textId="10BB2027" w:rsidR="00184383" w:rsidRPr="000A34EA" w:rsidRDefault="00184383" w:rsidP="006F63D3">
                        <w:pPr>
                          <w:pStyle w:val="2024-PRISMA"/>
                        </w:pPr>
                        <w:r w:rsidRPr="000A34EA">
                          <w:t xml:space="preserve">Duplicate records removed (n = </w:t>
                        </w:r>
                        <w:r w:rsidR="006A47A7">
                          <w:t>1</w:t>
                        </w:r>
                        <w:r w:rsidR="007070FE">
                          <w:t>7</w:t>
                        </w:r>
                        <w:r w:rsidRPr="000A34EA">
                          <w:t>)</w:t>
                        </w:r>
                      </w:p>
                    </w:txbxContent>
                  </v:textbox>
                </v:rect>
                <v:rect id="Rectangle 136364802" o:spid="_x0000_s1292" style="position:absolute;left:29877;top:15098;width:18872;height:52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" filled="f" strokecolor="black [3213]" strokeweight="1pt">
                  <v:textbox>
                    <w:txbxContent>
                      <w:p w14:paraId="48701740" w14:textId="77777777" w:rsidR="00184383" w:rsidRPr="000A34EA" w:rsidRDefault="00184383" w:rsidP="006F63D3">
                        <w:pPr>
                          <w:pStyle w:val="2024-PRISMA"/>
                        </w:pPr>
                        <w:r w:rsidRPr="000A34EA">
                          <w:t>Records excluded</w:t>
                        </w:r>
                      </w:p>
                      <w:p w14:paraId="0F38E0D9" w14:textId="61864B03" w:rsidR="00184383" w:rsidRPr="000A34EA" w:rsidRDefault="00184383" w:rsidP="006F63D3">
                        <w:pPr>
                          <w:pStyle w:val="2024-PRISMA"/>
                        </w:pPr>
                        <w:r w:rsidRPr="000A34EA">
                          <w:t xml:space="preserve">(n = </w:t>
                        </w:r>
                        <w:r w:rsidR="006A47A7">
                          <w:t>235</w:t>
                        </w:r>
                        <w:r w:rsidRPr="000A34EA">
                          <w:t>)</w:t>
                        </w:r>
                      </w:p>
                    </w:txbxContent>
                  </v:textbox>
                </v:rect>
                <v:rect id="Rectangle 1407327385" o:spid="_x0000_s1293" style="position:absolute;left:29877;top:21573;width:23519;height:71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" filled="f" strokecolor="black [3213]" strokeweight="1pt">
                  <v:textbox>
                    <w:txbxContent>
                      <w:p w14:paraId="427359A5" w14:textId="77777777" w:rsidR="00184383" w:rsidRDefault="00184383" w:rsidP="006F63D3">
                        <w:pPr>
                          <w:pStyle w:val="2024-PRISMA"/>
                        </w:pPr>
                        <w:r>
                          <w:t>Full-text unavailable</w:t>
                        </w:r>
                        <w:r w:rsidRPr="000A34EA">
                          <w:t xml:space="preserve"> (n</w:t>
                        </w:r>
                        <w:r>
                          <w:t xml:space="preserve"> = 0</w:t>
                        </w:r>
                        <w:r w:rsidRPr="000A34EA">
                          <w:t>)</w:t>
                        </w:r>
                      </w:p>
                      <w:p w14:paraId="5E42F837" w14:textId="68FFA0DA" w:rsidR="00184383" w:rsidRPr="000A34EA" w:rsidRDefault="00184383" w:rsidP="006F63D3">
                        <w:pPr>
                          <w:pStyle w:val="2024-PRISMA"/>
                        </w:pPr>
                        <w:r>
                          <w:t>Ongoing study</w:t>
                        </w:r>
                        <w:r w:rsidRPr="000A34EA">
                          <w:t xml:space="preserve"> (n</w:t>
                        </w:r>
                        <w:r>
                          <w:t xml:space="preserve"> = </w:t>
                        </w:r>
                        <w:r w:rsidR="006A47A7">
                          <w:t>3</w:t>
                        </w:r>
                        <w:r w:rsidRPr="000A34EA">
                          <w:t>)</w:t>
                        </w:r>
                      </w:p>
                      <w:p w14:paraId="1941B705" w14:textId="77777777" w:rsidR="001D2614" w:rsidRDefault="001D2614" w:rsidP="001D2614">
                        <w:pPr>
                          <w:pStyle w:val="2024-PRISMA"/>
                        </w:pPr>
                        <w:r>
                          <w:t>Conference abstracts (n = 0)</w:t>
                        </w:r>
                      </w:p>
                      <w:p w14:paraId="4A3937B0" w14:textId="1CB08A2F" w:rsidR="00184383" w:rsidRPr="000A34EA" w:rsidRDefault="00F41ADB" w:rsidP="006F63D3">
                        <w:pPr>
                          <w:pStyle w:val="2024-PRISMA"/>
                        </w:pPr>
                        <w:r>
                          <w:t>Reviews</w:t>
                        </w:r>
                        <w:r w:rsidR="00184383" w:rsidRPr="000A34EA">
                          <w:t xml:space="preserve"> Awaiting Classification (n = </w:t>
                        </w:r>
                        <w:r w:rsidR="00184383">
                          <w:t>0</w:t>
                        </w:r>
                        <w:r w:rsidR="00184383" w:rsidRPr="000A34EA">
                          <w:t>)</w:t>
                        </w:r>
                      </w:p>
                    </w:txbxContent>
                  </v:textbox>
                </v:rect>
                <v:rect id="Rectangle 1618482596" o:spid="_x0000_s1294" style="position:absolute;left:29877;top:29558;width:21793;height:95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" filled="f" strokecolor="black [3213]" strokeweight="1pt">
                  <v:textbox>
                    <w:txbxContent>
                      <w:p w14:paraId="57989146" w14:textId="3B8A7D28" w:rsidR="00184383" w:rsidRPr="000A34EA" w:rsidRDefault="00184383" w:rsidP="006F63D3">
                        <w:pPr>
                          <w:pStyle w:val="2024-PRISMA"/>
                        </w:pPr>
                        <w:r w:rsidRPr="000A34EA">
                          <w:t xml:space="preserve">Reports excluded (n = </w:t>
                        </w:r>
                        <w:r w:rsidR="006A47A7">
                          <w:t>5</w:t>
                        </w:r>
                        <w:r w:rsidRPr="000A34EA">
                          <w:t>):</w:t>
                        </w:r>
                      </w:p>
                      <w:p w14:paraId="067A2CE4" w14:textId="58921537" w:rsidR="00184383" w:rsidRDefault="00184383" w:rsidP="006F63D3">
                        <w:pPr>
                          <w:pStyle w:val="2024-PRISMA"/>
                        </w:pPr>
                        <w:r>
                          <w:t xml:space="preserve">Wrong population (n = </w:t>
                        </w:r>
                        <w:r w:rsidR="006A47A7">
                          <w:t>2</w:t>
                        </w:r>
                        <w:r>
                          <w:t>)</w:t>
                        </w:r>
                      </w:p>
                      <w:p w14:paraId="1818E399" w14:textId="1DAC5084" w:rsidR="00184383" w:rsidRPr="000A34EA" w:rsidRDefault="00184383" w:rsidP="006F63D3">
                        <w:pPr>
                          <w:pStyle w:val="2024-PRISMA"/>
                        </w:pPr>
                        <w:r w:rsidRPr="000A34EA">
                          <w:t xml:space="preserve">Wrong intervention (n = </w:t>
                        </w:r>
                        <w:r w:rsidR="006A47A7">
                          <w:t>2</w:t>
                        </w:r>
                        <w:r w:rsidRPr="000A34EA">
                          <w:t>)</w:t>
                        </w:r>
                      </w:p>
                      <w:p w14:paraId="6AD0D48E" w14:textId="7CDFBD1C" w:rsidR="00184383" w:rsidRPr="000A34EA" w:rsidRDefault="00184383" w:rsidP="006F63D3">
                        <w:pPr>
                          <w:pStyle w:val="2024-PRISMA"/>
                        </w:pPr>
                        <w:r>
                          <w:t xml:space="preserve">Does not meet minimum criteria for systematic review (n = </w:t>
                        </w:r>
                        <w:r w:rsidR="006A47A7">
                          <w:t>1</w:t>
                        </w:r>
                        <w:r>
                          <w:t>)</w:t>
                        </w:r>
                      </w:p>
                    </w:txbxContent>
                  </v:textbox>
                </v:rect>
                <v:shape id="Straight Arrow Connector 1417769840" o:spid="_x0000_s1295" type="#_x0000_t32" style="position:absolute;left:24242;top:9758;width:756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" strokecolor="black [3213]" strokeweight=".5pt">
                  <v:stroke endarrow="block" joinstyle="miter"/>
                </v:shape>
                <v:shape id="Straight Arrow Connector 828158862" o:spid="_x0000_s1296" type="#_x0000_t32" style="position:absolute;left:23923;top:17201;width:563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" strokecolor="black [3213]" strokeweight=".5pt">
                  <v:stroke endarrow="block" joinstyle="miter"/>
                </v:shape>
                <v:shape id="Straight Arrow Connector 168766420" o:spid="_x0000_s1297" type="#_x0000_t32" style="position:absolute;left:24029;top:24218;width:563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" strokecolor="black [3213]" strokeweight=".5pt">
                  <v:stroke endarrow="block" joinstyle="miter"/>
                </v:shape>
                <v:shape id="Straight Arrow Connector 267081714" o:spid="_x0000_s1298" type="#_x0000_t32" style="position:absolute;left:24135;top:31555;width:563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" strokecolor="black [3213]" strokeweight=".5pt">
                  <v:stroke endarrow="block" joinstyle="miter"/>
                </v:shape>
                <v:shape id="Flowchart: Alternate Process 31" o:spid="_x0000_s1299" type="#_x0000_t176" style="position:absolute;left:-2997;top:7075;width:10094;height:3439;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" fillcolor="#9cc2e5 [1944]" strokecolor="black [3213]" strokeweight="1pt">
                  <v:textbox>
                    <w:txbxContent>
                      <w:p w14:paraId="431C3C22" w14:textId="77777777" w:rsidR="00184383" w:rsidRPr="00537945" w:rsidRDefault="00184383" w:rsidP="006F63D3">
                        <w:pPr>
                          <w:pStyle w:val="2024-PRISMA"/>
                          <w:rPr>
                            <w:b/>
                          </w:rPr>
                        </w:pPr>
                        <w:r w:rsidRPr="00537945">
                          <w:rPr>
                            <w:b/>
                          </w:rPr>
                          <w:t>Identification</w:t>
                        </w:r>
                      </w:p>
                    </w:txbxContent>
                  </v:textbox>
                </v:shape>
                <v:shape id="Flowchart: Alternate Process 32" o:spid="_x0000_s1300" type="#_x0000_t176" style="position:absolute;left:-8702;top:23648;width:21504;height:3438;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" fillcolor="#9cc2e5 [1944]" strokecolor="black [3213]" strokeweight="1pt">
                  <v:textbox>
                    <w:txbxContent>
                      <w:p w14:paraId="6832CD03" w14:textId="77777777" w:rsidR="00184383" w:rsidRPr="00537945" w:rsidRDefault="00184383" w:rsidP="00537945">
                        <w:pPr>
                          <w:pStyle w:val="2024-PRISMA"/>
                          <w:jc w:val="center"/>
                          <w:rPr>
                            <w:b/>
                          </w:rPr>
                        </w:pPr>
                        <w:r w:rsidRPr="00537945">
                          <w:rPr>
                            <w:b/>
                          </w:rPr>
                          <w:t>Screening</w:t>
                        </w:r>
                      </w:p>
                      <w:p w14:paraId="7FEFEA44" w14:textId="77777777" w:rsidR="00184383" w:rsidRPr="00537945" w:rsidRDefault="00184383" w:rsidP="00537945">
                        <w:pPr>
                          <w:pStyle w:val="2024-PRISMA"/>
                          <w:jc w:val="center"/>
                          <w:rPr>
                            <w:b/>
                          </w:rPr>
                        </w:pPr>
                      </w:p>
                    </w:txbxContent>
                  </v:textbox>
                </v:shape>
                <v:shape id="Flowchart: Alternate Process 33" o:spid="_x0000_s1301" type="#_x0000_t176" style="position:absolute;left:-1550;top:38779;width:7111;height:3352;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" fillcolor="#9cc2e5 [1944]" strokecolor="black [3213]" strokeweight="1pt">
                  <v:textbox>
                    <w:txbxContent>
                      <w:p w14:paraId="0C3047CB" w14:textId="77777777" w:rsidR="00184383" w:rsidRPr="00537945" w:rsidRDefault="00184383" w:rsidP="006F63D3">
                        <w:pPr>
                          <w:pStyle w:val="2024-PRISMA"/>
                          <w:rPr>
                            <w:b/>
                          </w:rPr>
                        </w:pPr>
                        <w:r w:rsidRPr="00537945">
                          <w:rPr>
                            <w:b/>
                          </w:rPr>
                          <w:t>Included</w:t>
                        </w:r>
                      </w:p>
                    </w:txbxContent>
                  </v:textbox>
                </v:shape>
                <v:shape id="Straight Arrow Connector 233936625" o:spid="_x0000_s1302" type="#_x0000_t32" style="position:absolute;left:13394;top:12333;width:0;height:281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" strokecolor="black [3213]" strokeweight=".5pt">
                  <v:stroke endarrow="block" joinstyle="miter"/>
                </v:shape>
                <v:shape id="Straight Arrow Connector 1908866921" o:spid="_x0000_s1303" type="#_x0000_t32" style="position:absolute;left:13394;top:19670;width:0;height:281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" strokecolor="black [3213]" strokeweight=".5pt">
                  <v:stroke endarrow="block" joinstyle="miter"/>
                </v:shape>
                <v:shape id="Straight Arrow Connector 1899489263" o:spid="_x0000_s1304" type="#_x0000_t32" style="position:absolute;left:13500;top:26900;width:0;height:281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" strokecolor="black [3213]" strokeweight=".5pt">
                  <v:stroke endarrow="block" joinstyle="miter"/>
                </v:shape>
                <v:shape id="Straight Arrow Connector 1232806318" o:spid="_x0000_s1305" type="#_x0000_t32" style="position:absolute;left:13394;top:29714;width:0;height:746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" strokecolor="black [3213]" strokeweight=".5pt">
                  <v:stroke endarrow="block" joinstyle="miter"/>
                </v:shape>
                <v:shape id="Flowchart: Alternate Process 29" o:spid="_x0000_s1306" type="#_x0000_t176" style="position:absolute;width:55364;height:29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" fillcolor="#ffc000 [3207]" strokecolor="#7f5f00 [1607]" strokeweight="1pt">
                  <v:textbox>
                    <w:txbxContent>
                      <w:p w14:paraId="0D7617DC" w14:textId="474B23D7" w:rsidR="00184383" w:rsidRPr="00537945" w:rsidRDefault="00184383" w:rsidP="00537945">
                        <w:pPr>
                          <w:pStyle w:val="2024-PRISMA"/>
                          <w:jc w:val="center"/>
                          <w:rPr>
                            <w:b/>
                          </w:rPr>
                        </w:pPr>
                        <w:r w:rsidRPr="00537945">
                          <w:rPr>
                            <w:b/>
                          </w:rPr>
                          <w:t xml:space="preserve">Identification of </w:t>
                        </w:r>
                        <w:r w:rsidR="00AD775E">
                          <w:rPr>
                            <w:b/>
                          </w:rPr>
                          <w:t>reviews</w:t>
                        </w:r>
                        <w:r w:rsidR="00AD775E" w:rsidRPr="00537945">
                          <w:rPr>
                            <w:b/>
                          </w:rPr>
                          <w:t xml:space="preserve"> </w:t>
                        </w:r>
                        <w:r w:rsidRPr="00537945">
                          <w:rPr>
                            <w:b/>
                          </w:rPr>
                          <w:t>via databases and registers</w:t>
                        </w:r>
                      </w:p>
                    </w:txbxContent>
                  </v:textbox>
                </v:shape>
                <v:rect id="Rectangle 2111239905" o:spid="_x0000_s1307" style="position:absolute;left:4997;top:4253;width:24558;height:83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" fillcolor="white [3212]" strokecolor="black [3213]" strokeweight="1pt">
                  <v:textbox>
                    <w:txbxContent>
                      <w:p w14:paraId="2CA59EC5" w14:textId="5BB9D3EB" w:rsidR="00184383" w:rsidRPr="000A34EA" w:rsidRDefault="00184383" w:rsidP="006F63D3">
                        <w:pPr>
                          <w:pStyle w:val="2024-PRISMA"/>
                        </w:pPr>
                        <w:r w:rsidRPr="000A34EA">
                          <w:t>Records identified from:</w:t>
                        </w:r>
                      </w:p>
                      <w:p w14:paraId="68C8BA8A" w14:textId="1ADE037F" w:rsidR="00184383" w:rsidRPr="000A34EA" w:rsidRDefault="00184383" w:rsidP="006F63D3">
                        <w:pPr>
                          <w:pStyle w:val="2024-PRISMA"/>
                        </w:pPr>
                        <w:r w:rsidRPr="000A34EA">
                          <w:t xml:space="preserve">Databases and registers (n = </w:t>
                        </w:r>
                        <w:r w:rsidR="006A47A7">
                          <w:t>262</w:t>
                        </w:r>
                        <w:r w:rsidRPr="000A34EA">
                          <w:t>)</w:t>
                        </w:r>
                      </w:p>
                      <w:p w14:paraId="77A92B34" w14:textId="42BD7D90" w:rsidR="00184383" w:rsidRDefault="00184383" w:rsidP="006F63D3">
                        <w:pPr>
                          <w:pStyle w:val="2024-PRISMA"/>
                        </w:pPr>
                        <w:r w:rsidRPr="000A34EA">
                          <w:t>Manual</w:t>
                        </w:r>
                        <w:r>
                          <w:t xml:space="preserve"> or </w:t>
                        </w:r>
                        <w:r w:rsidRPr="000A34EA">
                          <w:t xml:space="preserve">citation </w:t>
                        </w:r>
                        <w:r>
                          <w:t xml:space="preserve">searching </w:t>
                        </w:r>
                        <w:r w:rsidRPr="000A34EA">
                          <w:t xml:space="preserve">(n = </w:t>
                        </w:r>
                        <w:r w:rsidR="00990E45">
                          <w:t>1</w:t>
                        </w:r>
                        <w:r w:rsidRPr="000A34EA">
                          <w:t>)</w:t>
                        </w:r>
                      </w:p>
                      <w:p w14:paraId="2FEB5963" w14:textId="77777777" w:rsidR="00184383" w:rsidRPr="000A34EA" w:rsidRDefault="00184383" w:rsidP="006F63D3">
                        <w:pPr>
                          <w:pStyle w:val="2024-PRISMA"/>
                        </w:pPr>
                        <w:r>
                          <w:t>Department’s call for evidence</w:t>
                        </w:r>
                        <w:r w:rsidRPr="000A34EA">
                          <w:t xml:space="preserve"> (n = </w:t>
                        </w:r>
                        <w:r>
                          <w:t>0</w:t>
                        </w:r>
                        <w:r w:rsidRPr="000A34EA">
                          <w:t>)</w:t>
                        </w:r>
                      </w:p>
                    </w:txbxContent>
                  </v:textbox>
                </v:rect>
                <v:rect id="Rectangle 1381517406" o:spid="_x0000_s1308" style="position:absolute;left:4997;top:15204;width:18872;height:52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" fillcolor="white [3212]" strokecolor="black [3213]" strokeweight="1pt">
                  <v:textbox>
                    <w:txbxContent>
                      <w:p w14:paraId="53905419" w14:textId="77777777" w:rsidR="00184383" w:rsidRPr="000A34EA" w:rsidRDefault="00184383" w:rsidP="006F63D3">
                        <w:pPr>
                          <w:pStyle w:val="2024-PRISMA"/>
                        </w:pPr>
                        <w:r w:rsidRPr="000A34EA">
                          <w:t>Records screened</w:t>
                        </w:r>
                      </w:p>
                      <w:p w14:paraId="62F730DA" w14:textId="53B97D4D" w:rsidR="00184383" w:rsidRPr="000A34EA" w:rsidRDefault="00184383" w:rsidP="006F63D3">
                        <w:pPr>
                          <w:pStyle w:val="2024-PRISMA"/>
                        </w:pPr>
                        <w:r w:rsidRPr="000A34EA">
                          <w:t xml:space="preserve">(n = </w:t>
                        </w:r>
                        <w:r w:rsidR="006A47A7">
                          <w:t>246</w:t>
                        </w:r>
                        <w:r w:rsidRPr="000A34EA">
                          <w:t>)</w:t>
                        </w:r>
                      </w:p>
                    </w:txbxContent>
                  </v:textbox>
                </v:rect>
                <v:rect id="Rectangle 1232794367" o:spid="_x0000_s1309" style="position:absolute;left:4997;top:29771;width:18872;height:52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" fillcolor="white [3212]" strokecolor="black [3213]" strokeweight="1pt">
                  <v:textbox>
                    <w:txbxContent>
                      <w:p w14:paraId="3F728516" w14:textId="77777777" w:rsidR="00184383" w:rsidRPr="000A34EA" w:rsidRDefault="00184383" w:rsidP="006F63D3">
                        <w:pPr>
                          <w:pStyle w:val="2024-PRISMA"/>
                        </w:pPr>
                        <w:r w:rsidRPr="000A34EA">
                          <w:t>Reports assessed for eligibility</w:t>
                        </w:r>
                      </w:p>
                      <w:p w14:paraId="27688226" w14:textId="3DB7AAE7" w:rsidR="00184383" w:rsidRPr="000A34EA" w:rsidRDefault="00184383" w:rsidP="006F63D3">
                        <w:pPr>
                          <w:pStyle w:val="2024-PRISMA"/>
                        </w:pPr>
                        <w:r w:rsidRPr="000A34EA">
                          <w:t xml:space="preserve">(n = </w:t>
                        </w:r>
                        <w:r w:rsidR="002C0EBF">
                          <w:t>8</w:t>
                        </w:r>
                        <w:r w:rsidRPr="000A34EA">
                          <w:t>)</w:t>
                        </w:r>
                      </w:p>
                    </w:txbxContent>
                  </v:textbox>
                </v:rect>
                <v:rect id="Rectangle 276242493" o:spid="_x0000_s1310" style="position:absolute;left:4890;top:37157;width:18873;height:51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" fillcolor="white [3212]" strokecolor="black [3213]" strokeweight="1pt">
                  <v:textbox>
                    <w:txbxContent>
                      <w:p w14:paraId="4408909A" w14:textId="14D761E5" w:rsidR="00184383" w:rsidRPr="000A34EA" w:rsidRDefault="00B34E75" w:rsidP="006F63D3">
                        <w:pPr>
                          <w:pStyle w:val="2024-PRISMA"/>
                        </w:pPr>
                        <w:r>
                          <w:t>Reviews</w:t>
                        </w:r>
                        <w:r w:rsidRPr="000A34EA">
                          <w:t xml:space="preserve"> </w:t>
                        </w:r>
                        <w:r w:rsidR="00184383" w:rsidRPr="000A34EA">
                          <w:t xml:space="preserve">included in </w:t>
                        </w:r>
                        <w:r>
                          <w:t>over</w:t>
                        </w:r>
                        <w:r w:rsidR="00184383" w:rsidRPr="000A34EA">
                          <w:t>view</w:t>
                        </w:r>
                      </w:p>
                      <w:p w14:paraId="17A04461" w14:textId="44357F9A" w:rsidR="00184383" w:rsidRPr="000A34EA" w:rsidRDefault="00184383" w:rsidP="006F63D3">
                        <w:pPr>
                          <w:pStyle w:val="2024-PRISMA"/>
                        </w:pPr>
                        <w:r w:rsidRPr="000A34EA">
                          <w:t xml:space="preserve">(n = </w:t>
                        </w:r>
                        <w:r w:rsidR="002C0EBF">
                          <w:t>3</w:t>
                        </w:r>
                        <w:r w:rsidRPr="000A34EA">
                          <w:t>)</w:t>
                        </w:r>
                      </w:p>
                    </w:txbxContent>
                  </v:textbox>
                </v:rect>
                <v:rect id="Rectangle 647109896" o:spid="_x0000_s1311" style="position:absolute;left:4997;top:22434;width:18872;height:52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" fillcolor="white [3212]" strokecolor="black [3213]" strokeweight="1pt">
                  <v:textbox>
                    <w:txbxContent>
                      <w:p w14:paraId="1E6DDB12" w14:textId="77777777" w:rsidR="00184383" w:rsidRPr="000A34EA" w:rsidRDefault="00184383" w:rsidP="006F63D3">
                        <w:pPr>
                          <w:pStyle w:val="2024-PRISMA"/>
                        </w:pPr>
                        <w:r w:rsidRPr="000A34EA">
                          <w:t>Reports sought for retrieval</w:t>
                        </w:r>
                      </w:p>
                      <w:p w14:paraId="777A0A71" w14:textId="350A11A7" w:rsidR="00184383" w:rsidRPr="000A34EA" w:rsidRDefault="00184383" w:rsidP="006F63D3">
                        <w:pPr>
                          <w:pStyle w:val="2024-PRISMA"/>
                        </w:pPr>
                        <w:r w:rsidRPr="000A34EA">
                          <w:t xml:space="preserve">(n = </w:t>
                        </w:r>
                        <w:r>
                          <w:t>1</w:t>
                        </w:r>
                        <w:r w:rsidR="006A47A7">
                          <w:t>1</w:t>
                        </w:r>
                        <w:r w:rsidRPr="000A34EA">
                          <w:t>)</w:t>
                        </w:r>
                      </w:p>
                    </w:txbxContent>
                  </v:textbox>
                </v:rect>
                <w10:wrap type="square"/>
              </v:group>
            </w:pict>
          </mc:Fallback>
        </mc:AlternateContent>
      </w:r>
    </w:p>
    <w:p w14:paraId="1A26317D" w14:textId="77777777" w:rsidR="00184383" w:rsidRPr="0054775B" w:rsidRDefault="00184383" w:rsidP="009E6F7F"/>
    <w:p w14:paraId="46455570" w14:textId="77777777" w:rsidR="00184383" w:rsidRPr="0054775B" w:rsidRDefault="00184383" w:rsidP="009E6F7F"/>
    <w:p w14:paraId="6CEB7909" w14:textId="77777777" w:rsidR="00184383" w:rsidRPr="0054775B" w:rsidRDefault="00184383" w:rsidP="009E6F7F"/>
    <w:p w14:paraId="208F35D3" w14:textId="77777777" w:rsidR="00184383" w:rsidRPr="0054775B" w:rsidRDefault="00184383" w:rsidP="009E6F7F"/>
    <w:p w14:paraId="3110942E" w14:textId="77777777" w:rsidR="00184383" w:rsidRPr="0054775B" w:rsidRDefault="00184383" w:rsidP="009E6F7F"/>
    <w:p w14:paraId="641168D9" w14:textId="77777777" w:rsidR="00184383" w:rsidRPr="0054775B" w:rsidRDefault="00184383" w:rsidP="009E6F7F"/>
    <w:p w14:paraId="0AF03942" w14:textId="77777777" w:rsidR="00184383" w:rsidRPr="0054775B" w:rsidRDefault="00184383" w:rsidP="009E6F7F"/>
    <w:p w14:paraId="3CD14615" w14:textId="77777777" w:rsidR="00184383" w:rsidRPr="0054775B" w:rsidRDefault="00184383" w:rsidP="009E6F7F"/>
    <w:p w14:paraId="437A7ACE" w14:textId="77777777" w:rsidR="00184383" w:rsidRPr="0054775B" w:rsidRDefault="00184383" w:rsidP="009E6F7F"/>
    <w:p w14:paraId="4CC60F3F" w14:textId="77777777" w:rsidR="00184383" w:rsidRPr="0054775B" w:rsidRDefault="00184383" w:rsidP="009E6F7F"/>
    <w:p w14:paraId="6543B8A1" w14:textId="77777777" w:rsidR="00184383" w:rsidRPr="0054775B" w:rsidRDefault="00184383" w:rsidP="009E6F7F"/>
    <w:p w14:paraId="720EE309" w14:textId="77777777" w:rsidR="00184383" w:rsidRPr="0054775B" w:rsidRDefault="00184383" w:rsidP="009E6F7F"/>
    <w:p w14:paraId="4028B559" w14:textId="77777777" w:rsidR="00184383" w:rsidRPr="0054775B" w:rsidRDefault="00184383" w:rsidP="009E6F7F"/>
    <w:p w14:paraId="74C1F284" w14:textId="77777777" w:rsidR="00184383" w:rsidRPr="0054775B" w:rsidRDefault="00184383" w:rsidP="009E6F7F"/>
    <w:p w14:paraId="4F81B454" w14:textId="77777777" w:rsidR="00184383" w:rsidRPr="0054775B" w:rsidRDefault="00184383" w:rsidP="009E6F7F"/>
    <w:p w14:paraId="714E6160" w14:textId="2A0BB53E" w:rsidR="00EF78B0" w:rsidRPr="0054775B" w:rsidRDefault="008308E9" w:rsidP="009E6F7F">
      <w:pPr>
        <w:pStyle w:val="2024HEADER3"/>
        <w:rPr>
          <w:rFonts w:ascii="Aptos" w:hAnsi="Aptos"/>
        </w:rPr>
      </w:pPr>
      <w:r w:rsidRPr="0054775B">
        <w:rPr>
          <w:rFonts w:ascii="Aptos" w:hAnsi="Aptos"/>
        </w:rPr>
        <w:t>Description of included reviews</w:t>
      </w:r>
    </w:p>
    <w:p w14:paraId="63442988" w14:textId="40D6433C" w:rsidR="002216DC" w:rsidRPr="0054775B" w:rsidRDefault="00BB0599" w:rsidP="009E6F7F">
      <w:r w:rsidRPr="0054775B">
        <w:t>Three</w:t>
      </w:r>
      <w:r w:rsidR="00EF78B0" w:rsidRPr="0054775B">
        <w:t xml:space="preserve"> reviews were identified as eligible for inclusion; </w:t>
      </w:r>
      <w:r w:rsidR="003C2AC9">
        <w:t>review</w:t>
      </w:r>
      <w:r w:rsidR="003C2AC9" w:rsidRPr="0054775B">
        <w:t xml:space="preserve"> </w:t>
      </w:r>
      <w:r w:rsidR="00EF78B0" w:rsidRPr="0054775B">
        <w:t xml:space="preserve">characteristics are reported in detail in </w:t>
      </w:r>
      <w:r w:rsidR="00FB0A70" w:rsidRPr="0054775B">
        <w:t xml:space="preserve">Appendix </w:t>
      </w:r>
      <w:r w:rsidR="00BC6C8E">
        <w:t>D</w:t>
      </w:r>
      <w:r w:rsidR="00EF78B0" w:rsidRPr="0054775B">
        <w:t>. T</w:t>
      </w:r>
      <w:r w:rsidRPr="0054775B">
        <w:t>wo systematic reviews were conducted in 2003 and 2010</w:t>
      </w:r>
      <w:r w:rsidR="002216DC" w:rsidRPr="0054775B">
        <w:t xml:space="preserve">, each evaluating complementary and alternative medicine </w:t>
      </w:r>
      <w:r w:rsidR="000E645C" w:rsidRPr="0054775B">
        <w:t xml:space="preserve">therapies for fibromyalgia </w:t>
      </w:r>
      <w:r w:rsidR="00227084">
        <w:rPr>
          <w:noProof/>
        </w:rPr>
        <w:t>(186)</w:t>
      </w:r>
      <w:r w:rsidR="000E645C" w:rsidRPr="0054775B">
        <w:t xml:space="preserve">, and fibromyalgia and CFS/ME </w:t>
      </w:r>
      <w:r w:rsidR="00227084">
        <w:rPr>
          <w:noProof/>
        </w:rPr>
        <w:t>(187)</w:t>
      </w:r>
      <w:r w:rsidR="000E645C" w:rsidRPr="0054775B">
        <w:t xml:space="preserve">. </w:t>
      </w:r>
      <w:r w:rsidR="007A6E98" w:rsidRPr="0054775B">
        <w:t xml:space="preserve">Both included RCTs and NSRIs. </w:t>
      </w:r>
      <w:r w:rsidR="00230549" w:rsidRPr="0054775B">
        <w:t>A Cochrane review was conducted in 2018 examining combination pharmacotherapies for the treatment of fibromyalgia</w:t>
      </w:r>
      <w:r w:rsidR="000E4824" w:rsidRPr="0054775B">
        <w:t>, including only RCTs</w:t>
      </w:r>
      <w:r w:rsidR="00230549" w:rsidRPr="0054775B">
        <w:t xml:space="preserve"> </w:t>
      </w:r>
      <w:r w:rsidR="00227084">
        <w:rPr>
          <w:noProof/>
        </w:rPr>
        <w:t>(188)</w:t>
      </w:r>
      <w:r w:rsidR="000E4824" w:rsidRPr="0054775B">
        <w:t>.</w:t>
      </w:r>
    </w:p>
    <w:p w14:paraId="6CD41F1D" w14:textId="77777777" w:rsidR="008308E9" w:rsidRPr="0054775B" w:rsidRDefault="008308E9" w:rsidP="009E6F7F">
      <w:pPr>
        <w:pStyle w:val="2024HEADER3"/>
        <w:rPr>
          <w:rFonts w:ascii="Aptos" w:hAnsi="Aptos"/>
        </w:rPr>
      </w:pPr>
      <w:r w:rsidRPr="0054775B">
        <w:rPr>
          <w:rFonts w:ascii="Aptos" w:hAnsi="Aptos"/>
        </w:rPr>
        <w:t>Assessment of risk of bias of included systematic reviews</w:t>
      </w:r>
    </w:p>
    <w:p w14:paraId="047A168F" w14:textId="38746148" w:rsidR="008B74BD" w:rsidRPr="0054775B" w:rsidRDefault="008B74BD" w:rsidP="009E6F7F">
      <w:r w:rsidRPr="0054775B">
        <w:t xml:space="preserve">Risk </w:t>
      </w:r>
      <w:r w:rsidR="002D763F" w:rsidRPr="0054775B">
        <w:t xml:space="preserve">of bias of the assessments of the included reviews, as appraised using the ROBIS tool, are presented below. </w:t>
      </w:r>
      <w:r w:rsidR="006D3FE4" w:rsidRPr="0054775B">
        <w:t xml:space="preserve">Full assessments are reported in Appendix </w:t>
      </w:r>
      <w:r w:rsidR="00BC6C8E">
        <w:t>F</w:t>
      </w:r>
      <w:r w:rsidRPr="0054775B">
        <w:t>.</w:t>
      </w:r>
    </w:p>
    <w:p w14:paraId="5AC01E4D" w14:textId="4E76ADA7" w:rsidR="008B74BD" w:rsidRPr="0054775B" w:rsidRDefault="008B74BD" w:rsidP="006F63D3">
      <w:pPr>
        <w:pStyle w:val="2024TABLECAPTION"/>
        <w:rPr>
          <w:rFonts w:ascii="Aptos" w:hAnsi="Aptos"/>
        </w:rPr>
      </w:pPr>
      <w:bookmarkStart w:id="126" w:name="_Toc185261621"/>
      <w:r w:rsidRPr="0054775B">
        <w:rPr>
          <w:rFonts w:ascii="Aptos" w:hAnsi="Aptos"/>
        </w:rPr>
        <w:t xml:space="preserve">Table </w:t>
      </w:r>
      <w:r w:rsidRPr="0054775B">
        <w:rPr>
          <w:rFonts w:ascii="Aptos" w:hAnsi="Aptos"/>
        </w:rPr>
        <w:fldChar w:fldCharType="begin"/>
      </w:r>
      <w:r w:rsidRPr="0054775B">
        <w:rPr>
          <w:rFonts w:ascii="Aptos" w:hAnsi="Aptos"/>
        </w:rPr>
        <w:instrText>SEQ Table \* ARABIC</w:instrText>
      </w:r>
      <w:r w:rsidRPr="0054775B">
        <w:rPr>
          <w:rFonts w:ascii="Aptos" w:hAnsi="Aptos"/>
        </w:rPr>
        <w:fldChar w:fldCharType="separate"/>
      </w:r>
      <w:r w:rsidR="00651E04">
        <w:rPr>
          <w:rFonts w:ascii="Aptos" w:hAnsi="Aptos"/>
          <w:noProof/>
        </w:rPr>
        <w:t>43</w:t>
      </w:r>
      <w:r w:rsidRPr="0054775B">
        <w:rPr>
          <w:rFonts w:ascii="Aptos" w:hAnsi="Aptos"/>
        </w:rPr>
        <w:fldChar w:fldCharType="end"/>
      </w:r>
      <w:r w:rsidRPr="0054775B">
        <w:rPr>
          <w:rFonts w:ascii="Aptos" w:hAnsi="Aptos"/>
        </w:rPr>
        <w:t>. Summary of ROBIS assessments – fibromyalgia, magnesium</w:t>
      </w:r>
      <w:bookmarkEnd w:id="126"/>
    </w:p>
    <w:tbl>
      <w:tblPr>
        <w:tblW w:w="920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28" w:type="dxa"/>
        </w:tblCellMar>
        <w:tblLook w:val="04A0" w:firstRow="1" w:lastRow="0" w:firstColumn="1" w:lastColumn="0" w:noHBand="0" w:noVBand="1"/>
      </w:tblPr>
      <w:tblGrid>
        <w:gridCol w:w="1833"/>
        <w:gridCol w:w="1418"/>
        <w:gridCol w:w="1701"/>
        <w:gridCol w:w="1559"/>
        <w:gridCol w:w="1417"/>
        <w:gridCol w:w="1276"/>
      </w:tblGrid>
      <w:tr w:rsidR="008B74BD" w:rsidRPr="0054775B" w14:paraId="7C863326" w14:textId="77777777">
        <w:trPr>
          <w:trHeight w:val="95"/>
        </w:trPr>
        <w:tc>
          <w:tcPr>
            <w:tcW w:w="1833" w:type="dxa"/>
            <w:vMerge w:val="restart"/>
            <w:shd w:val="clear" w:color="auto" w:fill="D9D9D9" w:themeFill="background1" w:themeFillShade="D9"/>
            <w:vAlign w:val="center"/>
            <w:hideMark/>
          </w:tcPr>
          <w:p w14:paraId="17574C36" w14:textId="77777777" w:rsidR="008B74BD" w:rsidRPr="0054775B" w:rsidRDefault="008B74BD" w:rsidP="00515FE7">
            <w:pPr>
              <w:pStyle w:val="2024TABLEHEADER"/>
            </w:pPr>
            <w:r w:rsidRPr="0054775B">
              <w:t>Review ID</w:t>
            </w:r>
          </w:p>
        </w:tc>
        <w:tc>
          <w:tcPr>
            <w:tcW w:w="6095" w:type="dxa"/>
            <w:gridSpan w:val="4"/>
            <w:shd w:val="clear" w:color="auto" w:fill="D9D9D9" w:themeFill="background1" w:themeFillShade="D9"/>
            <w:vAlign w:val="center"/>
          </w:tcPr>
          <w:p w14:paraId="0B137E19" w14:textId="77777777" w:rsidR="008B74BD" w:rsidRPr="0054775B" w:rsidRDefault="008B74BD" w:rsidP="00515FE7">
            <w:pPr>
              <w:pStyle w:val="2024TABLEHEADER"/>
            </w:pPr>
            <w:r w:rsidRPr="0054775B">
              <w:t>ROBIS Domains</w:t>
            </w:r>
          </w:p>
        </w:tc>
        <w:tc>
          <w:tcPr>
            <w:tcW w:w="1276" w:type="dxa"/>
            <w:vMerge w:val="restart"/>
            <w:shd w:val="clear" w:color="auto" w:fill="D9D9D9" w:themeFill="background1" w:themeFillShade="D9"/>
            <w:vAlign w:val="center"/>
          </w:tcPr>
          <w:p w14:paraId="05D94DB1" w14:textId="77777777" w:rsidR="008B74BD" w:rsidRPr="0054775B" w:rsidRDefault="008B74BD" w:rsidP="00515FE7">
            <w:pPr>
              <w:pStyle w:val="2024TABLEHEADER"/>
            </w:pPr>
            <w:r w:rsidRPr="0054775B">
              <w:t>Overall risk of bias</w:t>
            </w:r>
          </w:p>
        </w:tc>
      </w:tr>
      <w:tr w:rsidR="008B74BD" w:rsidRPr="0054775B" w14:paraId="7CD26440" w14:textId="77777777">
        <w:trPr>
          <w:trHeight w:val="95"/>
        </w:trPr>
        <w:tc>
          <w:tcPr>
            <w:tcW w:w="1833" w:type="dxa"/>
            <w:vMerge/>
            <w:shd w:val="clear" w:color="auto" w:fill="D9D9D9" w:themeFill="background1" w:themeFillShade="D9"/>
            <w:vAlign w:val="center"/>
          </w:tcPr>
          <w:p w14:paraId="43652D51" w14:textId="77777777" w:rsidR="008B74BD" w:rsidRPr="0054775B" w:rsidRDefault="008B74BD" w:rsidP="00515FE7">
            <w:pPr>
              <w:pStyle w:val="2024TABLEHEADER"/>
            </w:pPr>
          </w:p>
        </w:tc>
        <w:tc>
          <w:tcPr>
            <w:tcW w:w="1418" w:type="dxa"/>
            <w:shd w:val="clear" w:color="auto" w:fill="F2F2F2" w:themeFill="background1" w:themeFillShade="F2"/>
            <w:vAlign w:val="center"/>
          </w:tcPr>
          <w:p w14:paraId="1B8867A7" w14:textId="77777777" w:rsidR="008B74BD" w:rsidRPr="0054775B" w:rsidRDefault="008B74BD" w:rsidP="00515FE7">
            <w:pPr>
              <w:pStyle w:val="2024TABLEHEADER"/>
            </w:pPr>
            <w:r w:rsidRPr="0054775B">
              <w:t>Domain 1: Study eligibility criteria</w:t>
            </w:r>
          </w:p>
        </w:tc>
        <w:tc>
          <w:tcPr>
            <w:tcW w:w="1701" w:type="dxa"/>
            <w:shd w:val="clear" w:color="auto" w:fill="F2F2F2" w:themeFill="background1" w:themeFillShade="F2"/>
            <w:vAlign w:val="center"/>
          </w:tcPr>
          <w:p w14:paraId="5AFD225F" w14:textId="77777777" w:rsidR="008B74BD" w:rsidRPr="0054775B" w:rsidRDefault="008B74BD" w:rsidP="00515FE7">
            <w:pPr>
              <w:pStyle w:val="2024TABLEHEADER"/>
            </w:pPr>
            <w:r w:rsidRPr="0054775B">
              <w:t>Domain 2: Identification and selection of studies</w:t>
            </w:r>
          </w:p>
        </w:tc>
        <w:tc>
          <w:tcPr>
            <w:tcW w:w="1559" w:type="dxa"/>
            <w:shd w:val="clear" w:color="auto" w:fill="F2F2F2" w:themeFill="background1" w:themeFillShade="F2"/>
            <w:vAlign w:val="center"/>
          </w:tcPr>
          <w:p w14:paraId="3C1C72E6" w14:textId="77777777" w:rsidR="008B74BD" w:rsidRPr="0054775B" w:rsidRDefault="008B74BD" w:rsidP="00515FE7">
            <w:pPr>
              <w:pStyle w:val="2024TABLEHEADER"/>
            </w:pPr>
            <w:r w:rsidRPr="0054775B">
              <w:t>Domain 3: Data collection and study appraisal</w:t>
            </w:r>
          </w:p>
        </w:tc>
        <w:tc>
          <w:tcPr>
            <w:tcW w:w="1417" w:type="dxa"/>
            <w:shd w:val="clear" w:color="auto" w:fill="F2F2F2" w:themeFill="background1" w:themeFillShade="F2"/>
            <w:vAlign w:val="center"/>
          </w:tcPr>
          <w:p w14:paraId="2A70B9F9" w14:textId="77777777" w:rsidR="008B74BD" w:rsidRPr="0054775B" w:rsidRDefault="008B74BD" w:rsidP="00515FE7">
            <w:pPr>
              <w:pStyle w:val="2024TABLEHEADER"/>
            </w:pPr>
            <w:r w:rsidRPr="0054775B">
              <w:t>Domain 4: Synthesis and findings</w:t>
            </w:r>
          </w:p>
        </w:tc>
        <w:tc>
          <w:tcPr>
            <w:tcW w:w="1276" w:type="dxa"/>
            <w:vMerge/>
            <w:shd w:val="clear" w:color="auto" w:fill="D9D9D9" w:themeFill="background1" w:themeFillShade="D9"/>
            <w:vAlign w:val="center"/>
          </w:tcPr>
          <w:p w14:paraId="419B45D2" w14:textId="77777777" w:rsidR="008B74BD" w:rsidRPr="0054775B" w:rsidRDefault="008B74BD" w:rsidP="009E6F7F">
            <w:pPr>
              <w:pStyle w:val="TABLE"/>
              <w:rPr>
                <w:rFonts w:ascii="Aptos" w:hAnsi="Aptos"/>
              </w:rPr>
            </w:pPr>
          </w:p>
        </w:tc>
      </w:tr>
    </w:tbl>
    <w:tbl>
      <w:tblPr>
        <w:tblW w:w="920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28" w:type="dxa"/>
        </w:tblCellMar>
        <w:tblLook w:val="04A0" w:firstRow="1" w:lastRow="0" w:firstColumn="1" w:lastColumn="0" w:noHBand="0" w:noVBand="1"/>
      </w:tblPr>
      <w:tblGrid>
        <w:gridCol w:w="1833"/>
        <w:gridCol w:w="1418"/>
        <w:gridCol w:w="1701"/>
        <w:gridCol w:w="1559"/>
        <w:gridCol w:w="1417"/>
        <w:gridCol w:w="1276"/>
      </w:tblGrid>
      <w:tr w:rsidR="00141C69" w:rsidRPr="0054775B" w14:paraId="0B9AE2F2" w14:textId="77777777">
        <w:trPr>
          <w:trHeight w:val="95"/>
        </w:trPr>
        <w:tc>
          <w:tcPr>
            <w:tcW w:w="1833" w:type="dxa"/>
            <w:shd w:val="clear" w:color="auto" w:fill="auto"/>
            <w:vAlign w:val="bottom"/>
          </w:tcPr>
          <w:p w14:paraId="2E5CD8B9" w14:textId="76A51B00" w:rsidR="00141C69" w:rsidRPr="0054775B" w:rsidRDefault="00141C69" w:rsidP="006F63D3">
            <w:pPr>
              <w:pStyle w:val="2024TABLETEXT"/>
              <w:framePr w:wrap="around"/>
            </w:pPr>
            <w:r w:rsidRPr="0054775B">
              <w:lastRenderedPageBreak/>
              <w:t>Holdcraft 2003</w:t>
            </w:r>
          </w:p>
        </w:tc>
        <w:tc>
          <w:tcPr>
            <w:tcW w:w="1418" w:type="dxa"/>
            <w:shd w:val="clear" w:color="auto" w:fill="auto"/>
          </w:tcPr>
          <w:p w14:paraId="3AF2F338" w14:textId="3617693E" w:rsidR="00141C69" w:rsidRPr="0054775B" w:rsidRDefault="00141C69" w:rsidP="006F63D3">
            <w:pPr>
              <w:pStyle w:val="2024TABLETEXT"/>
              <w:framePr w:wrap="around"/>
            </w:pPr>
            <w:r w:rsidRPr="0054775B">
              <w:t>Low</w:t>
            </w:r>
          </w:p>
        </w:tc>
        <w:tc>
          <w:tcPr>
            <w:tcW w:w="1701" w:type="dxa"/>
            <w:shd w:val="clear" w:color="auto" w:fill="auto"/>
          </w:tcPr>
          <w:p w14:paraId="15698629" w14:textId="46A8B7D3" w:rsidR="00141C69" w:rsidRPr="0054775B" w:rsidRDefault="00141C69" w:rsidP="006F63D3">
            <w:pPr>
              <w:pStyle w:val="2024TABLETEXT"/>
              <w:framePr w:wrap="around"/>
            </w:pPr>
            <w:r w:rsidRPr="0054775B">
              <w:t>Unclear</w:t>
            </w:r>
          </w:p>
        </w:tc>
        <w:tc>
          <w:tcPr>
            <w:tcW w:w="1559" w:type="dxa"/>
            <w:shd w:val="clear" w:color="auto" w:fill="auto"/>
          </w:tcPr>
          <w:p w14:paraId="0C4C8C11" w14:textId="3F6E0490" w:rsidR="00141C69" w:rsidRPr="0054775B" w:rsidRDefault="00141C69" w:rsidP="006F63D3">
            <w:pPr>
              <w:pStyle w:val="2024TABLETEXT"/>
              <w:framePr w:wrap="around"/>
            </w:pPr>
            <w:r w:rsidRPr="0054775B">
              <w:t>High</w:t>
            </w:r>
          </w:p>
        </w:tc>
        <w:tc>
          <w:tcPr>
            <w:tcW w:w="1417" w:type="dxa"/>
            <w:shd w:val="clear" w:color="auto" w:fill="auto"/>
          </w:tcPr>
          <w:p w14:paraId="6FA6325A" w14:textId="0D7DD50A" w:rsidR="00141C69" w:rsidRPr="0054775B" w:rsidRDefault="00AF163F" w:rsidP="006F63D3">
            <w:pPr>
              <w:pStyle w:val="2024TABLETEXT"/>
              <w:framePr w:wrap="around"/>
            </w:pPr>
            <w:r w:rsidRPr="0054775B">
              <w:t>Unclear</w:t>
            </w:r>
          </w:p>
        </w:tc>
        <w:tc>
          <w:tcPr>
            <w:tcW w:w="1276" w:type="dxa"/>
            <w:shd w:val="clear" w:color="auto" w:fill="auto"/>
          </w:tcPr>
          <w:p w14:paraId="55E6A027" w14:textId="1588FD84" w:rsidR="00141C69" w:rsidRPr="0054775B" w:rsidRDefault="00AF163F" w:rsidP="006F63D3">
            <w:pPr>
              <w:pStyle w:val="2024TABLETEXT"/>
              <w:framePr w:wrap="around"/>
            </w:pPr>
            <w:r>
              <w:t>High</w:t>
            </w:r>
            <w:r w:rsidRPr="0054775B">
              <w:t xml:space="preserve"> </w:t>
            </w:r>
            <w:r w:rsidR="00141C69" w:rsidRPr="0054775B">
              <w:t>risk</w:t>
            </w:r>
          </w:p>
        </w:tc>
      </w:tr>
      <w:tr w:rsidR="00141C69" w:rsidRPr="0054775B" w14:paraId="7B2D2D78" w14:textId="77777777">
        <w:trPr>
          <w:trHeight w:val="95"/>
        </w:trPr>
        <w:tc>
          <w:tcPr>
            <w:tcW w:w="1833" w:type="dxa"/>
            <w:shd w:val="clear" w:color="auto" w:fill="auto"/>
            <w:vAlign w:val="bottom"/>
          </w:tcPr>
          <w:p w14:paraId="78C35B1E" w14:textId="3709C743" w:rsidR="00141C69" w:rsidRPr="0054775B" w:rsidRDefault="00141C69" w:rsidP="006F63D3">
            <w:pPr>
              <w:pStyle w:val="2024TABLETEXT"/>
              <w:framePr w:wrap="around"/>
            </w:pPr>
            <w:r w:rsidRPr="0054775B">
              <w:t>Porter 2010</w:t>
            </w:r>
          </w:p>
        </w:tc>
        <w:tc>
          <w:tcPr>
            <w:tcW w:w="1418" w:type="dxa"/>
            <w:shd w:val="clear" w:color="auto" w:fill="auto"/>
          </w:tcPr>
          <w:p w14:paraId="798B73B9" w14:textId="5430ED54" w:rsidR="00141C69" w:rsidRPr="0054775B" w:rsidRDefault="00141C69" w:rsidP="006F63D3">
            <w:pPr>
              <w:pStyle w:val="2024TABLETEXT"/>
              <w:framePr w:wrap="around"/>
              <w:rPr>
                <w:b/>
                <w:bCs/>
              </w:rPr>
            </w:pPr>
            <w:r w:rsidRPr="0054775B">
              <w:t>Low</w:t>
            </w:r>
          </w:p>
        </w:tc>
        <w:tc>
          <w:tcPr>
            <w:tcW w:w="1701" w:type="dxa"/>
            <w:shd w:val="clear" w:color="auto" w:fill="auto"/>
          </w:tcPr>
          <w:p w14:paraId="75E37AB6" w14:textId="22C40EA6" w:rsidR="00141C69" w:rsidRPr="0054775B" w:rsidRDefault="00AF163F" w:rsidP="006F63D3">
            <w:pPr>
              <w:pStyle w:val="2024TABLETEXT"/>
              <w:framePr w:wrap="around"/>
              <w:rPr>
                <w:b/>
                <w:bCs/>
              </w:rPr>
            </w:pPr>
            <w:r w:rsidRPr="0054775B">
              <w:t>Unclear</w:t>
            </w:r>
          </w:p>
        </w:tc>
        <w:tc>
          <w:tcPr>
            <w:tcW w:w="1559" w:type="dxa"/>
            <w:shd w:val="clear" w:color="auto" w:fill="auto"/>
          </w:tcPr>
          <w:p w14:paraId="32E797B9" w14:textId="6421F631" w:rsidR="00141C69" w:rsidRPr="0054775B" w:rsidRDefault="00141C69" w:rsidP="006F63D3">
            <w:pPr>
              <w:pStyle w:val="2024TABLETEXT"/>
              <w:framePr w:wrap="around"/>
              <w:rPr>
                <w:b/>
                <w:bCs/>
              </w:rPr>
            </w:pPr>
            <w:r w:rsidRPr="0054775B">
              <w:t>High</w:t>
            </w:r>
          </w:p>
        </w:tc>
        <w:tc>
          <w:tcPr>
            <w:tcW w:w="1417" w:type="dxa"/>
            <w:shd w:val="clear" w:color="auto" w:fill="auto"/>
          </w:tcPr>
          <w:p w14:paraId="79B45491" w14:textId="47E3A80A" w:rsidR="00141C69" w:rsidRPr="0054775B" w:rsidRDefault="00AF163F" w:rsidP="006F63D3">
            <w:pPr>
              <w:pStyle w:val="2024TABLETEXT"/>
              <w:framePr w:wrap="around"/>
              <w:rPr>
                <w:b/>
                <w:bCs/>
              </w:rPr>
            </w:pPr>
            <w:r w:rsidRPr="0054775B">
              <w:t>Unclear</w:t>
            </w:r>
          </w:p>
        </w:tc>
        <w:tc>
          <w:tcPr>
            <w:tcW w:w="1276" w:type="dxa"/>
            <w:shd w:val="clear" w:color="auto" w:fill="auto"/>
          </w:tcPr>
          <w:p w14:paraId="161D4001" w14:textId="17539DDB" w:rsidR="00141C69" w:rsidRPr="0054775B" w:rsidRDefault="00AF163F" w:rsidP="006F63D3">
            <w:pPr>
              <w:pStyle w:val="2024TABLETEXT"/>
              <w:framePr w:wrap="around"/>
              <w:rPr>
                <w:b/>
                <w:bCs/>
              </w:rPr>
            </w:pPr>
            <w:r>
              <w:t>High</w:t>
            </w:r>
            <w:r w:rsidRPr="0054775B">
              <w:t xml:space="preserve"> </w:t>
            </w:r>
            <w:r w:rsidR="00141C69" w:rsidRPr="0054775B">
              <w:t>risk</w:t>
            </w:r>
          </w:p>
        </w:tc>
      </w:tr>
      <w:tr w:rsidR="00141C69" w:rsidRPr="0054775B" w14:paraId="12083621" w14:textId="77777777">
        <w:trPr>
          <w:trHeight w:val="95"/>
        </w:trPr>
        <w:tc>
          <w:tcPr>
            <w:tcW w:w="1833" w:type="dxa"/>
            <w:shd w:val="clear" w:color="auto" w:fill="auto"/>
            <w:vAlign w:val="bottom"/>
          </w:tcPr>
          <w:p w14:paraId="0C279EE6" w14:textId="0D2E1D59" w:rsidR="00141C69" w:rsidRPr="0054775B" w:rsidRDefault="00141C69" w:rsidP="006F63D3">
            <w:pPr>
              <w:pStyle w:val="2024TABLETEXT"/>
              <w:framePr w:wrap="around"/>
            </w:pPr>
            <w:r w:rsidRPr="0054775B">
              <w:t>Thorpe 2018</w:t>
            </w:r>
          </w:p>
        </w:tc>
        <w:tc>
          <w:tcPr>
            <w:tcW w:w="1418" w:type="dxa"/>
            <w:shd w:val="clear" w:color="auto" w:fill="auto"/>
          </w:tcPr>
          <w:p w14:paraId="67079BAB" w14:textId="7D7D04C5" w:rsidR="00141C69" w:rsidRPr="0054775B" w:rsidRDefault="00141C69" w:rsidP="006F63D3">
            <w:pPr>
              <w:pStyle w:val="2024TABLETEXT"/>
              <w:framePr w:wrap="around"/>
              <w:rPr>
                <w:b/>
                <w:bCs/>
              </w:rPr>
            </w:pPr>
            <w:r w:rsidRPr="0054775B">
              <w:t>Low</w:t>
            </w:r>
          </w:p>
        </w:tc>
        <w:tc>
          <w:tcPr>
            <w:tcW w:w="1701" w:type="dxa"/>
            <w:shd w:val="clear" w:color="auto" w:fill="auto"/>
          </w:tcPr>
          <w:p w14:paraId="29EBDF37" w14:textId="402CED8E" w:rsidR="00141C69" w:rsidRPr="0054775B" w:rsidRDefault="00141C69" w:rsidP="006F63D3">
            <w:pPr>
              <w:pStyle w:val="2024TABLETEXT"/>
              <w:framePr w:wrap="around"/>
              <w:rPr>
                <w:b/>
                <w:bCs/>
              </w:rPr>
            </w:pPr>
            <w:r w:rsidRPr="0054775B">
              <w:t>Low</w:t>
            </w:r>
          </w:p>
        </w:tc>
        <w:tc>
          <w:tcPr>
            <w:tcW w:w="1559" w:type="dxa"/>
            <w:shd w:val="clear" w:color="auto" w:fill="auto"/>
          </w:tcPr>
          <w:p w14:paraId="58DF10A1" w14:textId="16A24152" w:rsidR="00141C69" w:rsidRPr="0054775B" w:rsidRDefault="00141C69" w:rsidP="006F63D3">
            <w:pPr>
              <w:pStyle w:val="2024TABLETEXT"/>
              <w:framePr w:wrap="around"/>
              <w:rPr>
                <w:b/>
                <w:bCs/>
              </w:rPr>
            </w:pPr>
            <w:r w:rsidRPr="0054775B">
              <w:t>Low</w:t>
            </w:r>
          </w:p>
        </w:tc>
        <w:tc>
          <w:tcPr>
            <w:tcW w:w="1417" w:type="dxa"/>
            <w:shd w:val="clear" w:color="auto" w:fill="auto"/>
          </w:tcPr>
          <w:p w14:paraId="008DCD8E" w14:textId="03630855" w:rsidR="00141C69" w:rsidRPr="0054775B" w:rsidRDefault="00AF163F" w:rsidP="006F63D3">
            <w:pPr>
              <w:pStyle w:val="2024TABLETEXT"/>
              <w:framePr w:wrap="around"/>
              <w:rPr>
                <w:b/>
                <w:bCs/>
              </w:rPr>
            </w:pPr>
            <w:r>
              <w:t>Unclear</w:t>
            </w:r>
          </w:p>
        </w:tc>
        <w:tc>
          <w:tcPr>
            <w:tcW w:w="1276" w:type="dxa"/>
            <w:shd w:val="clear" w:color="auto" w:fill="auto"/>
          </w:tcPr>
          <w:p w14:paraId="5B1364A0" w14:textId="5997CDE5" w:rsidR="00141C69" w:rsidRPr="0054775B" w:rsidRDefault="00141C69" w:rsidP="006F63D3">
            <w:pPr>
              <w:pStyle w:val="2024TABLETEXT"/>
              <w:framePr w:wrap="around"/>
            </w:pPr>
            <w:r w:rsidRPr="0054775B">
              <w:t>Low risk</w:t>
            </w:r>
          </w:p>
        </w:tc>
      </w:tr>
    </w:tbl>
    <w:p w14:paraId="09928A89" w14:textId="77777777" w:rsidR="009E3E11" w:rsidRPr="0054775B" w:rsidRDefault="009E3E11" w:rsidP="009E6F7F">
      <w:pPr>
        <w:pStyle w:val="2024HEADER3"/>
        <w:rPr>
          <w:rFonts w:ascii="Aptos" w:hAnsi="Aptos"/>
        </w:rPr>
      </w:pPr>
      <w:r w:rsidRPr="0054775B">
        <w:rPr>
          <w:rFonts w:ascii="Aptos" w:hAnsi="Aptos"/>
        </w:rPr>
        <w:t xml:space="preserve">Results </w:t>
      </w:r>
    </w:p>
    <w:p w14:paraId="55D950F5" w14:textId="153698D5" w:rsidR="009E3E11" w:rsidRPr="0054775B" w:rsidRDefault="00CD2D24" w:rsidP="009E6F7F">
      <w:r>
        <w:t>Preferred</w:t>
      </w:r>
      <w:r w:rsidRPr="0054775B">
        <w:t xml:space="preserve"> contributing reviews are listed in the population-intervention matrix in </w:t>
      </w:r>
      <w:r>
        <w:t xml:space="preserve">Table </w:t>
      </w:r>
      <w:r w:rsidR="00AE09FC">
        <w:t>44</w:t>
      </w:r>
      <w:r>
        <w:t xml:space="preserve">. </w:t>
      </w:r>
      <w:r w:rsidR="000E4824" w:rsidRPr="0054775B">
        <w:t xml:space="preserve">The only review assessed as having a low risk of bias was </w:t>
      </w:r>
      <w:r w:rsidR="0000279B">
        <w:t xml:space="preserve">Thorpe 2018 </w:t>
      </w:r>
      <w:r w:rsidR="0026769D">
        <w:t xml:space="preserve">- </w:t>
      </w:r>
      <w:r w:rsidR="0000279B">
        <w:t>a</w:t>
      </w:r>
      <w:r w:rsidR="000E4824" w:rsidRPr="0054775B">
        <w:t xml:space="preserve"> Cochrane review </w:t>
      </w:r>
      <w:r w:rsidR="00227084">
        <w:rPr>
          <w:noProof/>
        </w:rPr>
        <w:t>(188)</w:t>
      </w:r>
      <w:r w:rsidR="000E4824" w:rsidRPr="0054775B">
        <w:t xml:space="preserve"> </w:t>
      </w:r>
      <w:r w:rsidR="00C16B6D">
        <w:t xml:space="preserve">– it was </w:t>
      </w:r>
      <w:r w:rsidR="0013387E" w:rsidRPr="0054775B">
        <w:t>also the most recent</w:t>
      </w:r>
      <w:r w:rsidR="0026769D">
        <w:t xml:space="preserve"> </w:t>
      </w:r>
      <w:r w:rsidR="000E4824" w:rsidRPr="0054775B">
        <w:t>and thus was the preferred contributing review</w:t>
      </w:r>
      <w:r w:rsidR="0013387E" w:rsidRPr="0054775B">
        <w:t xml:space="preserve">. </w:t>
      </w:r>
      <w:r w:rsidR="00A31BC9" w:rsidRPr="0054775B">
        <w:t xml:space="preserve">One small primary study (24 participants) evaluated the </w:t>
      </w:r>
      <w:r w:rsidR="009C2A32">
        <w:t>effects</w:t>
      </w:r>
      <w:r w:rsidR="009C2A32" w:rsidRPr="0054775B">
        <w:t xml:space="preserve"> </w:t>
      </w:r>
      <w:r w:rsidR="00A31BC9" w:rsidRPr="0054775B">
        <w:t xml:space="preserve">of a combination of magnesium and malic acid </w:t>
      </w:r>
      <w:r w:rsidR="009C2A32">
        <w:t>supplements i</w:t>
      </w:r>
      <w:r w:rsidR="009C2A32" w:rsidRPr="0054775B">
        <w:t xml:space="preserve">n </w:t>
      </w:r>
      <w:r w:rsidR="00A31BC9" w:rsidRPr="0054775B">
        <w:t xml:space="preserve">people with fibromyalgia </w:t>
      </w:r>
      <w:r w:rsidR="00227084">
        <w:rPr>
          <w:noProof/>
        </w:rPr>
        <w:t>(188)</w:t>
      </w:r>
      <w:r w:rsidR="00A31BC9" w:rsidRPr="0054775B">
        <w:t xml:space="preserve">. </w:t>
      </w:r>
    </w:p>
    <w:p w14:paraId="0D03A0C5" w14:textId="5452E17B" w:rsidR="009E3E11" w:rsidRPr="0054775B" w:rsidRDefault="009E3E11" w:rsidP="006F63D3">
      <w:pPr>
        <w:pStyle w:val="2024TABLECAPTION"/>
        <w:rPr>
          <w:rFonts w:ascii="Aptos" w:hAnsi="Aptos"/>
        </w:rPr>
      </w:pPr>
      <w:bookmarkStart w:id="127" w:name="_Toc185261622"/>
      <w:r w:rsidRPr="0054775B">
        <w:rPr>
          <w:rFonts w:ascii="Aptos" w:hAnsi="Aptos"/>
        </w:rPr>
        <w:t xml:space="preserve">Table </w:t>
      </w:r>
      <w:r w:rsidRPr="0054775B">
        <w:rPr>
          <w:rFonts w:ascii="Aptos" w:hAnsi="Aptos"/>
        </w:rPr>
        <w:fldChar w:fldCharType="begin"/>
      </w:r>
      <w:r w:rsidRPr="0054775B">
        <w:rPr>
          <w:rFonts w:ascii="Aptos" w:hAnsi="Aptos"/>
        </w:rPr>
        <w:instrText>SEQ Table \* ARABIC</w:instrText>
      </w:r>
      <w:r w:rsidRPr="0054775B">
        <w:rPr>
          <w:rFonts w:ascii="Aptos" w:hAnsi="Aptos"/>
        </w:rPr>
        <w:fldChar w:fldCharType="separate"/>
      </w:r>
      <w:r w:rsidR="00651E04">
        <w:rPr>
          <w:rFonts w:ascii="Aptos" w:hAnsi="Aptos"/>
          <w:noProof/>
        </w:rPr>
        <w:t>44</w:t>
      </w:r>
      <w:r w:rsidRPr="0054775B">
        <w:rPr>
          <w:rFonts w:ascii="Aptos" w:hAnsi="Aptos"/>
        </w:rPr>
        <w:fldChar w:fldCharType="end"/>
      </w:r>
      <w:r w:rsidRPr="0054775B">
        <w:rPr>
          <w:rFonts w:ascii="Aptos" w:hAnsi="Aptos"/>
        </w:rPr>
        <w:t xml:space="preserve">. </w:t>
      </w:r>
      <w:r w:rsidR="00C519F7" w:rsidRPr="0054775B">
        <w:rPr>
          <w:rFonts w:ascii="Aptos" w:hAnsi="Aptos"/>
        </w:rPr>
        <w:t>Contributing</w:t>
      </w:r>
      <w:r w:rsidRPr="0054775B">
        <w:rPr>
          <w:rFonts w:ascii="Aptos" w:hAnsi="Aptos"/>
        </w:rPr>
        <w:t xml:space="preserve"> reviews for each population and intervention/co-intervention combination – fibromyalgia, magnesium.</w:t>
      </w:r>
      <w:bookmarkEnd w:id="127"/>
    </w:p>
    <w:tbl>
      <w:tblPr>
        <w:tblStyle w:val="TableGrid"/>
        <w:tblW w:w="0" w:type="auto"/>
        <w:tblLook w:val="04A0" w:firstRow="1" w:lastRow="0" w:firstColumn="1" w:lastColumn="0" w:noHBand="0" w:noVBand="1"/>
      </w:tblPr>
      <w:tblGrid>
        <w:gridCol w:w="4815"/>
        <w:gridCol w:w="2126"/>
        <w:gridCol w:w="2279"/>
      </w:tblGrid>
      <w:tr w:rsidR="009E3E11" w:rsidRPr="0054775B" w14:paraId="7660AFAB" w14:textId="77777777">
        <w:tc>
          <w:tcPr>
            <w:tcW w:w="4815" w:type="dxa"/>
            <w:shd w:val="clear" w:color="auto" w:fill="D9D9D9" w:themeFill="background1" w:themeFillShade="D9"/>
          </w:tcPr>
          <w:p w14:paraId="5F3B7045" w14:textId="77777777" w:rsidR="009E3E11" w:rsidRPr="0054775B" w:rsidRDefault="009E3E11" w:rsidP="00515FE7">
            <w:pPr>
              <w:pStyle w:val="2024TABLEHEADER"/>
            </w:pPr>
          </w:p>
        </w:tc>
        <w:tc>
          <w:tcPr>
            <w:tcW w:w="2126" w:type="dxa"/>
            <w:shd w:val="clear" w:color="auto" w:fill="D9D9D9" w:themeFill="background1" w:themeFillShade="D9"/>
          </w:tcPr>
          <w:p w14:paraId="064EE495" w14:textId="2783E4A2" w:rsidR="009E3E11" w:rsidRPr="0054775B" w:rsidRDefault="009E3E11" w:rsidP="00515FE7">
            <w:pPr>
              <w:pStyle w:val="2024TABLEHEADER"/>
            </w:pPr>
            <w:r w:rsidRPr="0054775B">
              <w:t>With fibromyalgia</w:t>
            </w:r>
          </w:p>
        </w:tc>
        <w:tc>
          <w:tcPr>
            <w:tcW w:w="2279" w:type="dxa"/>
            <w:shd w:val="clear" w:color="auto" w:fill="D9D9D9" w:themeFill="background1" w:themeFillShade="D9"/>
          </w:tcPr>
          <w:p w14:paraId="1BA3CF9E" w14:textId="376D9017" w:rsidR="009E3E11" w:rsidRPr="0054775B" w:rsidRDefault="009E3E11" w:rsidP="00515FE7">
            <w:pPr>
              <w:pStyle w:val="2024TABLEHEADER"/>
            </w:pPr>
            <w:r w:rsidRPr="0054775B">
              <w:t>At</w:t>
            </w:r>
            <w:r w:rsidR="007424FA" w:rsidRPr="0054775B">
              <w:t xml:space="preserve"> </w:t>
            </w:r>
            <w:r w:rsidRPr="0054775B">
              <w:t>risk of fibromyalgia</w:t>
            </w:r>
          </w:p>
        </w:tc>
      </w:tr>
      <w:tr w:rsidR="005059C4" w:rsidRPr="0054775B" w14:paraId="245613EF" w14:textId="77777777">
        <w:tc>
          <w:tcPr>
            <w:tcW w:w="4815" w:type="dxa"/>
            <w:shd w:val="clear" w:color="auto" w:fill="D9D9D9" w:themeFill="background1" w:themeFillShade="D9"/>
          </w:tcPr>
          <w:p w14:paraId="0E75EA87" w14:textId="46634943" w:rsidR="005059C4" w:rsidRPr="0054775B" w:rsidRDefault="005059C4" w:rsidP="00515FE7">
            <w:pPr>
              <w:pStyle w:val="2024TABLEHEADER"/>
            </w:pPr>
            <w:r w:rsidRPr="0054775B">
              <w:t>Magnesium VS placebo/sham/inactive control</w:t>
            </w:r>
          </w:p>
        </w:tc>
        <w:tc>
          <w:tcPr>
            <w:tcW w:w="2126" w:type="dxa"/>
          </w:tcPr>
          <w:p w14:paraId="5CB2FD1B" w14:textId="609C37F0" w:rsidR="005059C4" w:rsidRPr="0054775B" w:rsidRDefault="005059C4" w:rsidP="00C519F7">
            <w:pPr>
              <w:pStyle w:val="2024TABLEHEADER"/>
              <w:framePr w:hSpace="180" w:wrap="around" w:vAnchor="text" w:hAnchor="text" w:y="1"/>
              <w:suppressOverlap/>
              <w:rPr>
                <w:b w:val="0"/>
                <w:bCs w:val="0"/>
                <w:color w:val="000000"/>
              </w:rPr>
            </w:pPr>
            <w:r w:rsidRPr="0054775B">
              <w:rPr>
                <w:b w:val="0"/>
                <w:bCs w:val="0"/>
                <w:color w:val="000000"/>
              </w:rPr>
              <w:t>-</w:t>
            </w:r>
          </w:p>
        </w:tc>
        <w:tc>
          <w:tcPr>
            <w:tcW w:w="2279" w:type="dxa"/>
          </w:tcPr>
          <w:p w14:paraId="59A4DA43" w14:textId="2373867E" w:rsidR="005059C4" w:rsidRPr="0054775B" w:rsidRDefault="00901575" w:rsidP="00C519F7">
            <w:pPr>
              <w:pStyle w:val="2024TABLEHEADER"/>
              <w:framePr w:hSpace="180" w:wrap="around" w:vAnchor="text" w:hAnchor="text" w:y="1"/>
              <w:suppressOverlap/>
              <w:rPr>
                <w:b w:val="0"/>
                <w:bCs w:val="0"/>
                <w:color w:val="000000"/>
              </w:rPr>
            </w:pPr>
            <w:r w:rsidRPr="0054775B">
              <w:rPr>
                <w:b w:val="0"/>
                <w:bCs w:val="0"/>
                <w:color w:val="000000"/>
              </w:rPr>
              <w:t>-</w:t>
            </w:r>
          </w:p>
        </w:tc>
      </w:tr>
      <w:tr w:rsidR="005059C4" w:rsidRPr="0054775B" w14:paraId="7888CE6D" w14:textId="77777777" w:rsidTr="006F63D3">
        <w:trPr>
          <w:trHeight w:val="756"/>
        </w:trPr>
        <w:tc>
          <w:tcPr>
            <w:tcW w:w="4815" w:type="dxa"/>
            <w:shd w:val="clear" w:color="auto" w:fill="D9D9D9" w:themeFill="background1" w:themeFillShade="D9"/>
          </w:tcPr>
          <w:p w14:paraId="21630BC4" w14:textId="77777777" w:rsidR="005059C4" w:rsidRPr="0054775B" w:rsidRDefault="005059C4" w:rsidP="00515FE7">
            <w:pPr>
              <w:pStyle w:val="2024TABLEHEADER"/>
            </w:pPr>
            <w:r w:rsidRPr="0054775B">
              <w:t>Magnesium + naturopathy co-intervention VS placebo/sham/inactive control</w:t>
            </w:r>
          </w:p>
        </w:tc>
        <w:tc>
          <w:tcPr>
            <w:tcW w:w="2126" w:type="dxa"/>
          </w:tcPr>
          <w:p w14:paraId="6FC719FE" w14:textId="68FF70FA" w:rsidR="005059C4" w:rsidRPr="0054775B" w:rsidRDefault="005059C4" w:rsidP="00C519F7">
            <w:pPr>
              <w:pStyle w:val="2024TABLEHEADER"/>
              <w:framePr w:hSpace="180" w:wrap="around" w:vAnchor="text" w:hAnchor="text" w:y="1"/>
              <w:suppressOverlap/>
              <w:rPr>
                <w:b w:val="0"/>
                <w:bCs w:val="0"/>
                <w:color w:val="000000"/>
              </w:rPr>
            </w:pPr>
            <w:r w:rsidRPr="0054775B">
              <w:rPr>
                <w:b w:val="0"/>
                <w:bCs w:val="0"/>
                <w:color w:val="000000"/>
              </w:rPr>
              <w:t>Thorpe 2018</w:t>
            </w:r>
          </w:p>
        </w:tc>
        <w:tc>
          <w:tcPr>
            <w:tcW w:w="2279" w:type="dxa"/>
          </w:tcPr>
          <w:p w14:paraId="443D2387" w14:textId="1317A480" w:rsidR="005059C4" w:rsidRPr="0054775B" w:rsidRDefault="005059C4" w:rsidP="00C519F7">
            <w:pPr>
              <w:pStyle w:val="2024TABLEHEADER"/>
              <w:framePr w:hSpace="180" w:wrap="around" w:vAnchor="text" w:hAnchor="text" w:y="1"/>
              <w:suppressOverlap/>
              <w:rPr>
                <w:b w:val="0"/>
                <w:bCs w:val="0"/>
                <w:color w:val="000000"/>
              </w:rPr>
            </w:pPr>
            <w:r w:rsidRPr="0054775B">
              <w:rPr>
                <w:b w:val="0"/>
                <w:bCs w:val="0"/>
                <w:color w:val="000000"/>
              </w:rPr>
              <w:t>-</w:t>
            </w:r>
          </w:p>
        </w:tc>
      </w:tr>
    </w:tbl>
    <w:p w14:paraId="01031D31" w14:textId="77777777" w:rsidR="006D5D66" w:rsidRPr="0054775B" w:rsidRDefault="006D5D66" w:rsidP="009E6F7F">
      <w:pPr>
        <w:rPr>
          <w:color w:val="C00000"/>
          <w:spacing w:val="-2"/>
          <w:w w:val="105"/>
          <w:sz w:val="28"/>
          <w:szCs w:val="28"/>
        </w:rPr>
      </w:pPr>
      <w:r w:rsidRPr="0054775B">
        <w:br w:type="page"/>
      </w:r>
    </w:p>
    <w:p w14:paraId="38F72C7B" w14:textId="77777777" w:rsidR="007932FC" w:rsidRDefault="007932FC" w:rsidP="009E6F7F">
      <w:pPr>
        <w:sectPr w:rsidR="007932FC" w:rsidSect="006A72DC">
          <w:pgSz w:w="11910" w:h="16840"/>
          <w:pgMar w:top="1356" w:right="1340" w:bottom="280" w:left="1340" w:header="720" w:footer="720" w:gutter="0"/>
          <w:cols w:space="720"/>
        </w:sectPr>
      </w:pPr>
    </w:p>
    <w:p w14:paraId="4FB5AEBA" w14:textId="77777777" w:rsidR="00407E6A" w:rsidRPr="00407E6A" w:rsidRDefault="00407E6A" w:rsidP="00314BD4">
      <w:pPr>
        <w:pStyle w:val="2024HEADER3"/>
      </w:pPr>
      <w:r w:rsidRPr="00407E6A">
        <w:lastRenderedPageBreak/>
        <w:t>Summary of findings and evidence statements</w:t>
      </w:r>
    </w:p>
    <w:p w14:paraId="373529DA" w14:textId="6BBFFA75" w:rsidR="007932FC" w:rsidRPr="0054775B" w:rsidRDefault="007932FC" w:rsidP="007932FC">
      <w:pPr>
        <w:pStyle w:val="2024TABLECAPTION"/>
        <w:rPr>
          <w:rFonts w:ascii="Aptos" w:hAnsi="Aptos"/>
        </w:rPr>
      </w:pPr>
      <w:bookmarkStart w:id="128" w:name="_Toc185261623"/>
      <w:r w:rsidRPr="0054775B">
        <w:rPr>
          <w:rFonts w:ascii="Aptos" w:hAnsi="Aptos"/>
        </w:rPr>
        <w:t xml:space="preserve">Table </w:t>
      </w:r>
      <w:r w:rsidRPr="0054775B">
        <w:rPr>
          <w:rFonts w:ascii="Aptos" w:hAnsi="Aptos"/>
        </w:rPr>
        <w:fldChar w:fldCharType="begin"/>
      </w:r>
      <w:r w:rsidRPr="0054775B">
        <w:rPr>
          <w:rFonts w:ascii="Aptos" w:hAnsi="Aptos"/>
        </w:rPr>
        <w:instrText>SEQ Table \* ARABIC</w:instrText>
      </w:r>
      <w:r w:rsidRPr="0054775B">
        <w:rPr>
          <w:rFonts w:ascii="Aptos" w:hAnsi="Aptos"/>
        </w:rPr>
        <w:fldChar w:fldCharType="separate"/>
      </w:r>
      <w:r w:rsidR="00651E04">
        <w:rPr>
          <w:rFonts w:ascii="Aptos" w:hAnsi="Aptos"/>
          <w:noProof/>
        </w:rPr>
        <w:t>45</w:t>
      </w:r>
      <w:r w:rsidRPr="0054775B">
        <w:rPr>
          <w:rFonts w:ascii="Aptos" w:hAnsi="Aptos"/>
        </w:rPr>
        <w:fldChar w:fldCharType="end"/>
      </w:r>
      <w:r w:rsidRPr="0054775B">
        <w:rPr>
          <w:rFonts w:ascii="Aptos" w:hAnsi="Aptos"/>
        </w:rPr>
        <w:t>. Magnesium + naturopathy cointervention compared to placebo for people with fibromyalgia</w:t>
      </w:r>
      <w:bookmarkEnd w:id="128"/>
    </w:p>
    <w:tbl>
      <w:tblPr>
        <w:tblW w:w="4615" w:type="pct"/>
        <w:tblLayout w:type="fixed"/>
        <w:tblCellMar>
          <w:top w:w="28" w:type="dxa"/>
          <w:left w:w="57" w:type="dxa"/>
          <w:bottom w:w="28" w:type="dxa"/>
          <w:right w:w="28" w:type="dxa"/>
        </w:tblCellMar>
        <w:tblLook w:val="04A0" w:firstRow="1" w:lastRow="0" w:firstColumn="1" w:lastColumn="0" w:noHBand="0" w:noVBand="1"/>
      </w:tblPr>
      <w:tblGrid>
        <w:gridCol w:w="851"/>
        <w:gridCol w:w="4112"/>
        <w:gridCol w:w="1274"/>
        <w:gridCol w:w="1420"/>
        <w:gridCol w:w="1274"/>
        <w:gridCol w:w="1277"/>
        <w:gridCol w:w="3825"/>
      </w:tblGrid>
      <w:tr w:rsidR="007932FC" w:rsidRPr="0054775B" w14:paraId="359608BF" w14:textId="77777777" w:rsidTr="00F1522E">
        <w:trPr>
          <w:cantSplit/>
        </w:trPr>
        <w:tc>
          <w:tcPr>
            <w:tcW w:w="5000" w:type="pct"/>
            <w:gridSpan w:val="7"/>
            <w:tcBorders>
              <w:top w:val="single" w:sz="12" w:space="0" w:color="000000"/>
              <w:left w:val="nil"/>
              <w:bottom w:val="single" w:sz="12" w:space="0" w:color="000000"/>
              <w:right w:val="nil"/>
            </w:tcBorders>
          </w:tcPr>
          <w:p w14:paraId="0D93537C" w14:textId="77777777" w:rsidR="007932FC" w:rsidRPr="0054775B" w:rsidRDefault="007932FC" w:rsidP="00F1522E">
            <w:pPr>
              <w:pStyle w:val="2024TABLETEXT"/>
              <w:framePr w:hSpace="0" w:wrap="auto" w:vAnchor="margin" w:yAlign="inline"/>
              <w:suppressOverlap w:val="0"/>
              <w:rPr>
                <w:rStyle w:val="Strong"/>
              </w:rPr>
            </w:pPr>
            <w:r w:rsidRPr="0054775B">
              <w:rPr>
                <w:rStyle w:val="Strong"/>
                <w:b w:val="0"/>
                <w:bCs w:val="0"/>
              </w:rPr>
              <w:t>Patient or population:</w:t>
            </w:r>
            <w:r w:rsidRPr="0054775B">
              <w:rPr>
                <w:rStyle w:val="Strong"/>
              </w:rPr>
              <w:t xml:space="preserve"> Fibromyalgia</w:t>
            </w:r>
          </w:p>
          <w:p w14:paraId="67F673DE" w14:textId="77777777" w:rsidR="007932FC" w:rsidRPr="0054775B" w:rsidRDefault="007932FC" w:rsidP="00F1522E">
            <w:pPr>
              <w:pStyle w:val="2024TABLETEXT"/>
              <w:framePr w:hSpace="0" w:wrap="auto" w:vAnchor="margin" w:yAlign="inline"/>
              <w:suppressOverlap w:val="0"/>
              <w:rPr>
                <w:rStyle w:val="Strong"/>
              </w:rPr>
            </w:pPr>
            <w:r w:rsidRPr="0054775B">
              <w:rPr>
                <w:rStyle w:val="Strong"/>
                <w:b w:val="0"/>
                <w:bCs w:val="0"/>
              </w:rPr>
              <w:t>Intervention:</w:t>
            </w:r>
            <w:r w:rsidRPr="0054775B">
              <w:rPr>
                <w:rStyle w:val="Strong"/>
              </w:rPr>
              <w:t xml:space="preserve"> Magnesium + naturopathy cointervention</w:t>
            </w:r>
          </w:p>
          <w:p w14:paraId="74C7F1D9" w14:textId="77777777" w:rsidR="007932FC" w:rsidRPr="0054775B" w:rsidRDefault="007932FC" w:rsidP="00F1522E">
            <w:pPr>
              <w:pStyle w:val="2024TABLETEXT"/>
              <w:framePr w:hSpace="0" w:wrap="auto" w:vAnchor="margin" w:yAlign="inline"/>
              <w:suppressOverlap w:val="0"/>
            </w:pPr>
            <w:r w:rsidRPr="0054775B">
              <w:rPr>
                <w:rStyle w:val="Strong"/>
                <w:b w:val="0"/>
                <w:bCs w:val="0"/>
              </w:rPr>
              <w:t>Comparison:</w:t>
            </w:r>
            <w:r w:rsidRPr="0054775B">
              <w:rPr>
                <w:rStyle w:val="Strong"/>
              </w:rPr>
              <w:t xml:space="preserve"> Placebo/inactive control</w:t>
            </w:r>
          </w:p>
        </w:tc>
      </w:tr>
      <w:tr w:rsidR="007932FC" w:rsidRPr="0054775B" w14:paraId="2175E973" w14:textId="77777777" w:rsidTr="00F1522E">
        <w:trPr>
          <w:cantSplit/>
          <w:trHeight w:val="567"/>
        </w:trPr>
        <w:tc>
          <w:tcPr>
            <w:tcW w:w="303" w:type="pct"/>
            <w:tcBorders>
              <w:right w:val="single" w:sz="6" w:space="0" w:color="EFEFEF"/>
            </w:tcBorders>
            <w:shd w:val="clear" w:color="auto" w:fill="FFE599" w:themeFill="accent4" w:themeFillTint="66"/>
            <w:vAlign w:val="bottom"/>
          </w:tcPr>
          <w:p w14:paraId="57DA450D" w14:textId="77777777" w:rsidR="007932FC" w:rsidRPr="0054775B" w:rsidRDefault="007932FC" w:rsidP="00F1522E">
            <w:pPr>
              <w:pStyle w:val="2024TABLEHEADER"/>
            </w:pPr>
            <w:r w:rsidRPr="0054775B">
              <w:t>NTWC Rating*</w:t>
            </w:r>
          </w:p>
        </w:tc>
        <w:tc>
          <w:tcPr>
            <w:tcW w:w="1465" w:type="pct"/>
            <w:tcBorders>
              <w:right w:val="single" w:sz="6" w:space="0" w:color="EFEFEF"/>
            </w:tcBorders>
            <w:shd w:val="clear" w:color="auto" w:fill="FFE599" w:themeFill="accent4" w:themeFillTint="66"/>
            <w:vAlign w:val="bottom"/>
            <w:hideMark/>
          </w:tcPr>
          <w:p w14:paraId="6B97F05E" w14:textId="77777777" w:rsidR="007932FC" w:rsidRPr="0054775B" w:rsidRDefault="007932FC" w:rsidP="00F1522E">
            <w:pPr>
              <w:pStyle w:val="2024TABLEHEADER"/>
            </w:pPr>
            <w:r w:rsidRPr="0054775B">
              <w:t>Outcomes</w:t>
            </w:r>
          </w:p>
        </w:tc>
        <w:tc>
          <w:tcPr>
            <w:tcW w:w="454" w:type="pct"/>
            <w:shd w:val="clear" w:color="auto" w:fill="FFF2CC" w:themeFill="accent4" w:themeFillTint="33"/>
            <w:vAlign w:val="bottom"/>
          </w:tcPr>
          <w:p w14:paraId="3EED2E86" w14:textId="3D8C4B68" w:rsidR="007932FC" w:rsidRPr="0054775B" w:rsidRDefault="007932FC" w:rsidP="00F1522E">
            <w:pPr>
              <w:pStyle w:val="2024TABLEHEADER"/>
            </w:pPr>
            <w:r w:rsidRPr="0054775B">
              <w:t>Contributing review</w:t>
            </w:r>
          </w:p>
        </w:tc>
        <w:tc>
          <w:tcPr>
            <w:tcW w:w="506" w:type="pct"/>
            <w:tcBorders>
              <w:top w:val="single" w:sz="6" w:space="0" w:color="EFEFEF"/>
              <w:right w:val="single" w:sz="6" w:space="0" w:color="EFEFEF"/>
            </w:tcBorders>
            <w:shd w:val="clear" w:color="auto" w:fill="E0E0E0"/>
            <w:vAlign w:val="bottom"/>
          </w:tcPr>
          <w:p w14:paraId="2C1EA592" w14:textId="77777777" w:rsidR="007932FC" w:rsidRPr="0054775B" w:rsidRDefault="007932FC" w:rsidP="00F1522E">
            <w:pPr>
              <w:pStyle w:val="2024TABLEHEADER"/>
            </w:pPr>
            <w:r w:rsidRPr="0054775B">
              <w:t>Relative effect</w:t>
            </w:r>
            <w:r w:rsidRPr="0054775B">
              <w:br/>
              <w:t>(95% CI)</w:t>
            </w:r>
          </w:p>
        </w:tc>
        <w:tc>
          <w:tcPr>
            <w:tcW w:w="454" w:type="pct"/>
            <w:tcBorders>
              <w:right w:val="single" w:sz="6" w:space="0" w:color="EFEFEF"/>
            </w:tcBorders>
            <w:shd w:val="clear" w:color="auto" w:fill="FFE599" w:themeFill="accent4" w:themeFillTint="66"/>
            <w:vAlign w:val="bottom"/>
            <w:hideMark/>
          </w:tcPr>
          <w:p w14:paraId="2EC2922E" w14:textId="77777777" w:rsidR="007932FC" w:rsidRPr="0054775B" w:rsidRDefault="007932FC" w:rsidP="00F1522E">
            <w:pPr>
              <w:pStyle w:val="2024TABLEHEADER"/>
            </w:pPr>
            <w:r w:rsidRPr="0054775B">
              <w:t>№ of participants</w:t>
            </w:r>
            <w:r w:rsidRPr="0054775B">
              <w:br/>
              <w:t>(studies)</w:t>
            </w:r>
          </w:p>
        </w:tc>
        <w:tc>
          <w:tcPr>
            <w:tcW w:w="455" w:type="pct"/>
            <w:tcBorders>
              <w:right w:val="single" w:sz="6" w:space="0" w:color="EFEFEF"/>
            </w:tcBorders>
            <w:shd w:val="clear" w:color="auto" w:fill="FFE599" w:themeFill="accent4" w:themeFillTint="66"/>
            <w:vAlign w:val="bottom"/>
            <w:hideMark/>
          </w:tcPr>
          <w:p w14:paraId="796EB4C4" w14:textId="77777777" w:rsidR="007932FC" w:rsidRPr="0054775B" w:rsidRDefault="007932FC" w:rsidP="00F1522E">
            <w:pPr>
              <w:pStyle w:val="2024TABLEHEADER"/>
            </w:pPr>
            <w:r w:rsidRPr="0054775B">
              <w:t>Certainty of the evidence</w:t>
            </w:r>
            <w:r w:rsidRPr="0054775B">
              <w:br/>
              <w:t>(GRADE)</w:t>
            </w:r>
          </w:p>
        </w:tc>
        <w:tc>
          <w:tcPr>
            <w:tcW w:w="1363" w:type="pct"/>
            <w:tcBorders>
              <w:right w:val="single" w:sz="6" w:space="0" w:color="EFEFEF"/>
            </w:tcBorders>
            <w:shd w:val="clear" w:color="auto" w:fill="FFE599" w:themeFill="accent4" w:themeFillTint="66"/>
            <w:vAlign w:val="bottom"/>
            <w:hideMark/>
          </w:tcPr>
          <w:p w14:paraId="2719BD0A" w14:textId="77777777" w:rsidR="007932FC" w:rsidRPr="0054775B" w:rsidRDefault="007932FC" w:rsidP="00F1522E">
            <w:pPr>
              <w:pStyle w:val="2024TABLEHEADER"/>
            </w:pPr>
            <w:r w:rsidRPr="0054775B">
              <w:t>Evidence statement</w:t>
            </w:r>
          </w:p>
        </w:tc>
      </w:tr>
      <w:tr w:rsidR="007932FC" w:rsidRPr="0054775B" w14:paraId="4A1EBE60" w14:textId="77777777" w:rsidTr="00F1522E">
        <w:trPr>
          <w:cantSplit/>
        </w:trPr>
        <w:tc>
          <w:tcPr>
            <w:tcW w:w="303" w:type="pct"/>
            <w:tcBorders>
              <w:top w:val="single" w:sz="6" w:space="0" w:color="000000"/>
              <w:left w:val="nil"/>
              <w:bottom w:val="single" w:sz="6" w:space="0" w:color="000000"/>
              <w:right w:val="nil"/>
            </w:tcBorders>
            <w:vAlign w:val="center"/>
          </w:tcPr>
          <w:p w14:paraId="438998D3" w14:textId="77777777" w:rsidR="007932FC" w:rsidRPr="0054775B" w:rsidRDefault="007932FC" w:rsidP="00F1522E">
            <w:pPr>
              <w:pStyle w:val="2024TABLETEXT"/>
              <w:framePr w:hSpace="0" w:wrap="auto" w:vAnchor="margin" w:yAlign="inline"/>
              <w:suppressOverlap w:val="0"/>
            </w:pPr>
            <w:r w:rsidRPr="0054775B">
              <w:t>9</w:t>
            </w:r>
          </w:p>
        </w:tc>
        <w:tc>
          <w:tcPr>
            <w:tcW w:w="1465" w:type="pct"/>
            <w:tcBorders>
              <w:top w:val="single" w:sz="6" w:space="0" w:color="000000"/>
              <w:left w:val="nil"/>
              <w:bottom w:val="single" w:sz="6" w:space="0" w:color="000000"/>
              <w:right w:val="nil"/>
            </w:tcBorders>
            <w:vAlign w:val="center"/>
          </w:tcPr>
          <w:p w14:paraId="10B8AB66" w14:textId="77777777" w:rsidR="007932FC" w:rsidRPr="0054775B" w:rsidRDefault="007932FC" w:rsidP="00F1522E">
            <w:pPr>
              <w:pStyle w:val="2024TABLETEXT"/>
              <w:framePr w:hSpace="0" w:wrap="auto" w:vAnchor="margin" w:yAlign="inline"/>
              <w:spacing w:after="120"/>
              <w:suppressOverlap w:val="0"/>
              <w:rPr>
                <w:b/>
                <w:bCs/>
              </w:rPr>
            </w:pPr>
            <w:r w:rsidRPr="0054775B">
              <w:rPr>
                <w:b/>
                <w:bCs/>
              </w:rPr>
              <w:t>Pain</w:t>
            </w:r>
          </w:p>
          <w:p w14:paraId="17942C3E" w14:textId="77777777" w:rsidR="007932FC" w:rsidRPr="0054775B" w:rsidRDefault="007932FC" w:rsidP="00F1522E">
            <w:pPr>
              <w:pStyle w:val="2024TABLETEXT"/>
              <w:framePr w:hSpace="0" w:wrap="auto" w:vAnchor="margin" w:yAlign="inline"/>
              <w:ind w:left="370"/>
              <w:suppressOverlap w:val="0"/>
            </w:pPr>
            <w:r w:rsidRPr="0054775B">
              <w:rPr>
                <w:b/>
                <w:bCs/>
              </w:rPr>
              <w:t>Dose:</w:t>
            </w:r>
            <w:r w:rsidRPr="0054775B">
              <w:t xml:space="preserve"> 150 mg Magnesium hydroxide + 600 mg malic acid, twice per day for 4 weeks</w:t>
            </w:r>
          </w:p>
          <w:p w14:paraId="2A72053D" w14:textId="77777777" w:rsidR="007932FC" w:rsidRPr="0054775B" w:rsidRDefault="007932FC" w:rsidP="00F1522E">
            <w:pPr>
              <w:pStyle w:val="2024TABLETEXT"/>
              <w:framePr w:hSpace="0" w:wrap="auto" w:vAnchor="margin" w:yAlign="inline"/>
              <w:ind w:left="370"/>
              <w:suppressOverlap w:val="0"/>
            </w:pPr>
            <w:r w:rsidRPr="0054775B">
              <w:rPr>
                <w:b/>
                <w:bCs/>
              </w:rPr>
              <w:t>Assessed with:</w:t>
            </w:r>
            <w:r w:rsidRPr="0054775B">
              <w:t xml:space="preserve"> VAS</w:t>
            </w:r>
          </w:p>
          <w:p w14:paraId="733FD045" w14:textId="77777777" w:rsidR="007932FC" w:rsidRPr="0054775B" w:rsidRDefault="007932FC" w:rsidP="00F1522E">
            <w:pPr>
              <w:pStyle w:val="2024TABLETEXT"/>
              <w:framePr w:hSpace="0" w:wrap="auto" w:vAnchor="margin" w:yAlign="inline"/>
              <w:ind w:left="370"/>
              <w:suppressOverlap w:val="0"/>
            </w:pPr>
            <w:r w:rsidRPr="0054775B">
              <w:rPr>
                <w:b/>
                <w:bCs/>
              </w:rPr>
              <w:t>Follow up:</w:t>
            </w:r>
            <w:r w:rsidRPr="0054775B">
              <w:t xml:space="preserve"> 4, 6 10 and 12 weeks</w:t>
            </w:r>
          </w:p>
        </w:tc>
        <w:tc>
          <w:tcPr>
            <w:tcW w:w="454" w:type="pct"/>
            <w:tcBorders>
              <w:top w:val="single" w:sz="6" w:space="0" w:color="000000"/>
              <w:left w:val="nil"/>
              <w:bottom w:val="single" w:sz="6" w:space="0" w:color="000000"/>
              <w:right w:val="nil"/>
            </w:tcBorders>
            <w:vAlign w:val="center"/>
          </w:tcPr>
          <w:p w14:paraId="7225E278" w14:textId="77777777" w:rsidR="007932FC" w:rsidRPr="0054775B" w:rsidRDefault="007932FC" w:rsidP="00F1522E">
            <w:pPr>
              <w:pStyle w:val="2024TABLETEXT"/>
              <w:framePr w:hSpace="0" w:wrap="auto" w:vAnchor="margin" w:yAlign="inline"/>
              <w:suppressOverlap w:val="0"/>
            </w:pPr>
            <w:r w:rsidRPr="0054775B">
              <w:t>Thorpe 2018</w:t>
            </w:r>
          </w:p>
        </w:tc>
        <w:tc>
          <w:tcPr>
            <w:tcW w:w="506" w:type="pct"/>
            <w:tcBorders>
              <w:top w:val="single" w:sz="6" w:space="0" w:color="000000"/>
              <w:left w:val="nil"/>
              <w:bottom w:val="single" w:sz="6" w:space="0" w:color="000000"/>
              <w:right w:val="nil"/>
            </w:tcBorders>
            <w:shd w:val="clear" w:color="auto" w:fill="auto"/>
            <w:vAlign w:val="center"/>
          </w:tcPr>
          <w:p w14:paraId="453879FE" w14:textId="3FE75383" w:rsidR="007932FC" w:rsidRPr="0054775B" w:rsidRDefault="004B1A6D" w:rsidP="00F1522E">
            <w:pPr>
              <w:pStyle w:val="2024TABLETEXT"/>
              <w:framePr w:hSpace="0" w:wrap="auto" w:vAnchor="margin" w:yAlign="inline"/>
              <w:suppressOverlap w:val="0"/>
            </w:pPr>
            <w:r>
              <w:t>Effect</w:t>
            </w:r>
            <w:r w:rsidRPr="0054775B">
              <w:t xml:space="preserve"> sizes NR</w:t>
            </w:r>
            <w:r>
              <w:t>#</w:t>
            </w:r>
          </w:p>
        </w:tc>
        <w:tc>
          <w:tcPr>
            <w:tcW w:w="454" w:type="pct"/>
            <w:tcBorders>
              <w:top w:val="single" w:sz="6" w:space="0" w:color="000000"/>
              <w:left w:val="nil"/>
              <w:bottom w:val="single" w:sz="6" w:space="0" w:color="000000"/>
              <w:right w:val="nil"/>
            </w:tcBorders>
            <w:vAlign w:val="center"/>
          </w:tcPr>
          <w:p w14:paraId="22ACE4BC" w14:textId="77777777" w:rsidR="007932FC" w:rsidRPr="0054775B" w:rsidRDefault="007932FC" w:rsidP="00F1522E">
            <w:pPr>
              <w:pStyle w:val="2024TABLETEXT"/>
              <w:framePr w:hSpace="0" w:wrap="auto" w:vAnchor="margin" w:yAlign="inline"/>
              <w:suppressOverlap w:val="0"/>
            </w:pPr>
            <w:r w:rsidRPr="0054775B">
              <w:t>20 (1)</w:t>
            </w:r>
          </w:p>
        </w:tc>
        <w:tc>
          <w:tcPr>
            <w:tcW w:w="455" w:type="pct"/>
            <w:tcBorders>
              <w:top w:val="single" w:sz="6" w:space="0" w:color="000000"/>
              <w:left w:val="nil"/>
              <w:bottom w:val="single" w:sz="6" w:space="0" w:color="000000"/>
              <w:right w:val="nil"/>
            </w:tcBorders>
            <w:vAlign w:val="center"/>
          </w:tcPr>
          <w:p w14:paraId="5DCFC382" w14:textId="77777777" w:rsidR="007932FC" w:rsidRPr="0054775B" w:rsidRDefault="007932FC" w:rsidP="00F1522E">
            <w:pPr>
              <w:pStyle w:val="2024TABLETEXT"/>
              <w:framePr w:hSpace="0" w:wrap="auto" w:vAnchor="margin" w:yAlign="inline"/>
              <w:suppressOverlap w:val="0"/>
            </w:pPr>
            <w:r w:rsidRPr="0054775B">
              <w:rPr>
                <w:rFonts w:ascii="Cambria Math" w:hAnsi="Cambria Math" w:cs="Cambria Math"/>
                <w:sz w:val="22"/>
                <w:szCs w:val="22"/>
              </w:rPr>
              <w:t>⨁</w:t>
            </w:r>
            <w:r w:rsidRPr="0054775B">
              <w:rPr>
                <w:rFonts w:ascii="Segoe UI Symbol" w:hAnsi="Segoe UI Symbol" w:cs="Segoe UI Symbol"/>
              </w:rPr>
              <w:t>◯◯◯</w:t>
            </w:r>
            <w:r w:rsidRPr="0054775B">
              <w:br/>
              <w:t>VERY LOW</w:t>
            </w:r>
            <w:r w:rsidRPr="0054775B">
              <w:rPr>
                <w:rStyle w:val="FootnoteReference"/>
              </w:rPr>
              <w:t xml:space="preserve"> </w:t>
            </w:r>
            <w:r w:rsidRPr="0054775B">
              <w:rPr>
                <w:vertAlign w:val="superscript"/>
              </w:rPr>
              <w:t>a</w:t>
            </w:r>
          </w:p>
        </w:tc>
        <w:tc>
          <w:tcPr>
            <w:tcW w:w="1363" w:type="pct"/>
            <w:tcBorders>
              <w:top w:val="single" w:sz="6" w:space="0" w:color="000000"/>
              <w:left w:val="nil"/>
              <w:bottom w:val="single" w:sz="6" w:space="0" w:color="000000"/>
              <w:right w:val="nil"/>
            </w:tcBorders>
            <w:vAlign w:val="center"/>
          </w:tcPr>
          <w:p w14:paraId="068C2972" w14:textId="77777777" w:rsidR="007932FC" w:rsidRPr="0054775B" w:rsidRDefault="007932FC" w:rsidP="00F1522E">
            <w:pPr>
              <w:pStyle w:val="2024TABLETEXT"/>
              <w:framePr w:hSpace="0" w:wrap="auto" w:vAnchor="margin" w:yAlign="inline"/>
              <w:suppressOverlap w:val="0"/>
            </w:pPr>
            <w:r w:rsidRPr="0054775B">
              <w:t>The evidence is very uncertain about the effect of magnesium + naturopathy cointervention on pain in people with fibromyalgia.</w:t>
            </w:r>
          </w:p>
        </w:tc>
      </w:tr>
      <w:tr w:rsidR="007932FC" w:rsidRPr="0054775B" w14:paraId="798662DE" w14:textId="77777777" w:rsidTr="00F1522E">
        <w:trPr>
          <w:cantSplit/>
        </w:trPr>
        <w:tc>
          <w:tcPr>
            <w:tcW w:w="303" w:type="pct"/>
            <w:tcBorders>
              <w:top w:val="single" w:sz="6" w:space="0" w:color="000000"/>
              <w:left w:val="nil"/>
              <w:bottom w:val="single" w:sz="6" w:space="0" w:color="000000"/>
              <w:right w:val="nil"/>
            </w:tcBorders>
            <w:vAlign w:val="center"/>
          </w:tcPr>
          <w:p w14:paraId="187A390D" w14:textId="77777777" w:rsidR="007932FC" w:rsidRPr="0054775B" w:rsidRDefault="007932FC" w:rsidP="00F1522E">
            <w:pPr>
              <w:pStyle w:val="2024TABLETEXT"/>
              <w:framePr w:hSpace="0" w:wrap="auto" w:vAnchor="margin" w:yAlign="inline"/>
              <w:suppressOverlap w:val="0"/>
            </w:pPr>
            <w:r w:rsidRPr="0054775B">
              <w:t>9</w:t>
            </w:r>
          </w:p>
        </w:tc>
        <w:tc>
          <w:tcPr>
            <w:tcW w:w="1465" w:type="pct"/>
            <w:tcBorders>
              <w:top w:val="single" w:sz="6" w:space="0" w:color="000000"/>
              <w:left w:val="nil"/>
              <w:bottom w:val="single" w:sz="6" w:space="0" w:color="000000"/>
              <w:right w:val="nil"/>
            </w:tcBorders>
            <w:vAlign w:val="center"/>
          </w:tcPr>
          <w:p w14:paraId="23EB68D6" w14:textId="77777777" w:rsidR="007932FC" w:rsidRPr="0054775B" w:rsidRDefault="007932FC" w:rsidP="00F1522E">
            <w:pPr>
              <w:pStyle w:val="2024TABLETEXT"/>
              <w:framePr w:hSpace="0" w:wrap="auto" w:vAnchor="margin" w:yAlign="inline"/>
              <w:spacing w:after="120"/>
              <w:suppressOverlap w:val="0"/>
              <w:rPr>
                <w:b/>
                <w:bCs/>
              </w:rPr>
            </w:pPr>
            <w:r w:rsidRPr="0054775B">
              <w:rPr>
                <w:b/>
                <w:bCs/>
              </w:rPr>
              <w:t>Function/Disability</w:t>
            </w:r>
          </w:p>
          <w:p w14:paraId="1921ADAA" w14:textId="77777777" w:rsidR="007932FC" w:rsidRPr="0054775B" w:rsidRDefault="007932FC" w:rsidP="00F1522E">
            <w:pPr>
              <w:pStyle w:val="2024TABLETEXT"/>
              <w:framePr w:hSpace="0" w:wrap="auto" w:vAnchor="margin" w:yAlign="inline"/>
              <w:ind w:left="370"/>
              <w:suppressOverlap w:val="0"/>
            </w:pPr>
            <w:r w:rsidRPr="0054775B">
              <w:rPr>
                <w:b/>
                <w:bCs/>
              </w:rPr>
              <w:t>Dose:</w:t>
            </w:r>
            <w:r w:rsidRPr="0054775B">
              <w:t xml:space="preserve"> 150 mg Magnesium hydroxide + 600 mg malic acid, twice per day for 4 weeks</w:t>
            </w:r>
          </w:p>
          <w:p w14:paraId="3C101705" w14:textId="77777777" w:rsidR="007932FC" w:rsidRPr="0054775B" w:rsidRDefault="007932FC" w:rsidP="00F1522E">
            <w:pPr>
              <w:pStyle w:val="2024TABLETEXT"/>
              <w:framePr w:hSpace="0" w:wrap="auto" w:vAnchor="margin" w:yAlign="inline"/>
              <w:ind w:left="370"/>
              <w:suppressOverlap w:val="0"/>
            </w:pPr>
            <w:r w:rsidRPr="0054775B">
              <w:rPr>
                <w:b/>
                <w:bCs/>
              </w:rPr>
              <w:t>Assessed with:</w:t>
            </w:r>
            <w:r w:rsidRPr="0054775B">
              <w:t xml:space="preserve"> Health Assessment Questionnaire</w:t>
            </w:r>
          </w:p>
          <w:p w14:paraId="504FE080" w14:textId="77777777" w:rsidR="007932FC" w:rsidRPr="0054775B" w:rsidRDefault="007932FC" w:rsidP="00F1522E">
            <w:pPr>
              <w:pStyle w:val="2024TABLETEXT"/>
              <w:framePr w:hSpace="0" w:wrap="auto" w:vAnchor="margin" w:yAlign="inline"/>
              <w:ind w:left="370"/>
              <w:suppressOverlap w:val="0"/>
            </w:pPr>
            <w:r w:rsidRPr="0054775B">
              <w:rPr>
                <w:b/>
                <w:bCs/>
              </w:rPr>
              <w:t>Follow up:</w:t>
            </w:r>
            <w:r w:rsidRPr="0054775B">
              <w:t xml:space="preserve"> 4, 6 10 and 12 weeks</w:t>
            </w:r>
          </w:p>
        </w:tc>
        <w:tc>
          <w:tcPr>
            <w:tcW w:w="454" w:type="pct"/>
            <w:tcBorders>
              <w:top w:val="single" w:sz="6" w:space="0" w:color="000000"/>
              <w:left w:val="nil"/>
              <w:bottom w:val="single" w:sz="6" w:space="0" w:color="000000"/>
              <w:right w:val="nil"/>
            </w:tcBorders>
            <w:vAlign w:val="center"/>
          </w:tcPr>
          <w:p w14:paraId="2364657E" w14:textId="77777777" w:rsidR="007932FC" w:rsidRPr="0054775B" w:rsidRDefault="007932FC" w:rsidP="00F1522E">
            <w:pPr>
              <w:pStyle w:val="2024TABLETEXT"/>
              <w:framePr w:hSpace="0" w:wrap="auto" w:vAnchor="margin" w:yAlign="inline"/>
              <w:suppressOverlap w:val="0"/>
            </w:pPr>
            <w:r w:rsidRPr="0054775B">
              <w:t>Thorpe 2018</w:t>
            </w:r>
          </w:p>
        </w:tc>
        <w:tc>
          <w:tcPr>
            <w:tcW w:w="506" w:type="pct"/>
            <w:tcBorders>
              <w:top w:val="single" w:sz="6" w:space="0" w:color="000000"/>
              <w:left w:val="nil"/>
              <w:bottom w:val="single" w:sz="6" w:space="0" w:color="000000"/>
              <w:right w:val="nil"/>
            </w:tcBorders>
            <w:shd w:val="clear" w:color="auto" w:fill="auto"/>
            <w:vAlign w:val="center"/>
          </w:tcPr>
          <w:p w14:paraId="6E27FC56" w14:textId="16B1E441" w:rsidR="007932FC" w:rsidRPr="0054775B" w:rsidRDefault="004B1A6D" w:rsidP="00F1522E">
            <w:pPr>
              <w:pStyle w:val="2024TABLETEXT"/>
              <w:framePr w:hSpace="0" w:wrap="auto" w:vAnchor="margin" w:yAlign="inline"/>
              <w:suppressOverlap w:val="0"/>
            </w:pPr>
            <w:r>
              <w:t>Effect</w:t>
            </w:r>
            <w:r w:rsidRPr="0054775B">
              <w:t xml:space="preserve"> sizes NR</w:t>
            </w:r>
            <w:r>
              <w:t>#</w:t>
            </w:r>
          </w:p>
        </w:tc>
        <w:tc>
          <w:tcPr>
            <w:tcW w:w="454" w:type="pct"/>
            <w:tcBorders>
              <w:top w:val="single" w:sz="6" w:space="0" w:color="000000"/>
              <w:left w:val="nil"/>
              <w:bottom w:val="single" w:sz="6" w:space="0" w:color="000000"/>
              <w:right w:val="nil"/>
            </w:tcBorders>
            <w:vAlign w:val="center"/>
          </w:tcPr>
          <w:p w14:paraId="0F085599" w14:textId="77777777" w:rsidR="007932FC" w:rsidRPr="0054775B" w:rsidRDefault="007932FC" w:rsidP="00F1522E">
            <w:pPr>
              <w:pStyle w:val="2024TABLETEXT"/>
              <w:framePr w:hSpace="0" w:wrap="auto" w:vAnchor="margin" w:yAlign="inline"/>
              <w:suppressOverlap w:val="0"/>
            </w:pPr>
            <w:r w:rsidRPr="0054775B">
              <w:t>20 (1)</w:t>
            </w:r>
          </w:p>
        </w:tc>
        <w:tc>
          <w:tcPr>
            <w:tcW w:w="455" w:type="pct"/>
            <w:tcBorders>
              <w:top w:val="single" w:sz="6" w:space="0" w:color="000000"/>
              <w:left w:val="nil"/>
              <w:bottom w:val="single" w:sz="6" w:space="0" w:color="000000"/>
              <w:right w:val="nil"/>
            </w:tcBorders>
            <w:vAlign w:val="center"/>
          </w:tcPr>
          <w:p w14:paraId="4DC886B4" w14:textId="77777777" w:rsidR="007932FC" w:rsidRPr="0054775B" w:rsidRDefault="007932FC" w:rsidP="00F1522E">
            <w:pPr>
              <w:pStyle w:val="2024TABLETEXT"/>
              <w:framePr w:hSpace="0" w:wrap="auto" w:vAnchor="margin" w:yAlign="inline"/>
              <w:suppressOverlap w:val="0"/>
            </w:pPr>
            <w:r w:rsidRPr="0054775B">
              <w:rPr>
                <w:rFonts w:ascii="Cambria Math" w:hAnsi="Cambria Math" w:cs="Cambria Math"/>
                <w:sz w:val="22"/>
                <w:szCs w:val="22"/>
              </w:rPr>
              <w:t>⨁</w:t>
            </w:r>
            <w:r w:rsidRPr="0054775B">
              <w:rPr>
                <w:rFonts w:ascii="Segoe UI Symbol" w:hAnsi="Segoe UI Symbol" w:cs="Segoe UI Symbol"/>
              </w:rPr>
              <w:t>◯◯◯</w:t>
            </w:r>
            <w:r w:rsidRPr="0054775B">
              <w:br/>
              <w:t>VERY LOW</w:t>
            </w:r>
            <w:r w:rsidRPr="0054775B">
              <w:rPr>
                <w:rStyle w:val="FootnoteReference"/>
              </w:rPr>
              <w:t xml:space="preserve"> </w:t>
            </w:r>
            <w:r w:rsidRPr="0054775B">
              <w:rPr>
                <w:vertAlign w:val="superscript"/>
              </w:rPr>
              <w:t>a</w:t>
            </w:r>
          </w:p>
        </w:tc>
        <w:tc>
          <w:tcPr>
            <w:tcW w:w="1363" w:type="pct"/>
            <w:tcBorders>
              <w:top w:val="single" w:sz="6" w:space="0" w:color="000000"/>
              <w:left w:val="nil"/>
              <w:bottom w:val="single" w:sz="6" w:space="0" w:color="000000"/>
              <w:right w:val="nil"/>
            </w:tcBorders>
            <w:vAlign w:val="center"/>
          </w:tcPr>
          <w:p w14:paraId="20E4831B" w14:textId="77777777" w:rsidR="007932FC" w:rsidRPr="0054775B" w:rsidRDefault="007932FC" w:rsidP="00F1522E">
            <w:pPr>
              <w:pStyle w:val="2024TABLETEXT"/>
              <w:framePr w:hSpace="0" w:wrap="auto" w:vAnchor="margin" w:yAlign="inline"/>
              <w:suppressOverlap w:val="0"/>
            </w:pPr>
            <w:r w:rsidRPr="0054775B">
              <w:t>The evidence is very uncertain about the effect of magnesium + naturopathy cointervention on function/disability in people with fibromyalgia.</w:t>
            </w:r>
          </w:p>
        </w:tc>
      </w:tr>
      <w:tr w:rsidR="007932FC" w:rsidRPr="0054775B" w14:paraId="0B1EE6BF" w14:textId="77777777" w:rsidTr="00F1522E">
        <w:trPr>
          <w:cantSplit/>
        </w:trPr>
        <w:tc>
          <w:tcPr>
            <w:tcW w:w="303" w:type="pct"/>
            <w:tcBorders>
              <w:top w:val="single" w:sz="6" w:space="0" w:color="000000"/>
              <w:left w:val="nil"/>
              <w:bottom w:val="single" w:sz="6" w:space="0" w:color="000000"/>
              <w:right w:val="nil"/>
            </w:tcBorders>
            <w:vAlign w:val="center"/>
          </w:tcPr>
          <w:p w14:paraId="338BEA77" w14:textId="77777777" w:rsidR="007932FC" w:rsidRPr="0054775B" w:rsidRDefault="007932FC" w:rsidP="00F1522E">
            <w:pPr>
              <w:pStyle w:val="2024TABLETEXT"/>
              <w:framePr w:hSpace="0" w:wrap="auto" w:vAnchor="margin" w:yAlign="inline"/>
              <w:suppressOverlap w:val="0"/>
            </w:pPr>
            <w:r w:rsidRPr="0054775B">
              <w:t>9</w:t>
            </w:r>
          </w:p>
        </w:tc>
        <w:tc>
          <w:tcPr>
            <w:tcW w:w="1465" w:type="pct"/>
            <w:tcBorders>
              <w:top w:val="single" w:sz="6" w:space="0" w:color="000000"/>
              <w:left w:val="nil"/>
              <w:bottom w:val="single" w:sz="6" w:space="0" w:color="000000"/>
              <w:right w:val="nil"/>
            </w:tcBorders>
            <w:vAlign w:val="center"/>
          </w:tcPr>
          <w:p w14:paraId="19AEAED3" w14:textId="77777777" w:rsidR="007932FC" w:rsidRPr="0054775B" w:rsidRDefault="007932FC" w:rsidP="00F1522E">
            <w:pPr>
              <w:pStyle w:val="2024TABLETEXT"/>
              <w:framePr w:hSpace="0" w:wrap="auto" w:vAnchor="margin" w:yAlign="inline"/>
              <w:suppressOverlap w:val="0"/>
              <w:rPr>
                <w:b/>
                <w:bCs/>
              </w:rPr>
            </w:pPr>
            <w:r w:rsidRPr="0054775B">
              <w:rPr>
                <w:b/>
                <w:bCs/>
              </w:rPr>
              <w:t>Global assessment of condition</w:t>
            </w:r>
          </w:p>
        </w:tc>
        <w:tc>
          <w:tcPr>
            <w:tcW w:w="454" w:type="pct"/>
            <w:tcBorders>
              <w:top w:val="single" w:sz="6" w:space="0" w:color="000000"/>
              <w:left w:val="nil"/>
              <w:bottom w:val="single" w:sz="6" w:space="0" w:color="000000"/>
              <w:right w:val="nil"/>
            </w:tcBorders>
            <w:vAlign w:val="center"/>
          </w:tcPr>
          <w:p w14:paraId="5D759517" w14:textId="77777777" w:rsidR="007932FC" w:rsidRPr="0054775B" w:rsidRDefault="007932FC" w:rsidP="00F1522E">
            <w:pPr>
              <w:pStyle w:val="2024TABLETEXT"/>
              <w:framePr w:hSpace="0" w:wrap="auto" w:vAnchor="margin" w:yAlign="inline"/>
              <w:suppressOverlap w:val="0"/>
            </w:pPr>
            <w:r w:rsidRPr="0054775B">
              <w:t>-</w:t>
            </w:r>
          </w:p>
        </w:tc>
        <w:tc>
          <w:tcPr>
            <w:tcW w:w="506" w:type="pct"/>
            <w:tcBorders>
              <w:top w:val="single" w:sz="6" w:space="0" w:color="000000"/>
              <w:left w:val="nil"/>
              <w:bottom w:val="single" w:sz="6" w:space="0" w:color="000000"/>
              <w:right w:val="nil"/>
            </w:tcBorders>
            <w:shd w:val="clear" w:color="auto" w:fill="auto"/>
            <w:vAlign w:val="center"/>
          </w:tcPr>
          <w:p w14:paraId="02E5754A" w14:textId="77777777" w:rsidR="007932FC" w:rsidRPr="0054775B" w:rsidRDefault="007932FC" w:rsidP="00F1522E">
            <w:pPr>
              <w:pStyle w:val="2024TABLETEXT"/>
              <w:framePr w:hSpace="0" w:wrap="auto" w:vAnchor="margin" w:yAlign="inline"/>
              <w:suppressOverlap w:val="0"/>
            </w:pPr>
            <w:r w:rsidRPr="0054775B">
              <w:t>-</w:t>
            </w:r>
          </w:p>
        </w:tc>
        <w:tc>
          <w:tcPr>
            <w:tcW w:w="454" w:type="pct"/>
            <w:tcBorders>
              <w:top w:val="single" w:sz="6" w:space="0" w:color="000000"/>
              <w:left w:val="nil"/>
              <w:bottom w:val="single" w:sz="6" w:space="0" w:color="000000"/>
              <w:right w:val="nil"/>
            </w:tcBorders>
            <w:vAlign w:val="center"/>
          </w:tcPr>
          <w:p w14:paraId="37D15ADF" w14:textId="77777777" w:rsidR="007932FC" w:rsidRPr="0054775B" w:rsidRDefault="007932FC" w:rsidP="00F1522E">
            <w:pPr>
              <w:pStyle w:val="2024TABLETEXT"/>
              <w:framePr w:hSpace="0" w:wrap="auto" w:vAnchor="margin" w:yAlign="inline"/>
              <w:suppressOverlap w:val="0"/>
            </w:pPr>
            <w:r w:rsidRPr="0054775B">
              <w:t>-</w:t>
            </w:r>
          </w:p>
        </w:tc>
        <w:tc>
          <w:tcPr>
            <w:tcW w:w="455" w:type="pct"/>
            <w:tcBorders>
              <w:top w:val="single" w:sz="6" w:space="0" w:color="000000"/>
              <w:left w:val="nil"/>
              <w:bottom w:val="single" w:sz="6" w:space="0" w:color="000000"/>
              <w:right w:val="nil"/>
            </w:tcBorders>
            <w:vAlign w:val="center"/>
          </w:tcPr>
          <w:p w14:paraId="7597DF53" w14:textId="77777777" w:rsidR="007932FC" w:rsidRPr="0054775B" w:rsidRDefault="007932FC" w:rsidP="00F1522E">
            <w:pPr>
              <w:pStyle w:val="2024TABLETEXT"/>
              <w:framePr w:hSpace="0" w:wrap="auto" w:vAnchor="margin" w:yAlign="inline"/>
              <w:suppressOverlap w:val="0"/>
            </w:pPr>
            <w:r w:rsidRPr="0054775B">
              <w:t>-</w:t>
            </w:r>
          </w:p>
        </w:tc>
        <w:tc>
          <w:tcPr>
            <w:tcW w:w="1363" w:type="pct"/>
            <w:tcBorders>
              <w:top w:val="single" w:sz="6" w:space="0" w:color="000000"/>
              <w:left w:val="nil"/>
              <w:bottom w:val="single" w:sz="6" w:space="0" w:color="000000"/>
              <w:right w:val="nil"/>
            </w:tcBorders>
            <w:vAlign w:val="center"/>
          </w:tcPr>
          <w:p w14:paraId="5E5F5A7A" w14:textId="45F50F81" w:rsidR="007932FC" w:rsidRPr="0054775B" w:rsidRDefault="007932FC" w:rsidP="00F1522E">
            <w:pPr>
              <w:pStyle w:val="2024TABLETEXT"/>
              <w:framePr w:hSpace="0" w:wrap="auto" w:vAnchor="margin" w:yAlign="inline"/>
              <w:suppressOverlap w:val="0"/>
            </w:pPr>
            <w:r w:rsidRPr="0054775B">
              <w:t xml:space="preserve">No </w:t>
            </w:r>
            <w:r w:rsidR="008E7717">
              <w:t>reviews</w:t>
            </w:r>
            <w:r w:rsidR="008E7717" w:rsidRPr="0054775B">
              <w:t xml:space="preserve"> </w:t>
            </w:r>
            <w:r w:rsidRPr="0054775B">
              <w:t>found. The effect of magnesium + naturopathy cointervention on global assessment of condition for people with fibromyalgia is unknown.</w:t>
            </w:r>
          </w:p>
        </w:tc>
      </w:tr>
      <w:tr w:rsidR="007932FC" w:rsidRPr="0054775B" w14:paraId="42B06812" w14:textId="77777777" w:rsidTr="00F1522E">
        <w:trPr>
          <w:cantSplit/>
        </w:trPr>
        <w:tc>
          <w:tcPr>
            <w:tcW w:w="303" w:type="pct"/>
            <w:tcBorders>
              <w:top w:val="single" w:sz="6" w:space="0" w:color="000000"/>
              <w:left w:val="nil"/>
              <w:bottom w:val="single" w:sz="6" w:space="0" w:color="000000"/>
              <w:right w:val="nil"/>
            </w:tcBorders>
            <w:vAlign w:val="center"/>
          </w:tcPr>
          <w:p w14:paraId="3B86DA7F" w14:textId="77777777" w:rsidR="007932FC" w:rsidRPr="0054775B" w:rsidRDefault="007932FC" w:rsidP="00F1522E">
            <w:pPr>
              <w:pStyle w:val="2024TABLETEXT"/>
              <w:framePr w:hSpace="0" w:wrap="auto" w:vAnchor="margin" w:yAlign="inline"/>
              <w:suppressOverlap w:val="0"/>
            </w:pPr>
            <w:r w:rsidRPr="0054775B">
              <w:t>8</w:t>
            </w:r>
          </w:p>
        </w:tc>
        <w:tc>
          <w:tcPr>
            <w:tcW w:w="1465" w:type="pct"/>
            <w:tcBorders>
              <w:top w:val="single" w:sz="6" w:space="0" w:color="000000"/>
              <w:left w:val="nil"/>
              <w:bottom w:val="single" w:sz="6" w:space="0" w:color="000000"/>
              <w:right w:val="nil"/>
            </w:tcBorders>
            <w:vAlign w:val="center"/>
          </w:tcPr>
          <w:p w14:paraId="3F78FAF3" w14:textId="77777777" w:rsidR="007932FC" w:rsidRPr="0054775B" w:rsidRDefault="007932FC" w:rsidP="00F1522E">
            <w:pPr>
              <w:pStyle w:val="2024TABLETEXT"/>
              <w:framePr w:hSpace="0" w:wrap="auto" w:vAnchor="margin" w:yAlign="inline"/>
              <w:suppressOverlap w:val="0"/>
              <w:rPr>
                <w:b/>
                <w:bCs/>
              </w:rPr>
            </w:pPr>
            <w:r w:rsidRPr="0054775B">
              <w:rPr>
                <w:b/>
                <w:bCs/>
              </w:rPr>
              <w:t>HRQoL</w:t>
            </w:r>
          </w:p>
        </w:tc>
        <w:tc>
          <w:tcPr>
            <w:tcW w:w="454" w:type="pct"/>
            <w:tcBorders>
              <w:top w:val="single" w:sz="6" w:space="0" w:color="000000"/>
              <w:left w:val="nil"/>
              <w:bottom w:val="single" w:sz="6" w:space="0" w:color="000000"/>
              <w:right w:val="nil"/>
            </w:tcBorders>
            <w:vAlign w:val="center"/>
          </w:tcPr>
          <w:p w14:paraId="1F401AB0" w14:textId="77777777" w:rsidR="007932FC" w:rsidRPr="0054775B" w:rsidRDefault="007932FC" w:rsidP="00F1522E">
            <w:pPr>
              <w:pStyle w:val="2024TABLETEXT"/>
              <w:framePr w:hSpace="0" w:wrap="auto" w:vAnchor="margin" w:yAlign="inline"/>
              <w:suppressOverlap w:val="0"/>
            </w:pPr>
            <w:r w:rsidRPr="0054775B">
              <w:t>-</w:t>
            </w:r>
          </w:p>
        </w:tc>
        <w:tc>
          <w:tcPr>
            <w:tcW w:w="506" w:type="pct"/>
            <w:tcBorders>
              <w:top w:val="single" w:sz="6" w:space="0" w:color="000000"/>
              <w:left w:val="nil"/>
              <w:bottom w:val="single" w:sz="6" w:space="0" w:color="000000"/>
              <w:right w:val="nil"/>
            </w:tcBorders>
            <w:shd w:val="clear" w:color="auto" w:fill="auto"/>
            <w:vAlign w:val="center"/>
          </w:tcPr>
          <w:p w14:paraId="794CA6AE" w14:textId="77777777" w:rsidR="007932FC" w:rsidRPr="0054775B" w:rsidRDefault="007932FC" w:rsidP="00F1522E">
            <w:pPr>
              <w:pStyle w:val="2024TABLETEXT"/>
              <w:framePr w:hSpace="0" w:wrap="auto" w:vAnchor="margin" w:yAlign="inline"/>
              <w:suppressOverlap w:val="0"/>
            </w:pPr>
            <w:r w:rsidRPr="0054775B">
              <w:t>-</w:t>
            </w:r>
          </w:p>
        </w:tc>
        <w:tc>
          <w:tcPr>
            <w:tcW w:w="454" w:type="pct"/>
            <w:tcBorders>
              <w:top w:val="single" w:sz="6" w:space="0" w:color="000000"/>
              <w:left w:val="nil"/>
              <w:bottom w:val="single" w:sz="6" w:space="0" w:color="000000"/>
              <w:right w:val="nil"/>
            </w:tcBorders>
            <w:vAlign w:val="center"/>
          </w:tcPr>
          <w:p w14:paraId="0CA34BC3" w14:textId="77777777" w:rsidR="007932FC" w:rsidRPr="0054775B" w:rsidRDefault="007932FC" w:rsidP="00F1522E">
            <w:pPr>
              <w:pStyle w:val="2024TABLETEXT"/>
              <w:framePr w:hSpace="0" w:wrap="auto" w:vAnchor="margin" w:yAlign="inline"/>
              <w:suppressOverlap w:val="0"/>
            </w:pPr>
            <w:r w:rsidRPr="0054775B">
              <w:t>-</w:t>
            </w:r>
          </w:p>
        </w:tc>
        <w:tc>
          <w:tcPr>
            <w:tcW w:w="455" w:type="pct"/>
            <w:tcBorders>
              <w:top w:val="single" w:sz="6" w:space="0" w:color="000000"/>
              <w:left w:val="nil"/>
              <w:bottom w:val="single" w:sz="6" w:space="0" w:color="000000"/>
              <w:right w:val="nil"/>
            </w:tcBorders>
            <w:vAlign w:val="center"/>
          </w:tcPr>
          <w:p w14:paraId="6F9E368D" w14:textId="77777777" w:rsidR="007932FC" w:rsidRPr="0054775B" w:rsidRDefault="007932FC" w:rsidP="00F1522E">
            <w:pPr>
              <w:pStyle w:val="2024TABLETEXT"/>
              <w:framePr w:hSpace="0" w:wrap="auto" w:vAnchor="margin" w:yAlign="inline"/>
              <w:suppressOverlap w:val="0"/>
            </w:pPr>
            <w:r w:rsidRPr="0054775B">
              <w:t>-</w:t>
            </w:r>
          </w:p>
        </w:tc>
        <w:tc>
          <w:tcPr>
            <w:tcW w:w="1363" w:type="pct"/>
            <w:tcBorders>
              <w:top w:val="single" w:sz="6" w:space="0" w:color="000000"/>
              <w:left w:val="nil"/>
              <w:bottom w:val="single" w:sz="6" w:space="0" w:color="000000"/>
              <w:right w:val="nil"/>
            </w:tcBorders>
            <w:vAlign w:val="center"/>
          </w:tcPr>
          <w:p w14:paraId="239FC0B3" w14:textId="1FB4E128" w:rsidR="007932FC" w:rsidRPr="0054775B" w:rsidRDefault="007932FC" w:rsidP="00F1522E">
            <w:pPr>
              <w:pStyle w:val="2024TABLETEXT"/>
              <w:framePr w:hSpace="0" w:wrap="auto" w:vAnchor="margin" w:yAlign="inline"/>
              <w:suppressOverlap w:val="0"/>
            </w:pPr>
            <w:r w:rsidRPr="0054775B">
              <w:t xml:space="preserve">No </w:t>
            </w:r>
            <w:r w:rsidR="008E7717">
              <w:t>reviews</w:t>
            </w:r>
            <w:r w:rsidR="008E7717" w:rsidRPr="0054775B">
              <w:t xml:space="preserve"> </w:t>
            </w:r>
            <w:r w:rsidRPr="0054775B">
              <w:t>found. The effect of magnesium + naturopathy cointervention on HRQoL for people with fibromyalgia is unknown.</w:t>
            </w:r>
          </w:p>
        </w:tc>
      </w:tr>
      <w:tr w:rsidR="007932FC" w:rsidRPr="0054775B" w14:paraId="1EBB889D" w14:textId="77777777" w:rsidTr="00F1522E">
        <w:trPr>
          <w:cantSplit/>
          <w:trHeight w:val="44"/>
        </w:trPr>
        <w:tc>
          <w:tcPr>
            <w:tcW w:w="303" w:type="pct"/>
            <w:tcBorders>
              <w:top w:val="single" w:sz="6" w:space="0" w:color="000000"/>
              <w:left w:val="nil"/>
              <w:bottom w:val="single" w:sz="6" w:space="0" w:color="000000"/>
              <w:right w:val="nil"/>
            </w:tcBorders>
            <w:vAlign w:val="center"/>
          </w:tcPr>
          <w:p w14:paraId="04955A9A" w14:textId="77777777" w:rsidR="007932FC" w:rsidRPr="0054775B" w:rsidRDefault="007932FC" w:rsidP="00F1522E">
            <w:pPr>
              <w:pStyle w:val="2024TABLETEXT"/>
              <w:framePr w:hSpace="0" w:wrap="auto" w:vAnchor="margin" w:yAlign="inline"/>
              <w:suppressOverlap w:val="0"/>
            </w:pPr>
            <w:r w:rsidRPr="0054775B">
              <w:t>7</w:t>
            </w:r>
          </w:p>
        </w:tc>
        <w:tc>
          <w:tcPr>
            <w:tcW w:w="1465" w:type="pct"/>
            <w:tcBorders>
              <w:top w:val="single" w:sz="6" w:space="0" w:color="000000"/>
              <w:left w:val="nil"/>
              <w:bottom w:val="single" w:sz="6" w:space="0" w:color="000000"/>
              <w:right w:val="nil"/>
            </w:tcBorders>
            <w:vAlign w:val="center"/>
          </w:tcPr>
          <w:p w14:paraId="70C1742C" w14:textId="77777777" w:rsidR="007932FC" w:rsidRPr="0054775B" w:rsidRDefault="007932FC" w:rsidP="00F1522E">
            <w:pPr>
              <w:pStyle w:val="2024TABLETEXT"/>
              <w:framePr w:hSpace="0" w:wrap="auto" w:vAnchor="margin" w:yAlign="inline"/>
              <w:spacing w:after="120"/>
              <w:suppressOverlap w:val="0"/>
              <w:rPr>
                <w:b/>
                <w:bCs/>
              </w:rPr>
            </w:pPr>
            <w:r w:rsidRPr="0054775B">
              <w:rPr>
                <w:b/>
                <w:bCs/>
              </w:rPr>
              <w:t>Tenderness</w:t>
            </w:r>
          </w:p>
          <w:p w14:paraId="4892BEF5" w14:textId="77777777" w:rsidR="007932FC" w:rsidRPr="0054775B" w:rsidRDefault="007932FC" w:rsidP="00F1522E">
            <w:pPr>
              <w:pStyle w:val="2024TABLETEXT"/>
              <w:framePr w:hSpace="0" w:wrap="auto" w:vAnchor="margin" w:yAlign="inline"/>
              <w:ind w:left="370"/>
              <w:suppressOverlap w:val="0"/>
            </w:pPr>
            <w:r w:rsidRPr="0054775B">
              <w:rPr>
                <w:b/>
                <w:bCs/>
              </w:rPr>
              <w:t>Intervention:</w:t>
            </w:r>
            <w:r w:rsidRPr="0054775B">
              <w:t xml:space="preserve"> 150 mg Magnesium hydroxide + 600 mg malic acid, twice per day for 4 weeks</w:t>
            </w:r>
          </w:p>
          <w:p w14:paraId="40B4AA53" w14:textId="77777777" w:rsidR="007932FC" w:rsidRPr="0054775B" w:rsidRDefault="007932FC" w:rsidP="00F1522E">
            <w:pPr>
              <w:pStyle w:val="2024TABLETEXT"/>
              <w:framePr w:hSpace="0" w:wrap="auto" w:vAnchor="margin" w:yAlign="inline"/>
              <w:ind w:left="370"/>
              <w:suppressOverlap w:val="0"/>
            </w:pPr>
            <w:r w:rsidRPr="0054775B">
              <w:rPr>
                <w:b/>
                <w:bCs/>
              </w:rPr>
              <w:t>Assessed with:</w:t>
            </w:r>
            <w:r w:rsidRPr="0054775B">
              <w:t xml:space="preserve"> Tender point index (sum of tenderness severity at 18 tender points); tender point average (mean tenderness at 18 tender points measured by dolorimeter)</w:t>
            </w:r>
          </w:p>
          <w:p w14:paraId="6DF70C83" w14:textId="77777777" w:rsidR="007932FC" w:rsidRPr="0054775B" w:rsidRDefault="007932FC" w:rsidP="00F1522E">
            <w:pPr>
              <w:pStyle w:val="2024TABLETEXT"/>
              <w:framePr w:hSpace="0" w:wrap="auto" w:vAnchor="margin" w:yAlign="inline"/>
              <w:ind w:left="370"/>
              <w:suppressOverlap w:val="0"/>
            </w:pPr>
            <w:r w:rsidRPr="0054775B">
              <w:rPr>
                <w:b/>
                <w:bCs/>
              </w:rPr>
              <w:t>Follow up:</w:t>
            </w:r>
            <w:r w:rsidRPr="0054775B">
              <w:t xml:space="preserve"> 4, 6 10 and 12 weeks</w:t>
            </w:r>
          </w:p>
        </w:tc>
        <w:tc>
          <w:tcPr>
            <w:tcW w:w="454" w:type="pct"/>
            <w:tcBorders>
              <w:top w:val="single" w:sz="6" w:space="0" w:color="000000"/>
              <w:left w:val="nil"/>
              <w:bottom w:val="single" w:sz="6" w:space="0" w:color="000000"/>
              <w:right w:val="nil"/>
            </w:tcBorders>
            <w:vAlign w:val="center"/>
          </w:tcPr>
          <w:p w14:paraId="39A8000A" w14:textId="77777777" w:rsidR="007932FC" w:rsidRPr="0054775B" w:rsidRDefault="007932FC" w:rsidP="00F1522E">
            <w:pPr>
              <w:pStyle w:val="2024TABLETEXT"/>
              <w:framePr w:hSpace="0" w:wrap="auto" w:vAnchor="margin" w:yAlign="inline"/>
              <w:suppressOverlap w:val="0"/>
            </w:pPr>
            <w:r w:rsidRPr="0054775B">
              <w:t>Thorpe 2018</w:t>
            </w:r>
          </w:p>
        </w:tc>
        <w:tc>
          <w:tcPr>
            <w:tcW w:w="506" w:type="pct"/>
            <w:tcBorders>
              <w:top w:val="single" w:sz="6" w:space="0" w:color="000000"/>
              <w:left w:val="nil"/>
              <w:bottom w:val="single" w:sz="6" w:space="0" w:color="000000"/>
              <w:right w:val="nil"/>
            </w:tcBorders>
            <w:shd w:val="clear" w:color="auto" w:fill="auto"/>
            <w:vAlign w:val="center"/>
          </w:tcPr>
          <w:p w14:paraId="5ED1F8D9" w14:textId="0591593F" w:rsidR="007932FC" w:rsidRPr="0054775B" w:rsidRDefault="004B1A6D" w:rsidP="00F1522E">
            <w:pPr>
              <w:pStyle w:val="2024TABLETEXT"/>
              <w:framePr w:hSpace="0" w:wrap="auto" w:vAnchor="margin" w:yAlign="inline"/>
              <w:suppressOverlap w:val="0"/>
            </w:pPr>
            <w:r>
              <w:t>Effect</w:t>
            </w:r>
            <w:r w:rsidRPr="0054775B">
              <w:t xml:space="preserve"> sizes NR</w:t>
            </w:r>
            <w:r>
              <w:t>#</w:t>
            </w:r>
          </w:p>
        </w:tc>
        <w:tc>
          <w:tcPr>
            <w:tcW w:w="454" w:type="pct"/>
            <w:tcBorders>
              <w:top w:val="single" w:sz="6" w:space="0" w:color="000000"/>
              <w:left w:val="nil"/>
              <w:bottom w:val="single" w:sz="6" w:space="0" w:color="000000"/>
              <w:right w:val="nil"/>
            </w:tcBorders>
            <w:vAlign w:val="center"/>
          </w:tcPr>
          <w:p w14:paraId="3844988A" w14:textId="77777777" w:rsidR="007932FC" w:rsidRPr="0054775B" w:rsidRDefault="007932FC" w:rsidP="00F1522E">
            <w:pPr>
              <w:pStyle w:val="2024TABLETEXT"/>
              <w:framePr w:hSpace="0" w:wrap="auto" w:vAnchor="margin" w:yAlign="inline"/>
              <w:suppressOverlap w:val="0"/>
            </w:pPr>
            <w:r w:rsidRPr="0054775B">
              <w:t>20 (1)</w:t>
            </w:r>
          </w:p>
        </w:tc>
        <w:tc>
          <w:tcPr>
            <w:tcW w:w="455" w:type="pct"/>
            <w:tcBorders>
              <w:top w:val="single" w:sz="6" w:space="0" w:color="000000"/>
              <w:left w:val="nil"/>
              <w:bottom w:val="single" w:sz="6" w:space="0" w:color="000000"/>
              <w:right w:val="nil"/>
            </w:tcBorders>
            <w:vAlign w:val="center"/>
          </w:tcPr>
          <w:p w14:paraId="3A9CBBB4" w14:textId="77777777" w:rsidR="007932FC" w:rsidRPr="0054775B" w:rsidRDefault="007932FC" w:rsidP="00F1522E">
            <w:pPr>
              <w:pStyle w:val="2024TABLETEXT"/>
              <w:framePr w:hSpace="0" w:wrap="auto" w:vAnchor="margin" w:yAlign="inline"/>
              <w:suppressOverlap w:val="0"/>
            </w:pPr>
            <w:r w:rsidRPr="0054775B">
              <w:rPr>
                <w:rFonts w:ascii="Cambria Math" w:hAnsi="Cambria Math" w:cs="Cambria Math"/>
                <w:sz w:val="22"/>
                <w:szCs w:val="22"/>
              </w:rPr>
              <w:t>⨁</w:t>
            </w:r>
            <w:r w:rsidRPr="0054775B">
              <w:rPr>
                <w:rFonts w:ascii="Segoe UI Symbol" w:hAnsi="Segoe UI Symbol" w:cs="Segoe UI Symbol"/>
              </w:rPr>
              <w:t>◯◯◯</w:t>
            </w:r>
            <w:r w:rsidRPr="0054775B">
              <w:br/>
              <w:t>VERY LOW</w:t>
            </w:r>
            <w:r w:rsidRPr="0054775B">
              <w:rPr>
                <w:rStyle w:val="FootnoteReference"/>
              </w:rPr>
              <w:t xml:space="preserve"> </w:t>
            </w:r>
            <w:r w:rsidRPr="0054775B">
              <w:rPr>
                <w:vertAlign w:val="superscript"/>
              </w:rPr>
              <w:t>a</w:t>
            </w:r>
          </w:p>
        </w:tc>
        <w:tc>
          <w:tcPr>
            <w:tcW w:w="1363" w:type="pct"/>
            <w:tcBorders>
              <w:top w:val="single" w:sz="6" w:space="0" w:color="000000"/>
              <w:left w:val="nil"/>
              <w:bottom w:val="single" w:sz="6" w:space="0" w:color="000000"/>
              <w:right w:val="nil"/>
            </w:tcBorders>
            <w:vAlign w:val="center"/>
          </w:tcPr>
          <w:p w14:paraId="29D9AC81" w14:textId="77777777" w:rsidR="007932FC" w:rsidRPr="0054775B" w:rsidRDefault="007932FC" w:rsidP="00F1522E">
            <w:pPr>
              <w:pStyle w:val="2024TABLETEXT"/>
              <w:framePr w:hSpace="0" w:wrap="auto" w:vAnchor="margin" w:yAlign="inline"/>
              <w:suppressOverlap w:val="0"/>
            </w:pPr>
            <w:r w:rsidRPr="0054775B">
              <w:t>The evidence is very uncertain about the effect of magnesium + naturopathy cointervention on tenderness in people with fibromyalgia.</w:t>
            </w:r>
          </w:p>
        </w:tc>
      </w:tr>
      <w:tr w:rsidR="007932FC" w:rsidRPr="0054775B" w14:paraId="750309E9" w14:textId="77777777" w:rsidTr="00F1522E">
        <w:trPr>
          <w:cantSplit/>
        </w:trPr>
        <w:tc>
          <w:tcPr>
            <w:tcW w:w="303" w:type="pct"/>
            <w:tcBorders>
              <w:top w:val="single" w:sz="6" w:space="0" w:color="000000"/>
              <w:left w:val="nil"/>
              <w:bottom w:val="single" w:sz="6" w:space="0" w:color="000000"/>
              <w:right w:val="nil"/>
            </w:tcBorders>
            <w:vAlign w:val="center"/>
          </w:tcPr>
          <w:p w14:paraId="1B74A7E9" w14:textId="77777777" w:rsidR="007932FC" w:rsidRPr="0054775B" w:rsidRDefault="007932FC" w:rsidP="00F1522E">
            <w:pPr>
              <w:pStyle w:val="2024TABLETEXT"/>
              <w:framePr w:hSpace="0" w:wrap="auto" w:vAnchor="margin" w:yAlign="inline"/>
              <w:suppressOverlap w:val="0"/>
            </w:pPr>
            <w:r w:rsidRPr="0054775B">
              <w:t>7</w:t>
            </w:r>
          </w:p>
        </w:tc>
        <w:tc>
          <w:tcPr>
            <w:tcW w:w="1465" w:type="pct"/>
            <w:tcBorders>
              <w:top w:val="single" w:sz="6" w:space="0" w:color="000000"/>
              <w:left w:val="nil"/>
              <w:bottom w:val="single" w:sz="6" w:space="0" w:color="000000"/>
              <w:right w:val="nil"/>
            </w:tcBorders>
            <w:vAlign w:val="center"/>
          </w:tcPr>
          <w:p w14:paraId="655A43F3" w14:textId="77777777" w:rsidR="007932FC" w:rsidRPr="0054775B" w:rsidRDefault="007932FC" w:rsidP="00F1522E">
            <w:pPr>
              <w:pStyle w:val="2024TABLETEXT"/>
              <w:framePr w:hSpace="0" w:wrap="auto" w:vAnchor="margin" w:yAlign="inline"/>
              <w:suppressOverlap w:val="0"/>
              <w:rPr>
                <w:b/>
                <w:bCs/>
              </w:rPr>
            </w:pPr>
            <w:r w:rsidRPr="0054775B">
              <w:rPr>
                <w:b/>
                <w:bCs/>
              </w:rPr>
              <w:t>Cognitive function burden from fibromyalgia</w:t>
            </w:r>
          </w:p>
        </w:tc>
        <w:tc>
          <w:tcPr>
            <w:tcW w:w="454" w:type="pct"/>
            <w:tcBorders>
              <w:top w:val="single" w:sz="6" w:space="0" w:color="000000"/>
              <w:left w:val="nil"/>
              <w:bottom w:val="single" w:sz="6" w:space="0" w:color="000000"/>
              <w:right w:val="nil"/>
            </w:tcBorders>
            <w:vAlign w:val="center"/>
          </w:tcPr>
          <w:p w14:paraId="52EDA4DB" w14:textId="77777777" w:rsidR="007932FC" w:rsidRPr="0054775B" w:rsidRDefault="007932FC" w:rsidP="00F1522E">
            <w:pPr>
              <w:pStyle w:val="2024TABLETEXT"/>
              <w:framePr w:hSpace="0" w:wrap="auto" w:vAnchor="margin" w:yAlign="inline"/>
              <w:suppressOverlap w:val="0"/>
            </w:pPr>
            <w:r w:rsidRPr="0054775B">
              <w:t>-</w:t>
            </w:r>
          </w:p>
        </w:tc>
        <w:tc>
          <w:tcPr>
            <w:tcW w:w="506" w:type="pct"/>
            <w:tcBorders>
              <w:top w:val="single" w:sz="6" w:space="0" w:color="000000"/>
              <w:left w:val="nil"/>
              <w:bottom w:val="single" w:sz="6" w:space="0" w:color="000000"/>
              <w:right w:val="nil"/>
            </w:tcBorders>
            <w:shd w:val="clear" w:color="auto" w:fill="auto"/>
            <w:vAlign w:val="center"/>
          </w:tcPr>
          <w:p w14:paraId="01DA4EC3" w14:textId="77777777" w:rsidR="007932FC" w:rsidRPr="0054775B" w:rsidRDefault="007932FC" w:rsidP="00F1522E">
            <w:pPr>
              <w:pStyle w:val="2024TABLETEXT"/>
              <w:framePr w:hSpace="0" w:wrap="auto" w:vAnchor="margin" w:yAlign="inline"/>
              <w:suppressOverlap w:val="0"/>
            </w:pPr>
            <w:r w:rsidRPr="0054775B">
              <w:t>-</w:t>
            </w:r>
          </w:p>
        </w:tc>
        <w:tc>
          <w:tcPr>
            <w:tcW w:w="454" w:type="pct"/>
            <w:tcBorders>
              <w:top w:val="single" w:sz="6" w:space="0" w:color="000000"/>
              <w:left w:val="nil"/>
              <w:bottom w:val="single" w:sz="6" w:space="0" w:color="000000"/>
              <w:right w:val="nil"/>
            </w:tcBorders>
            <w:vAlign w:val="center"/>
          </w:tcPr>
          <w:p w14:paraId="2F0C4337" w14:textId="77777777" w:rsidR="007932FC" w:rsidRPr="0054775B" w:rsidRDefault="007932FC" w:rsidP="00F1522E">
            <w:pPr>
              <w:pStyle w:val="2024TABLETEXT"/>
              <w:framePr w:hSpace="0" w:wrap="auto" w:vAnchor="margin" w:yAlign="inline"/>
              <w:suppressOverlap w:val="0"/>
            </w:pPr>
            <w:r w:rsidRPr="0054775B">
              <w:t>-</w:t>
            </w:r>
          </w:p>
        </w:tc>
        <w:tc>
          <w:tcPr>
            <w:tcW w:w="455" w:type="pct"/>
            <w:tcBorders>
              <w:top w:val="single" w:sz="6" w:space="0" w:color="000000"/>
              <w:left w:val="nil"/>
              <w:bottom w:val="single" w:sz="6" w:space="0" w:color="000000"/>
              <w:right w:val="nil"/>
            </w:tcBorders>
            <w:vAlign w:val="center"/>
          </w:tcPr>
          <w:p w14:paraId="047B6D8D" w14:textId="77777777" w:rsidR="007932FC" w:rsidRPr="0054775B" w:rsidRDefault="007932FC" w:rsidP="00F1522E">
            <w:pPr>
              <w:pStyle w:val="2024TABLETEXT"/>
              <w:framePr w:hSpace="0" w:wrap="auto" w:vAnchor="margin" w:yAlign="inline"/>
              <w:suppressOverlap w:val="0"/>
            </w:pPr>
            <w:r w:rsidRPr="0054775B">
              <w:t>-</w:t>
            </w:r>
          </w:p>
        </w:tc>
        <w:tc>
          <w:tcPr>
            <w:tcW w:w="1363" w:type="pct"/>
            <w:tcBorders>
              <w:top w:val="single" w:sz="6" w:space="0" w:color="000000"/>
              <w:left w:val="nil"/>
              <w:bottom w:val="single" w:sz="6" w:space="0" w:color="000000"/>
              <w:right w:val="nil"/>
            </w:tcBorders>
            <w:vAlign w:val="center"/>
          </w:tcPr>
          <w:p w14:paraId="0E26792A" w14:textId="07FC7A8B" w:rsidR="007932FC" w:rsidRPr="0054775B" w:rsidRDefault="007932FC" w:rsidP="00F1522E">
            <w:pPr>
              <w:pStyle w:val="2024TABLETEXT"/>
              <w:framePr w:hSpace="0" w:wrap="auto" w:vAnchor="margin" w:yAlign="inline"/>
              <w:suppressOverlap w:val="0"/>
            </w:pPr>
            <w:r w:rsidRPr="0054775B">
              <w:t xml:space="preserve">No </w:t>
            </w:r>
            <w:r w:rsidR="008E7717">
              <w:t>reviews</w:t>
            </w:r>
            <w:r w:rsidR="008E7717" w:rsidRPr="0054775B">
              <w:t xml:space="preserve"> </w:t>
            </w:r>
            <w:r w:rsidRPr="0054775B">
              <w:t>found. The effect of magnesium + naturopathy cointervention on cognitive function burden from fibromyalgia for people with fibromyalgia is unknown.</w:t>
            </w:r>
          </w:p>
        </w:tc>
      </w:tr>
      <w:tr w:rsidR="007932FC" w:rsidRPr="0054775B" w14:paraId="1FE7FBC8" w14:textId="77777777" w:rsidTr="00F1522E">
        <w:trPr>
          <w:cantSplit/>
        </w:trPr>
        <w:tc>
          <w:tcPr>
            <w:tcW w:w="303" w:type="pct"/>
            <w:tcBorders>
              <w:top w:val="single" w:sz="6" w:space="0" w:color="000000"/>
              <w:left w:val="nil"/>
              <w:bottom w:val="single" w:sz="6" w:space="0" w:color="000000"/>
              <w:right w:val="nil"/>
            </w:tcBorders>
            <w:vAlign w:val="center"/>
          </w:tcPr>
          <w:p w14:paraId="10A01EB1" w14:textId="77777777" w:rsidR="007932FC" w:rsidRPr="0054775B" w:rsidRDefault="007932FC" w:rsidP="00F1522E">
            <w:pPr>
              <w:pStyle w:val="2024TABLETEXT"/>
              <w:framePr w:hSpace="0" w:wrap="auto" w:vAnchor="margin" w:yAlign="inline"/>
              <w:suppressOverlap w:val="0"/>
            </w:pPr>
            <w:r w:rsidRPr="0054775B">
              <w:lastRenderedPageBreak/>
              <w:t>7</w:t>
            </w:r>
          </w:p>
        </w:tc>
        <w:tc>
          <w:tcPr>
            <w:tcW w:w="1465" w:type="pct"/>
            <w:tcBorders>
              <w:top w:val="single" w:sz="6" w:space="0" w:color="000000"/>
              <w:left w:val="nil"/>
              <w:bottom w:val="single" w:sz="6" w:space="0" w:color="000000"/>
              <w:right w:val="nil"/>
            </w:tcBorders>
            <w:vAlign w:val="center"/>
          </w:tcPr>
          <w:p w14:paraId="69C6271E" w14:textId="77777777" w:rsidR="007932FC" w:rsidRPr="0054775B" w:rsidRDefault="007932FC" w:rsidP="00F1522E">
            <w:pPr>
              <w:pStyle w:val="2024TABLETEXT"/>
              <w:framePr w:hSpace="0" w:wrap="auto" w:vAnchor="margin" w:yAlign="inline"/>
              <w:suppressOverlap w:val="0"/>
              <w:rPr>
                <w:b/>
                <w:bCs/>
              </w:rPr>
            </w:pPr>
            <w:r w:rsidRPr="0054775B">
              <w:rPr>
                <w:b/>
                <w:bCs/>
              </w:rPr>
              <w:t>Stiffness</w:t>
            </w:r>
          </w:p>
        </w:tc>
        <w:tc>
          <w:tcPr>
            <w:tcW w:w="454" w:type="pct"/>
            <w:tcBorders>
              <w:top w:val="single" w:sz="6" w:space="0" w:color="000000"/>
              <w:left w:val="nil"/>
              <w:bottom w:val="single" w:sz="6" w:space="0" w:color="000000"/>
              <w:right w:val="nil"/>
            </w:tcBorders>
            <w:vAlign w:val="center"/>
          </w:tcPr>
          <w:p w14:paraId="71D79A4A" w14:textId="77777777" w:rsidR="007932FC" w:rsidRPr="0054775B" w:rsidRDefault="007932FC" w:rsidP="00F1522E">
            <w:pPr>
              <w:pStyle w:val="2024TABLETEXT"/>
              <w:framePr w:hSpace="0" w:wrap="auto" w:vAnchor="margin" w:yAlign="inline"/>
              <w:suppressOverlap w:val="0"/>
            </w:pPr>
            <w:r w:rsidRPr="0054775B">
              <w:t>-</w:t>
            </w:r>
          </w:p>
        </w:tc>
        <w:tc>
          <w:tcPr>
            <w:tcW w:w="506" w:type="pct"/>
            <w:tcBorders>
              <w:top w:val="single" w:sz="6" w:space="0" w:color="000000"/>
              <w:left w:val="nil"/>
              <w:bottom w:val="single" w:sz="6" w:space="0" w:color="000000"/>
              <w:right w:val="nil"/>
            </w:tcBorders>
            <w:shd w:val="clear" w:color="auto" w:fill="auto"/>
            <w:vAlign w:val="center"/>
          </w:tcPr>
          <w:p w14:paraId="7746F467" w14:textId="77777777" w:rsidR="007932FC" w:rsidRPr="0054775B" w:rsidRDefault="007932FC" w:rsidP="00F1522E">
            <w:pPr>
              <w:pStyle w:val="2024TABLETEXT"/>
              <w:framePr w:hSpace="0" w:wrap="auto" w:vAnchor="margin" w:yAlign="inline"/>
              <w:suppressOverlap w:val="0"/>
            </w:pPr>
            <w:r w:rsidRPr="0054775B">
              <w:t>-</w:t>
            </w:r>
          </w:p>
        </w:tc>
        <w:tc>
          <w:tcPr>
            <w:tcW w:w="454" w:type="pct"/>
            <w:tcBorders>
              <w:top w:val="single" w:sz="6" w:space="0" w:color="000000"/>
              <w:left w:val="nil"/>
              <w:bottom w:val="single" w:sz="6" w:space="0" w:color="000000"/>
              <w:right w:val="nil"/>
            </w:tcBorders>
            <w:vAlign w:val="center"/>
          </w:tcPr>
          <w:p w14:paraId="781B066E" w14:textId="77777777" w:rsidR="007932FC" w:rsidRPr="0054775B" w:rsidRDefault="007932FC" w:rsidP="00F1522E">
            <w:pPr>
              <w:pStyle w:val="2024TABLETEXT"/>
              <w:framePr w:hSpace="0" w:wrap="auto" w:vAnchor="margin" w:yAlign="inline"/>
              <w:suppressOverlap w:val="0"/>
            </w:pPr>
            <w:r w:rsidRPr="0054775B">
              <w:t>-</w:t>
            </w:r>
          </w:p>
        </w:tc>
        <w:tc>
          <w:tcPr>
            <w:tcW w:w="455" w:type="pct"/>
            <w:tcBorders>
              <w:top w:val="single" w:sz="6" w:space="0" w:color="000000"/>
              <w:left w:val="nil"/>
              <w:bottom w:val="single" w:sz="6" w:space="0" w:color="000000"/>
              <w:right w:val="nil"/>
            </w:tcBorders>
            <w:vAlign w:val="center"/>
          </w:tcPr>
          <w:p w14:paraId="3FD2A345" w14:textId="77777777" w:rsidR="007932FC" w:rsidRPr="0054775B" w:rsidRDefault="007932FC" w:rsidP="00F1522E">
            <w:pPr>
              <w:pStyle w:val="2024TABLETEXT"/>
              <w:framePr w:hSpace="0" w:wrap="auto" w:vAnchor="margin" w:yAlign="inline"/>
              <w:suppressOverlap w:val="0"/>
            </w:pPr>
            <w:r w:rsidRPr="0054775B">
              <w:t>-</w:t>
            </w:r>
          </w:p>
        </w:tc>
        <w:tc>
          <w:tcPr>
            <w:tcW w:w="1363" w:type="pct"/>
            <w:tcBorders>
              <w:top w:val="single" w:sz="6" w:space="0" w:color="000000"/>
              <w:left w:val="nil"/>
              <w:bottom w:val="single" w:sz="6" w:space="0" w:color="000000"/>
              <w:right w:val="nil"/>
            </w:tcBorders>
            <w:vAlign w:val="center"/>
          </w:tcPr>
          <w:p w14:paraId="0ECE6AE8" w14:textId="2E55EC01" w:rsidR="007932FC" w:rsidRPr="0054775B" w:rsidRDefault="007932FC" w:rsidP="00F1522E">
            <w:pPr>
              <w:pStyle w:val="2024TABLETEXT"/>
              <w:framePr w:hSpace="0" w:wrap="auto" w:vAnchor="margin" w:yAlign="inline"/>
              <w:suppressOverlap w:val="0"/>
            </w:pPr>
            <w:r w:rsidRPr="0054775B">
              <w:t xml:space="preserve">No </w:t>
            </w:r>
            <w:r w:rsidR="008E7717">
              <w:t>reviews</w:t>
            </w:r>
            <w:r w:rsidR="008E7717" w:rsidRPr="0054775B">
              <w:t xml:space="preserve"> </w:t>
            </w:r>
            <w:r w:rsidRPr="0054775B">
              <w:t>found. The effect of magnesium + naturopathy cointervention on stiffness for people with fibromyalgia is unknown.</w:t>
            </w:r>
          </w:p>
        </w:tc>
      </w:tr>
      <w:tr w:rsidR="007932FC" w:rsidRPr="0054775B" w14:paraId="7CC721DC" w14:textId="77777777" w:rsidTr="00F1522E">
        <w:trPr>
          <w:cantSplit/>
          <w:trHeight w:val="50"/>
        </w:trPr>
        <w:tc>
          <w:tcPr>
            <w:tcW w:w="5000" w:type="pct"/>
            <w:gridSpan w:val="7"/>
            <w:tcBorders>
              <w:top w:val="single" w:sz="6" w:space="0" w:color="000000"/>
              <w:left w:val="nil"/>
              <w:bottom w:val="single" w:sz="6" w:space="0" w:color="000000"/>
              <w:right w:val="nil"/>
            </w:tcBorders>
          </w:tcPr>
          <w:p w14:paraId="21B2F5A9" w14:textId="77777777" w:rsidR="007932FC" w:rsidRPr="0054775B" w:rsidRDefault="007932FC" w:rsidP="00F1522E">
            <w:pPr>
              <w:pStyle w:val="2024TABLEFOOTER"/>
            </w:pPr>
            <w:r w:rsidRPr="0054775B">
              <w:t>*Ratings 1-3 = of limited importance to decision making; 4-6 = important, but not critical, to decision making; 7-9 = critical for decision-making</w:t>
            </w:r>
          </w:p>
          <w:p w14:paraId="56BA2698" w14:textId="06875C15" w:rsidR="004B1A6D" w:rsidRPr="0054775B" w:rsidRDefault="004B1A6D" w:rsidP="004B1A6D">
            <w:pPr>
              <w:pStyle w:val="2024TABLEFOOTER"/>
            </w:pPr>
            <w:r>
              <w:t>#Absolute risk differences or relative effect sizes not reported. Unable to make judgements about MCID or direction of effect.</w:t>
            </w:r>
          </w:p>
          <w:p w14:paraId="1EFC8E1A" w14:textId="77777777" w:rsidR="004B1A6D" w:rsidRDefault="004B1A6D" w:rsidP="00F1522E">
            <w:pPr>
              <w:pStyle w:val="2024TABLEFOOTER"/>
            </w:pPr>
          </w:p>
          <w:p w14:paraId="69870B3D" w14:textId="48BD3DE6" w:rsidR="007932FC" w:rsidRPr="0054775B" w:rsidRDefault="007932FC" w:rsidP="00F1522E">
            <w:pPr>
              <w:pStyle w:val="2024TABLEFOOTER"/>
            </w:pPr>
            <w:r w:rsidRPr="0054775B">
              <w:t>Abbreviations: CI=Confidence interval, MD=Mean difference, NR=Not reported, VAS=Visual Analogue Scale, HRQoL=health related quality of life</w:t>
            </w:r>
          </w:p>
        </w:tc>
      </w:tr>
      <w:tr w:rsidR="007932FC" w:rsidRPr="0054775B" w14:paraId="692DB414" w14:textId="77777777" w:rsidTr="00F1522E">
        <w:trPr>
          <w:cantSplit/>
          <w:trHeight w:val="236"/>
        </w:trPr>
        <w:tc>
          <w:tcPr>
            <w:tcW w:w="5000" w:type="pct"/>
            <w:gridSpan w:val="7"/>
            <w:tcBorders>
              <w:top w:val="single" w:sz="6" w:space="0" w:color="000000"/>
              <w:left w:val="nil"/>
              <w:bottom w:val="single" w:sz="6" w:space="0" w:color="000000"/>
              <w:right w:val="nil"/>
            </w:tcBorders>
          </w:tcPr>
          <w:p w14:paraId="7E6AFB0A" w14:textId="77777777" w:rsidR="007932FC" w:rsidRPr="0054775B" w:rsidRDefault="007932FC" w:rsidP="00F1522E">
            <w:pPr>
              <w:pStyle w:val="2024TABLEFOOTER"/>
              <w:rPr>
                <w:b/>
                <w:bCs/>
              </w:rPr>
            </w:pPr>
            <w:r w:rsidRPr="0054775B">
              <w:t>GRADE Working Group grades of evidence</w:t>
            </w:r>
            <w:r w:rsidRPr="0054775B">
              <w:br/>
            </w:r>
            <w:r w:rsidRPr="0054775B">
              <w:rPr>
                <w:b/>
                <w:bCs/>
              </w:rPr>
              <w:t>High certainty:</w:t>
            </w:r>
            <w:r w:rsidRPr="0054775B">
              <w:t xml:space="preserve"> we are very confident that the true effect lies close to that of the estimate of the effect.</w:t>
            </w:r>
            <w:r w:rsidRPr="0054775B">
              <w:br/>
            </w:r>
            <w:r w:rsidRPr="0054775B">
              <w:rPr>
                <w:b/>
                <w:bCs/>
              </w:rPr>
              <w:t>Moderate certainty:</w:t>
            </w:r>
            <w:r w:rsidRPr="0054775B">
              <w:t xml:space="preserve"> we are moderately confident in the effect estimate: the true effect is likely to be close to the estimate of the effect, but there is a possibility that it is substantially different.</w:t>
            </w:r>
            <w:r w:rsidRPr="0054775B">
              <w:br/>
            </w:r>
            <w:r w:rsidRPr="0054775B">
              <w:rPr>
                <w:b/>
                <w:bCs/>
              </w:rPr>
              <w:t>Low certainty:</w:t>
            </w:r>
            <w:r w:rsidRPr="0054775B">
              <w:t xml:space="preserve"> our confidence in the effect estimate is limited: the true effect may be substantially different from the estimate of the effect.</w:t>
            </w:r>
            <w:r w:rsidRPr="0054775B">
              <w:br/>
            </w:r>
            <w:r w:rsidRPr="0054775B">
              <w:rPr>
                <w:b/>
                <w:bCs/>
              </w:rPr>
              <w:t>Very low certainty:</w:t>
            </w:r>
            <w:r w:rsidRPr="0054775B">
              <w:t xml:space="preserve"> we have very little confidence in the effect estimate: the true effect is likely to be substantially different from the estimate of effect.</w:t>
            </w:r>
          </w:p>
        </w:tc>
      </w:tr>
      <w:tr w:rsidR="007932FC" w:rsidRPr="0054775B" w14:paraId="0C2F2DDE" w14:textId="77777777" w:rsidTr="00F1522E">
        <w:trPr>
          <w:cantSplit/>
          <w:trHeight w:val="236"/>
        </w:trPr>
        <w:tc>
          <w:tcPr>
            <w:tcW w:w="5000" w:type="pct"/>
            <w:gridSpan w:val="7"/>
            <w:tcBorders>
              <w:top w:val="single" w:sz="6" w:space="0" w:color="000000"/>
              <w:left w:val="nil"/>
              <w:bottom w:val="single" w:sz="6" w:space="0" w:color="000000"/>
              <w:right w:val="nil"/>
            </w:tcBorders>
          </w:tcPr>
          <w:p w14:paraId="19625070" w14:textId="77777777" w:rsidR="007932FC" w:rsidRPr="0054775B" w:rsidRDefault="007932FC" w:rsidP="00F1522E">
            <w:pPr>
              <w:pStyle w:val="2024TABLEFOOTER"/>
            </w:pPr>
            <w:r w:rsidRPr="0054775B">
              <w:t>Explanations</w:t>
            </w:r>
          </w:p>
          <w:p w14:paraId="6BB4A51D" w14:textId="279DAEB2" w:rsidR="007932FC" w:rsidRPr="00DC51FD" w:rsidRDefault="00DC51FD" w:rsidP="00107BEE">
            <w:pPr>
              <w:pStyle w:val="2024TABLEFOOTER"/>
              <w:numPr>
                <w:ilvl w:val="0"/>
                <w:numId w:val="32"/>
              </w:numPr>
              <w:rPr>
                <w:rStyle w:val="Strong"/>
                <w:b w:val="0"/>
                <w:bCs w:val="0"/>
              </w:rPr>
            </w:pPr>
            <w:r>
              <w:t>High risk of bias</w:t>
            </w:r>
            <w:r w:rsidR="009563CB">
              <w:t xml:space="preserve"> in primary study from</w:t>
            </w:r>
            <w:r>
              <w:t xml:space="preserve"> incomplete </w:t>
            </w:r>
            <w:r w:rsidR="00A70B1C">
              <w:t xml:space="preserve">outcome data </w:t>
            </w:r>
            <w:r w:rsidR="009563CB">
              <w:t>and</w:t>
            </w:r>
            <w:r w:rsidR="00A70B1C">
              <w:t xml:space="preserve"> sample sizes not consistent with reported attrition</w:t>
            </w:r>
            <w:r w:rsidR="007932FC" w:rsidRPr="0054775B">
              <w:t xml:space="preserve"> (downgraded </w:t>
            </w:r>
            <w:r w:rsidR="007932FC" w:rsidRPr="0054775B" w:rsidDel="00DC51FD">
              <w:t xml:space="preserve">one </w:t>
            </w:r>
            <w:r w:rsidR="007932FC" w:rsidRPr="0054775B">
              <w:t xml:space="preserve">for risk of bias). </w:t>
            </w:r>
            <w:r w:rsidR="008C7B5D">
              <w:t>N</w:t>
            </w:r>
            <w:r w:rsidR="008C7B5D" w:rsidRPr="0054775B">
              <w:t xml:space="preserve">o effect estimates provided </w:t>
            </w:r>
            <w:r w:rsidR="008C7B5D">
              <w:t xml:space="preserve">to assess precision. Additionally, very small sample size raising concerns about optimal information size </w:t>
            </w:r>
            <w:r w:rsidR="003D27B8" w:rsidRPr="003D27B8">
              <w:t xml:space="preserve">(downgraded </w:t>
            </w:r>
            <w:r w:rsidR="00A95A4C">
              <w:t>3</w:t>
            </w:r>
            <w:r w:rsidR="003D27B8" w:rsidRPr="003D27B8">
              <w:t xml:space="preserve"> for</w:t>
            </w:r>
            <w:r w:rsidR="00884177">
              <w:t xml:space="preserve"> very serious</w:t>
            </w:r>
            <w:r w:rsidR="003D27B8" w:rsidRPr="003D27B8">
              <w:t xml:space="preserve"> imprecision).</w:t>
            </w:r>
            <w:r w:rsidR="00AD55C2">
              <w:t xml:space="preserve"> </w:t>
            </w:r>
            <w:r w:rsidR="00AD55C2" w:rsidRPr="00916534">
              <w:t>No inconsistency due to singular study (no change for inconsistency).</w:t>
            </w:r>
            <w:r w:rsidR="00C33D6E">
              <w:t xml:space="preserve"> </w:t>
            </w:r>
            <w:r w:rsidR="00C33D6E" w:rsidRPr="00E2342A">
              <w:rPr>
                <w:lang w:val="en-GB"/>
              </w:rPr>
              <w:t xml:space="preserve">Publication bias not assessed </w:t>
            </w:r>
            <w:r w:rsidR="00C33D6E">
              <w:rPr>
                <w:lang w:val="en-GB"/>
              </w:rPr>
              <w:t xml:space="preserve">likely </w:t>
            </w:r>
            <w:r w:rsidR="00C33D6E" w:rsidRPr="00E2342A">
              <w:rPr>
                <w:lang w:val="en-GB"/>
              </w:rPr>
              <w:t>due to insufficient number of studies (no change for publication bias).</w:t>
            </w:r>
          </w:p>
        </w:tc>
      </w:tr>
    </w:tbl>
    <w:p w14:paraId="7D722E0A" w14:textId="20079233" w:rsidR="007932FC" w:rsidRDefault="007932FC" w:rsidP="009E6F7F">
      <w:pPr>
        <w:sectPr w:rsidR="007932FC" w:rsidSect="006A72DC">
          <w:pgSz w:w="16840" w:h="11910" w:orient="landscape"/>
          <w:pgMar w:top="1340" w:right="280" w:bottom="1340" w:left="1356" w:header="720" w:footer="720" w:gutter="0"/>
          <w:cols w:space="720"/>
          <w:docGrid w:linePitch="299"/>
        </w:sectPr>
      </w:pPr>
      <w:r w:rsidRPr="0054775B" w:rsidDel="00901575">
        <w:t xml:space="preserve"> </w:t>
      </w:r>
    </w:p>
    <w:p w14:paraId="38E53210" w14:textId="6F838237" w:rsidR="00980972" w:rsidRPr="0054775B" w:rsidRDefault="00980972" w:rsidP="002A08D5">
      <w:pPr>
        <w:pStyle w:val="2024HEADER2"/>
      </w:pPr>
      <w:bookmarkStart w:id="129" w:name="_Toc179379629"/>
      <w:r w:rsidRPr="0054775B">
        <w:lastRenderedPageBreak/>
        <w:t>Recurrent infection/s</w:t>
      </w:r>
      <w:r w:rsidR="008F538A" w:rsidRPr="0054775B">
        <w:t xml:space="preserve"> (including urinary tract infections, cystitis, respiratory tract infection, otitis media in children</w:t>
      </w:r>
      <w:r w:rsidR="00E21E97" w:rsidRPr="0054775B">
        <w:t>)</w:t>
      </w:r>
      <w:r w:rsidRPr="0054775B">
        <w:t xml:space="preserve">, </w:t>
      </w:r>
      <w:r w:rsidR="00E21E97" w:rsidRPr="0054775B">
        <w:t>z</w:t>
      </w:r>
      <w:r w:rsidRPr="0054775B">
        <w:t>inc</w:t>
      </w:r>
      <w:bookmarkEnd w:id="129"/>
    </w:p>
    <w:p w14:paraId="64014086" w14:textId="77777777" w:rsidR="008308E9" w:rsidRPr="0054775B" w:rsidRDefault="008308E9" w:rsidP="009E6F7F">
      <w:pPr>
        <w:pStyle w:val="2024HEADER3"/>
        <w:rPr>
          <w:rFonts w:ascii="Aptos" w:hAnsi="Aptos"/>
        </w:rPr>
      </w:pPr>
      <w:r w:rsidRPr="0054775B">
        <w:rPr>
          <w:rFonts w:ascii="Aptos" w:hAnsi="Aptos"/>
        </w:rPr>
        <w:t>Description of condition</w:t>
      </w:r>
    </w:p>
    <w:p w14:paraId="7C5E3718" w14:textId="3AC55A91" w:rsidR="00E104C2" w:rsidRPr="0054775B" w:rsidRDefault="00E104C2" w:rsidP="009E6F7F">
      <w:r w:rsidRPr="0054775B">
        <w:t xml:space="preserve">Recurrent infections refer to a pattern of experiencing multiple infections of a similar type within a specific timeframe. </w:t>
      </w:r>
      <w:r w:rsidR="006570AC" w:rsidRPr="0054775B">
        <w:t xml:space="preserve">Common types of recurrent infections include recurrent respiratory infections </w:t>
      </w:r>
      <w:r w:rsidR="00227084">
        <w:rPr>
          <w:noProof/>
        </w:rPr>
        <w:t>(189)</w:t>
      </w:r>
      <w:r w:rsidR="006570AC" w:rsidRPr="0054775B">
        <w:t xml:space="preserve">, recurrent skin infections (e.g. </w:t>
      </w:r>
      <w:r w:rsidR="346C593D">
        <w:t>erysipelas</w:t>
      </w:r>
      <w:r w:rsidR="3A6B0811">
        <w:t xml:space="preserve">, cellulitis, </w:t>
      </w:r>
      <w:r w:rsidR="095BEE5B">
        <w:t>impetigo</w:t>
      </w:r>
      <w:r w:rsidR="3A6B0811">
        <w:t xml:space="preserve">) </w:t>
      </w:r>
      <w:r w:rsidR="00227084">
        <w:rPr>
          <w:noProof/>
        </w:rPr>
        <w:t>(190)</w:t>
      </w:r>
      <w:r w:rsidR="006570AC" w:rsidRPr="0054775B">
        <w:t xml:space="preserve"> and recurrent urinary tract infections (UTIs) </w:t>
      </w:r>
      <w:r w:rsidR="00227084">
        <w:rPr>
          <w:noProof/>
        </w:rPr>
        <w:t>(191)</w:t>
      </w:r>
      <w:r w:rsidR="006570AC" w:rsidRPr="0054775B">
        <w:t>.</w:t>
      </w:r>
      <w:r w:rsidR="00964B8F" w:rsidRPr="0054775B">
        <w:t xml:space="preserve"> </w:t>
      </w:r>
      <w:r w:rsidRPr="0054775B">
        <w:t xml:space="preserve">While anyone can experience occasional infections, recurrent infections </w:t>
      </w:r>
      <w:r w:rsidR="005678C1" w:rsidRPr="0054775B">
        <w:t>can be chronic and debilitating</w:t>
      </w:r>
      <w:r w:rsidR="008F350B" w:rsidRPr="0054775B">
        <w:t xml:space="preserve">, </w:t>
      </w:r>
      <w:r w:rsidR="00907A77" w:rsidRPr="0054775B">
        <w:t>significantly impact</w:t>
      </w:r>
      <w:r w:rsidR="008F350B" w:rsidRPr="0054775B">
        <w:t>ing</w:t>
      </w:r>
      <w:r w:rsidR="00907A77" w:rsidRPr="0054775B">
        <w:t xml:space="preserve"> quality of life, leading to missed school or work, social limitations, and potential long-term health consequences if the underlying cause remains unaddresse</w:t>
      </w:r>
      <w:r w:rsidR="00986F2F" w:rsidRPr="0054775B">
        <w:t>d</w:t>
      </w:r>
      <w:r w:rsidR="00CE0685" w:rsidRPr="0054775B">
        <w:t>.</w:t>
      </w:r>
      <w:r w:rsidR="00907A77" w:rsidRPr="0054775B">
        <w:t xml:space="preserve"> </w:t>
      </w:r>
      <w:r w:rsidR="008F350B" w:rsidRPr="0054775B">
        <w:t>Symptoms of recurrent infections depend on the infection site and type. General symptoms accompanying infections often include fever, fatigue, inflammation, and pain.</w:t>
      </w:r>
    </w:p>
    <w:p w14:paraId="2F25EAB3" w14:textId="0EDCEEE2" w:rsidR="00A243A5" w:rsidRPr="0054775B" w:rsidRDefault="00E104C2" w:rsidP="009E6F7F">
      <w:r w:rsidRPr="0054775B">
        <w:t>Diagnosing the root cause of recurrent infections involves a thorough history, physical examination, and potentially laboratory tests like blood counts, immune function testing, and genetic analysis. This helps rule out underlying conditions like immunodeficiencies, anatomical abnormalities, or chronic diseases.</w:t>
      </w:r>
      <w:r w:rsidR="00C16BE6" w:rsidRPr="0054775B">
        <w:t xml:space="preserve"> </w:t>
      </w:r>
      <w:r w:rsidR="006570AC" w:rsidRPr="0054775B">
        <w:t xml:space="preserve">First line of treatment for most infections is antibiotics, though infections that are recurrent often </w:t>
      </w:r>
      <w:r w:rsidR="00B42C73">
        <w:t>require</w:t>
      </w:r>
      <w:r w:rsidR="00B42C73" w:rsidRPr="0054775B">
        <w:t xml:space="preserve"> </w:t>
      </w:r>
      <w:r w:rsidR="006570AC" w:rsidRPr="0054775B">
        <w:t xml:space="preserve">prevention. Prevention and treatment options that are used in current practice, with varying evidence, include behavioural changes and naturopathy-based interventions such as dietary supplementation (e.g. cranberry products, probiotics) and Chinese herbal medicines </w:t>
      </w:r>
      <w:r w:rsidR="00227084">
        <w:rPr>
          <w:noProof/>
        </w:rPr>
        <w:t>(192)</w:t>
      </w:r>
      <w:r w:rsidR="006570AC" w:rsidRPr="0054775B">
        <w:t>.</w:t>
      </w:r>
    </w:p>
    <w:p w14:paraId="52CF666E" w14:textId="38DC02CD" w:rsidR="00544353" w:rsidRPr="0054775B" w:rsidRDefault="00544353" w:rsidP="00544353">
      <w:r w:rsidRPr="006A6E39">
        <w:t>Many infections are at risk of recurrence (depending on their definition). To keep scope manageable, articles were only included if they were focused on prevention and treatment of relapse, reinfection</w:t>
      </w:r>
      <w:r w:rsidR="00C4427C">
        <w:t>,</w:t>
      </w:r>
      <w:r w:rsidRPr="006A6E39">
        <w:t xml:space="preserve"> or recurrence of an infection (and not on initial infection that may reoccur). This had to be clearly specified in the review of interest.</w:t>
      </w:r>
    </w:p>
    <w:p w14:paraId="1F1548BF" w14:textId="77777777" w:rsidR="008308E9" w:rsidRPr="0054775B" w:rsidRDefault="008308E9" w:rsidP="009E6F7F">
      <w:pPr>
        <w:pStyle w:val="2024HEADER3"/>
        <w:rPr>
          <w:rFonts w:ascii="Aptos" w:hAnsi="Aptos"/>
        </w:rPr>
      </w:pPr>
      <w:r w:rsidRPr="0054775B">
        <w:rPr>
          <w:rFonts w:ascii="Aptos" w:hAnsi="Aptos"/>
        </w:rPr>
        <w:t>Description of the intervention</w:t>
      </w:r>
    </w:p>
    <w:p w14:paraId="330F6095" w14:textId="4C87E8F8" w:rsidR="001E2230" w:rsidRPr="0054775B" w:rsidRDefault="00933393" w:rsidP="009E6F7F">
      <w:r w:rsidRPr="0054775B">
        <w:t xml:space="preserve">Zinc (Zn) is an essential trace mineral required by the human body in small amounts. Zinc plays crucial physiological roles, serving as a cofactor for numerous enzymes involved in diverse processes including DNA synthesis, immune function, wound healing, and growth and development </w:t>
      </w:r>
      <w:r w:rsidR="00F54937">
        <w:rPr>
          <w:noProof/>
        </w:rPr>
        <w:t>(131, 132)</w:t>
      </w:r>
      <w:r w:rsidRPr="0054775B">
        <w:t xml:space="preserve">. Zinc is found in most tissues, but is particularly concentrated in bones, muscles, the prostate gland, and the eyes </w:t>
      </w:r>
      <w:r w:rsidR="00F54937">
        <w:rPr>
          <w:noProof/>
        </w:rPr>
        <w:t>(132)</w:t>
      </w:r>
      <w:r w:rsidRPr="0054775B">
        <w:t xml:space="preserve">. The body cannot manufacture zinc, and so intake via diet or supplementation to maintain adequate levels is needed. Zinc is naturally found in various foods, including animal sources (oysters, red meat, poultry, and seafood), plant sources (legumes, nuts, seeds, and whole grains) and fortified foods (some breakfast cereals and other processed products). It is also available in dietary supplements, often in the forms of zinc gluconate, zinc sulfate, or zinc citrate and typically taken orally in capsule, tablet, or liquid form </w:t>
      </w:r>
      <w:r w:rsidR="00F54937">
        <w:rPr>
          <w:noProof/>
        </w:rPr>
        <w:t>(131)</w:t>
      </w:r>
      <w:r w:rsidRPr="0054775B">
        <w:t xml:space="preserve">. The recommended dietary </w:t>
      </w:r>
      <w:r w:rsidR="00241F29" w:rsidRPr="0054775B">
        <w:t xml:space="preserve">intake for zinc varies depending on age and sex, but generally ranges from 8-14 mg daily for adults </w:t>
      </w:r>
      <w:r w:rsidR="00A61385">
        <w:rPr>
          <w:noProof/>
        </w:rPr>
        <w:t>(19)</w:t>
      </w:r>
      <w:r w:rsidR="00241F29" w:rsidRPr="0054775B">
        <w:t xml:space="preserve">. </w:t>
      </w:r>
      <w:r w:rsidRPr="0054775B">
        <w:t xml:space="preserve">Zinc supplements often provide slightly higher doses than </w:t>
      </w:r>
      <w:r w:rsidR="00E76426" w:rsidRPr="0054775B">
        <w:t>RD</w:t>
      </w:r>
      <w:r w:rsidR="00E76426">
        <w:t>I</w:t>
      </w:r>
      <w:r w:rsidRPr="0054775B">
        <w:t xml:space="preserve">. This is generally safe, though excessive intake can lead to gastrointestinal issues and may interfere with the absorption of other minerals. </w:t>
      </w:r>
    </w:p>
    <w:p w14:paraId="6CCA0063" w14:textId="0290E991" w:rsidR="007B4C4F" w:rsidRPr="0054775B" w:rsidRDefault="00A81D63" w:rsidP="00CB2479">
      <w:r w:rsidRPr="0054775B">
        <w:t>It is hypothesised that zinc’s immune-boosting, anti-inflammatory</w:t>
      </w:r>
      <w:r w:rsidR="00A75BF6" w:rsidRPr="0054775B">
        <w:t xml:space="preserve"> </w:t>
      </w:r>
      <w:r w:rsidR="00227084">
        <w:rPr>
          <w:noProof/>
        </w:rPr>
        <w:t>(193)</w:t>
      </w:r>
      <w:r w:rsidRPr="0054775B">
        <w:t>, and antiviral properties contribute to its role in preventing recurrent infections</w:t>
      </w:r>
      <w:r w:rsidR="00D47BBE" w:rsidRPr="0054775B">
        <w:t xml:space="preserve"> </w:t>
      </w:r>
      <w:r w:rsidR="00227084">
        <w:rPr>
          <w:noProof/>
        </w:rPr>
        <w:t>(194)</w:t>
      </w:r>
      <w:r w:rsidRPr="0054775B">
        <w:t xml:space="preserve">. </w:t>
      </w:r>
      <w:r w:rsidR="00CB2479" w:rsidRPr="0054775B">
        <w:t>Zinc is essential for the proper functioning of immune cells, including T cells, B cells, and natural killer (NK) cells.</w:t>
      </w:r>
      <w:r w:rsidR="00F96F34" w:rsidRPr="0054775B">
        <w:t xml:space="preserve"> </w:t>
      </w:r>
      <w:r w:rsidR="00CB2479" w:rsidRPr="0054775B">
        <w:t xml:space="preserve">It enhances </w:t>
      </w:r>
      <w:r w:rsidR="00CB2479" w:rsidRPr="0054775B">
        <w:lastRenderedPageBreak/>
        <w:t>immune responses, helping the body fight off infections more effectively.</w:t>
      </w:r>
      <w:r w:rsidR="00F96F34" w:rsidRPr="0054775B">
        <w:t xml:space="preserve"> </w:t>
      </w:r>
      <w:r w:rsidR="00CB2479" w:rsidRPr="0054775B">
        <w:t>Zinc</w:t>
      </w:r>
      <w:r w:rsidR="00F96F34" w:rsidRPr="0054775B">
        <w:t xml:space="preserve"> also </w:t>
      </w:r>
      <w:r w:rsidR="00CB2479" w:rsidRPr="0054775B">
        <w:t xml:space="preserve">possesses anti-inflammatory properties by inhibiting NF-κB </w:t>
      </w:r>
      <w:r w:rsidR="00D47BBE" w:rsidRPr="0054775B">
        <w:t>signalling</w:t>
      </w:r>
      <w:r w:rsidR="00CB2479" w:rsidRPr="0054775B">
        <w:t>.</w:t>
      </w:r>
      <w:r w:rsidR="00B50500" w:rsidRPr="0054775B">
        <w:t xml:space="preserve"> </w:t>
      </w:r>
      <w:r w:rsidR="00CB2479" w:rsidRPr="0054775B">
        <w:t>This modulation of inflammatory pathways may limit the severity of infections, including recurrent ones.</w:t>
      </w:r>
      <w:r w:rsidR="006D48C9" w:rsidRPr="0054775B">
        <w:t xml:space="preserve"> </w:t>
      </w:r>
      <w:r w:rsidR="002219D8" w:rsidRPr="0054775B">
        <w:t xml:space="preserve">In addition, </w:t>
      </w:r>
      <w:r w:rsidR="00CB2479" w:rsidRPr="0054775B">
        <w:t>Zinc has been shown to have an antiviral effect by inhibiting virus-host cell interactions and viral replication.</w:t>
      </w:r>
      <w:r w:rsidR="00E118ED" w:rsidRPr="0054775B">
        <w:t xml:space="preserve"> </w:t>
      </w:r>
      <w:r w:rsidR="00CB2479" w:rsidRPr="0054775B">
        <w:t>This effect may reduce vulnerability to infectious diseases.</w:t>
      </w:r>
      <w:r w:rsidR="00FA645F" w:rsidRPr="0054775B">
        <w:t xml:space="preserve"> </w:t>
      </w:r>
      <w:r w:rsidR="00E83702" w:rsidRPr="0054775B">
        <w:t>As above</w:t>
      </w:r>
      <w:r w:rsidR="00E76426">
        <w:t>,</w:t>
      </w:r>
      <w:r w:rsidR="00E83702" w:rsidRPr="0054775B">
        <w:t xml:space="preserve"> </w:t>
      </w:r>
      <w:r w:rsidR="00CB2479" w:rsidRPr="0054775B">
        <w:t>Zinc supplementation</w:t>
      </w:r>
      <w:r w:rsidR="00A03681" w:rsidRPr="0054775B">
        <w:t xml:space="preserve"> is thought to</w:t>
      </w:r>
      <w:r w:rsidR="00CB2479" w:rsidRPr="0054775B">
        <w:t xml:space="preserve"> decreases oxidative stress biomarkers</w:t>
      </w:r>
      <w:r w:rsidR="00A73D07" w:rsidRPr="0054775B">
        <w:t xml:space="preserve">, </w:t>
      </w:r>
      <w:r w:rsidR="00CB2479" w:rsidRPr="0054775B">
        <w:t xml:space="preserve">maintaining cellular health, </w:t>
      </w:r>
      <w:r w:rsidR="00A73D07" w:rsidRPr="0054775B">
        <w:t xml:space="preserve">thereby </w:t>
      </w:r>
      <w:r w:rsidR="00CB2479" w:rsidRPr="0054775B">
        <w:t>zinc indirectly supports immune function and reduces infection risk.</w:t>
      </w:r>
    </w:p>
    <w:p w14:paraId="0E9488BA" w14:textId="77777777" w:rsidR="008308E9" w:rsidRPr="0054775B" w:rsidRDefault="008308E9" w:rsidP="009E6F7F">
      <w:pPr>
        <w:pStyle w:val="2024HEADER3"/>
        <w:rPr>
          <w:rFonts w:ascii="Aptos" w:hAnsi="Aptos"/>
        </w:rPr>
      </w:pPr>
      <w:r w:rsidRPr="0054775B">
        <w:rPr>
          <w:rFonts w:ascii="Aptos" w:hAnsi="Aptos"/>
        </w:rPr>
        <w:t>Prioritised outcomes</w:t>
      </w:r>
    </w:p>
    <w:p w14:paraId="143B4EEA" w14:textId="7DE768CC" w:rsidR="008B74BD" w:rsidRPr="0054775B" w:rsidRDefault="008B74BD" w:rsidP="009E6F7F">
      <w:r w:rsidRPr="0054775B">
        <w:t xml:space="preserve">Six </w:t>
      </w:r>
      <w:r w:rsidR="00933393" w:rsidRPr="0054775B">
        <w:t xml:space="preserve">priority outcomes were </w:t>
      </w:r>
      <w:r w:rsidR="0061001C" w:rsidRPr="0054775B">
        <w:t xml:space="preserve">identified by NTWC as part of the Outcome Prioritisation Exercise. These are listed below by order of priority. </w:t>
      </w:r>
      <w:r w:rsidR="00933393" w:rsidRPr="0054775B">
        <w:t>Outcomes were rated by their importance to decision-making, with those rated 7-9 being critical for decision-making</w:t>
      </w:r>
      <w:r w:rsidRPr="0054775B">
        <w:t xml:space="preserve">. </w:t>
      </w:r>
    </w:p>
    <w:p w14:paraId="197E4AB5" w14:textId="318FF1D0" w:rsidR="00764746" w:rsidRPr="0054775B" w:rsidRDefault="00A575E6" w:rsidP="006F63D3">
      <w:pPr>
        <w:pStyle w:val="2024TABLECAPTION"/>
        <w:rPr>
          <w:rFonts w:ascii="Aptos" w:hAnsi="Aptos"/>
        </w:rPr>
      </w:pPr>
      <w:bookmarkStart w:id="130" w:name="_Toc185261624"/>
      <w:r w:rsidRPr="0054775B">
        <w:rPr>
          <w:rFonts w:ascii="Aptos" w:hAnsi="Aptos"/>
        </w:rPr>
        <w:t xml:space="preserve">Table </w:t>
      </w:r>
      <w:r w:rsidR="002F1F6C" w:rsidRPr="0054775B">
        <w:rPr>
          <w:rFonts w:ascii="Aptos" w:hAnsi="Aptos"/>
        </w:rPr>
        <w:fldChar w:fldCharType="begin"/>
      </w:r>
      <w:r w:rsidR="002F1F6C" w:rsidRPr="0054775B">
        <w:rPr>
          <w:rFonts w:ascii="Aptos" w:hAnsi="Aptos"/>
        </w:rPr>
        <w:instrText xml:space="preserve"> SEQ Table \* ARABIC </w:instrText>
      </w:r>
      <w:r w:rsidR="002F1F6C" w:rsidRPr="0054775B">
        <w:rPr>
          <w:rFonts w:ascii="Aptos" w:hAnsi="Aptos"/>
        </w:rPr>
        <w:fldChar w:fldCharType="separate"/>
      </w:r>
      <w:r w:rsidR="00651E04">
        <w:rPr>
          <w:rFonts w:ascii="Aptos" w:hAnsi="Aptos"/>
          <w:noProof/>
        </w:rPr>
        <w:t>46</w:t>
      </w:r>
      <w:r w:rsidR="002F1F6C" w:rsidRPr="0054775B">
        <w:rPr>
          <w:rFonts w:ascii="Aptos" w:hAnsi="Aptos"/>
          <w:noProof/>
        </w:rPr>
        <w:fldChar w:fldCharType="end"/>
      </w:r>
      <w:r w:rsidRPr="0054775B">
        <w:rPr>
          <w:rFonts w:ascii="Aptos" w:hAnsi="Aptos"/>
        </w:rPr>
        <w:t xml:space="preserve">. </w:t>
      </w:r>
      <w:r w:rsidR="00764746" w:rsidRPr="0054775B">
        <w:rPr>
          <w:rFonts w:ascii="Aptos" w:hAnsi="Aptos"/>
        </w:rPr>
        <w:t xml:space="preserve">List of prioritised outcomes – </w:t>
      </w:r>
      <w:r w:rsidR="00E21E97" w:rsidRPr="0054775B">
        <w:rPr>
          <w:rFonts w:ascii="Aptos" w:hAnsi="Aptos"/>
        </w:rPr>
        <w:t>r</w:t>
      </w:r>
      <w:r w:rsidR="0012437F" w:rsidRPr="0054775B">
        <w:rPr>
          <w:rFonts w:ascii="Aptos" w:hAnsi="Aptos"/>
        </w:rPr>
        <w:t>ecurrent infection</w:t>
      </w:r>
      <w:r w:rsidR="00447A23" w:rsidRPr="0054775B">
        <w:rPr>
          <w:rFonts w:ascii="Aptos" w:hAnsi="Aptos"/>
        </w:rPr>
        <w:t>s</w:t>
      </w:r>
      <w:r w:rsidR="0012437F" w:rsidRPr="0054775B">
        <w:rPr>
          <w:rFonts w:ascii="Aptos" w:hAnsi="Aptos"/>
        </w:rPr>
        <w:t xml:space="preserve">, </w:t>
      </w:r>
      <w:r w:rsidR="00E21E97" w:rsidRPr="0054775B">
        <w:rPr>
          <w:rFonts w:ascii="Aptos" w:hAnsi="Aptos"/>
        </w:rPr>
        <w:t>z</w:t>
      </w:r>
      <w:r w:rsidR="0012437F" w:rsidRPr="0054775B">
        <w:rPr>
          <w:rFonts w:ascii="Aptos" w:hAnsi="Aptos"/>
        </w:rPr>
        <w:t xml:space="preserve">inc </w:t>
      </w:r>
      <w:r w:rsidR="00764746" w:rsidRPr="0054775B">
        <w:rPr>
          <w:rFonts w:ascii="Aptos" w:hAnsi="Aptos"/>
        </w:rPr>
        <w:t>(as assessed as part of the Outcome Prioritisation Exercise by NTWC).</w:t>
      </w:r>
      <w:bookmarkEnd w:id="130"/>
      <w:r w:rsidR="00764746" w:rsidRPr="0054775B">
        <w:rPr>
          <w:rFonts w:ascii="Aptos" w:hAnsi="Aptos"/>
        </w:rPr>
        <w:t> </w:t>
      </w:r>
    </w:p>
    <w:tbl>
      <w:tblPr>
        <w:tblW w:w="9209" w:type="dxa"/>
        <w:tblCellMar>
          <w:top w:w="28" w:type="dxa"/>
          <w:left w:w="57" w:type="dxa"/>
          <w:bottom w:w="28" w:type="dxa"/>
          <w:right w:w="28" w:type="dxa"/>
        </w:tblCellMar>
        <w:tblLook w:val="04A0" w:firstRow="1" w:lastRow="0" w:firstColumn="1" w:lastColumn="0" w:noHBand="0" w:noVBand="1"/>
      </w:tblPr>
      <w:tblGrid>
        <w:gridCol w:w="399"/>
        <w:gridCol w:w="1267"/>
        <w:gridCol w:w="1229"/>
        <w:gridCol w:w="758"/>
        <w:gridCol w:w="5556"/>
      </w:tblGrid>
      <w:tr w:rsidR="00A70B1C" w:rsidRPr="0054775B" w14:paraId="60578874" w14:textId="77777777" w:rsidTr="00816677">
        <w:trPr>
          <w:trHeight w:val="95"/>
        </w:trPr>
        <w:tc>
          <w:tcPr>
            <w:tcW w:w="0" w:type="auto"/>
            <w:vMerge w:val="restart"/>
            <w:tcBorders>
              <w:top w:val="single" w:sz="4" w:space="0" w:color="auto"/>
              <w:left w:val="single" w:sz="4" w:space="0" w:color="auto"/>
              <w:right w:val="single" w:sz="4" w:space="0" w:color="auto"/>
            </w:tcBorders>
            <w:shd w:val="clear" w:color="auto" w:fill="D9D9D9" w:themeFill="background1" w:themeFillShade="D9"/>
            <w:vAlign w:val="center"/>
            <w:hideMark/>
          </w:tcPr>
          <w:p w14:paraId="1D04D1C8" w14:textId="77777777" w:rsidR="00816677" w:rsidRPr="0054775B" w:rsidRDefault="00816677" w:rsidP="006F63D3">
            <w:pPr>
              <w:pStyle w:val="2024TABLEHEADER"/>
            </w:pPr>
            <w:r w:rsidRPr="0054775B">
              <w:t> #</w:t>
            </w:r>
          </w:p>
        </w:tc>
        <w:tc>
          <w:tcPr>
            <w:tcW w:w="1267" w:type="dxa"/>
            <w:vMerge w:val="restart"/>
            <w:tcBorders>
              <w:top w:val="single" w:sz="4" w:space="0" w:color="auto"/>
              <w:left w:val="nil"/>
              <w:right w:val="single" w:sz="4" w:space="0" w:color="auto"/>
            </w:tcBorders>
            <w:shd w:val="clear" w:color="auto" w:fill="D9D9D9" w:themeFill="background1" w:themeFillShade="D9"/>
            <w:vAlign w:val="center"/>
            <w:hideMark/>
          </w:tcPr>
          <w:p w14:paraId="5CF098D5" w14:textId="77777777" w:rsidR="00816677" w:rsidRPr="0054775B" w:rsidRDefault="00816677" w:rsidP="006F63D3">
            <w:pPr>
              <w:pStyle w:val="2024TABLEHEADER"/>
              <w:rPr>
                <w:color w:val="000000"/>
              </w:rPr>
            </w:pPr>
            <w:r w:rsidRPr="0054775B">
              <w:t>Priority population</w:t>
            </w:r>
          </w:p>
        </w:tc>
        <w:tc>
          <w:tcPr>
            <w:tcW w:w="1229" w:type="dxa"/>
            <w:vMerge w:val="restart"/>
            <w:tcBorders>
              <w:top w:val="single" w:sz="4" w:space="0" w:color="auto"/>
              <w:left w:val="nil"/>
              <w:right w:val="single" w:sz="4" w:space="0" w:color="auto"/>
            </w:tcBorders>
            <w:shd w:val="clear" w:color="auto" w:fill="D9D9D9" w:themeFill="background1" w:themeFillShade="D9"/>
            <w:vAlign w:val="center"/>
            <w:hideMark/>
          </w:tcPr>
          <w:p w14:paraId="1523FF8B" w14:textId="77777777" w:rsidR="00816677" w:rsidRPr="0054775B" w:rsidRDefault="00816677" w:rsidP="006F63D3">
            <w:pPr>
              <w:pStyle w:val="2024TABLEHEADER"/>
              <w:rPr>
                <w:color w:val="000000"/>
              </w:rPr>
            </w:pPr>
            <w:r w:rsidRPr="0054775B">
              <w:t xml:space="preserve">Priority intervention </w:t>
            </w:r>
          </w:p>
        </w:tc>
        <w:tc>
          <w:tcPr>
            <w:tcW w:w="6314" w:type="dxa"/>
            <w:gridSpan w:val="2"/>
            <w:tcBorders>
              <w:top w:val="single" w:sz="4" w:space="0" w:color="auto"/>
              <w:left w:val="nil"/>
              <w:bottom w:val="single" w:sz="4" w:space="0" w:color="auto"/>
              <w:right w:val="single" w:sz="4" w:space="0" w:color="auto"/>
            </w:tcBorders>
            <w:shd w:val="clear" w:color="auto" w:fill="D9D9D9" w:themeFill="background1" w:themeFillShade="D9"/>
            <w:vAlign w:val="center"/>
          </w:tcPr>
          <w:p w14:paraId="5B3DCDD5" w14:textId="77777777" w:rsidR="00816677" w:rsidRPr="0054775B" w:rsidRDefault="00816677" w:rsidP="006F63D3">
            <w:pPr>
              <w:pStyle w:val="2024TABLEHEADER"/>
            </w:pPr>
            <w:r w:rsidRPr="0054775B">
              <w:t>Priority outcomes</w:t>
            </w:r>
          </w:p>
        </w:tc>
      </w:tr>
      <w:tr w:rsidR="00A70B1C" w:rsidRPr="0054775B" w14:paraId="7A0FFBC1" w14:textId="77777777" w:rsidTr="00816677">
        <w:trPr>
          <w:trHeight w:val="95"/>
        </w:trPr>
        <w:tc>
          <w:tcPr>
            <w:tcW w:w="0" w:type="auto"/>
            <w:vMerge/>
            <w:tcBorders>
              <w:left w:val="single" w:sz="4" w:space="0" w:color="auto"/>
              <w:bottom w:val="single" w:sz="4" w:space="0" w:color="auto"/>
              <w:right w:val="single" w:sz="4" w:space="0" w:color="auto"/>
            </w:tcBorders>
            <w:shd w:val="clear" w:color="auto" w:fill="D9D9D9" w:themeFill="background1" w:themeFillShade="D9"/>
            <w:vAlign w:val="center"/>
          </w:tcPr>
          <w:p w14:paraId="191AA3FB" w14:textId="77777777" w:rsidR="00816677" w:rsidRPr="0054775B" w:rsidRDefault="00816677" w:rsidP="00816677">
            <w:pPr>
              <w:pStyle w:val="2024TABLEHEADER"/>
            </w:pPr>
          </w:p>
        </w:tc>
        <w:tc>
          <w:tcPr>
            <w:tcW w:w="1267" w:type="dxa"/>
            <w:vMerge/>
            <w:tcBorders>
              <w:left w:val="nil"/>
              <w:bottom w:val="single" w:sz="4" w:space="0" w:color="auto"/>
              <w:right w:val="single" w:sz="4" w:space="0" w:color="auto"/>
            </w:tcBorders>
            <w:shd w:val="clear" w:color="auto" w:fill="D9D9D9" w:themeFill="background1" w:themeFillShade="D9"/>
            <w:vAlign w:val="center"/>
          </w:tcPr>
          <w:p w14:paraId="2E11A5DB" w14:textId="77777777" w:rsidR="00816677" w:rsidRPr="0054775B" w:rsidRDefault="00816677" w:rsidP="00816677">
            <w:pPr>
              <w:pStyle w:val="2024TABLEHEADER"/>
            </w:pPr>
          </w:p>
        </w:tc>
        <w:tc>
          <w:tcPr>
            <w:tcW w:w="1229" w:type="dxa"/>
            <w:vMerge/>
            <w:tcBorders>
              <w:left w:val="nil"/>
              <w:bottom w:val="single" w:sz="4" w:space="0" w:color="auto"/>
              <w:right w:val="single" w:sz="4" w:space="0" w:color="auto"/>
            </w:tcBorders>
            <w:shd w:val="clear" w:color="auto" w:fill="D9D9D9" w:themeFill="background1" w:themeFillShade="D9"/>
            <w:vAlign w:val="center"/>
          </w:tcPr>
          <w:p w14:paraId="76149BF2" w14:textId="77777777" w:rsidR="00816677" w:rsidRPr="0054775B" w:rsidRDefault="00816677" w:rsidP="00816677">
            <w:pPr>
              <w:pStyle w:val="2024TABLEHEADER"/>
            </w:pPr>
          </w:p>
        </w:tc>
        <w:tc>
          <w:tcPr>
            <w:tcW w:w="758" w:type="dxa"/>
            <w:tcBorders>
              <w:top w:val="nil"/>
              <w:left w:val="nil"/>
              <w:bottom w:val="single" w:sz="4" w:space="0" w:color="auto"/>
              <w:right w:val="single" w:sz="4" w:space="0" w:color="auto"/>
            </w:tcBorders>
            <w:shd w:val="clear" w:color="auto" w:fill="D9D9D9" w:themeFill="background1" w:themeFillShade="D9"/>
            <w:vAlign w:val="center"/>
          </w:tcPr>
          <w:p w14:paraId="0FAF8781" w14:textId="77777777" w:rsidR="00816677" w:rsidRPr="0054775B" w:rsidRDefault="00816677" w:rsidP="00816677">
            <w:pPr>
              <w:pStyle w:val="2024TABLEHEADER"/>
            </w:pPr>
            <w:r w:rsidRPr="0054775B">
              <w:t>NTWC Rating</w:t>
            </w:r>
          </w:p>
        </w:tc>
        <w:tc>
          <w:tcPr>
            <w:tcW w:w="5556" w:type="dxa"/>
            <w:tcBorders>
              <w:top w:val="nil"/>
              <w:left w:val="nil"/>
              <w:bottom w:val="single" w:sz="4" w:space="0" w:color="auto"/>
              <w:right w:val="single" w:sz="4" w:space="0" w:color="auto"/>
            </w:tcBorders>
            <w:shd w:val="clear" w:color="auto" w:fill="D9D9D9" w:themeFill="background1" w:themeFillShade="D9"/>
            <w:vAlign w:val="center"/>
          </w:tcPr>
          <w:p w14:paraId="5BEE2B9D" w14:textId="47C7DC7F" w:rsidR="00816677" w:rsidRPr="0054775B" w:rsidRDefault="00816677" w:rsidP="00816677">
            <w:pPr>
              <w:pStyle w:val="2024TABLEHEADER"/>
            </w:pPr>
            <w:r w:rsidRPr="0054775B">
              <w:t xml:space="preserve">Outcome </w:t>
            </w:r>
            <w:r w:rsidR="00B62EAB">
              <w:t>d</w:t>
            </w:r>
            <w:r w:rsidRPr="0054775B">
              <w:t>omain</w:t>
            </w:r>
          </w:p>
        </w:tc>
      </w:tr>
      <w:tr w:rsidR="002B69D4" w:rsidRPr="0054775B" w14:paraId="04053845" w14:textId="77777777" w:rsidTr="001428E8">
        <w:trPr>
          <w:trHeight w:val="95"/>
        </w:trPr>
        <w:tc>
          <w:tcPr>
            <w:tcW w:w="0" w:type="auto"/>
            <w:vMerge w:val="restart"/>
            <w:tcBorders>
              <w:top w:val="single" w:sz="4" w:space="0" w:color="auto"/>
              <w:left w:val="single" w:sz="4" w:space="0" w:color="auto"/>
              <w:right w:val="single" w:sz="4" w:space="0" w:color="auto"/>
            </w:tcBorders>
            <w:shd w:val="clear" w:color="auto" w:fill="auto"/>
            <w:vAlign w:val="center"/>
          </w:tcPr>
          <w:p w14:paraId="523A15FF" w14:textId="02EF5728" w:rsidR="00816677" w:rsidRPr="0054775B" w:rsidRDefault="00816677" w:rsidP="00816677">
            <w:pPr>
              <w:pStyle w:val="2024TABLETEXT"/>
              <w:framePr w:hSpace="0" w:wrap="auto" w:vAnchor="margin" w:yAlign="inline"/>
              <w:suppressOverlap w:val="0"/>
            </w:pPr>
            <w:r w:rsidRPr="0054775B">
              <w:t>14</w:t>
            </w:r>
          </w:p>
        </w:tc>
        <w:tc>
          <w:tcPr>
            <w:tcW w:w="1267" w:type="dxa"/>
            <w:vMerge w:val="restart"/>
            <w:tcBorders>
              <w:top w:val="single" w:sz="4" w:space="0" w:color="auto"/>
              <w:left w:val="nil"/>
              <w:right w:val="single" w:sz="4" w:space="0" w:color="auto"/>
            </w:tcBorders>
            <w:shd w:val="clear" w:color="auto" w:fill="auto"/>
            <w:vAlign w:val="center"/>
          </w:tcPr>
          <w:p w14:paraId="196AAD48" w14:textId="32EF5241" w:rsidR="00816677" w:rsidRPr="0054775B" w:rsidRDefault="00816677" w:rsidP="00816677">
            <w:pPr>
              <w:pStyle w:val="2024TABLETEXT"/>
              <w:framePr w:hSpace="0" w:wrap="auto" w:vAnchor="margin" w:yAlign="inline"/>
              <w:suppressOverlap w:val="0"/>
            </w:pPr>
            <w:r w:rsidRPr="0054775B">
              <w:t>Recurrent infection/s (including urinary tract infections, cystitis, respiratory tract infection, otitis media in children, etc.)</w:t>
            </w:r>
          </w:p>
        </w:tc>
        <w:tc>
          <w:tcPr>
            <w:tcW w:w="1229" w:type="dxa"/>
            <w:vMerge w:val="restart"/>
            <w:tcBorders>
              <w:top w:val="single" w:sz="4" w:space="0" w:color="auto"/>
              <w:left w:val="nil"/>
              <w:right w:val="single" w:sz="4" w:space="0" w:color="auto"/>
            </w:tcBorders>
            <w:shd w:val="clear" w:color="auto" w:fill="auto"/>
            <w:vAlign w:val="center"/>
          </w:tcPr>
          <w:p w14:paraId="2C866E3C" w14:textId="22334E5A" w:rsidR="00816677" w:rsidRPr="0054775B" w:rsidRDefault="00816677" w:rsidP="00816677">
            <w:pPr>
              <w:pStyle w:val="2024TABLETEXT"/>
              <w:framePr w:hSpace="0" w:wrap="auto" w:vAnchor="margin" w:yAlign="inline"/>
              <w:suppressOverlap w:val="0"/>
            </w:pPr>
            <w:r w:rsidRPr="0054775B">
              <w:t>Zinc</w:t>
            </w:r>
          </w:p>
        </w:tc>
        <w:tc>
          <w:tcPr>
            <w:tcW w:w="758" w:type="dxa"/>
            <w:tcBorders>
              <w:top w:val="single" w:sz="4" w:space="0" w:color="auto"/>
              <w:left w:val="nil"/>
              <w:bottom w:val="single" w:sz="4" w:space="0" w:color="auto"/>
              <w:right w:val="single" w:sz="4" w:space="0" w:color="auto"/>
            </w:tcBorders>
            <w:shd w:val="clear" w:color="auto" w:fill="auto"/>
            <w:vAlign w:val="center"/>
          </w:tcPr>
          <w:p w14:paraId="3C3FCDC9" w14:textId="255188CC" w:rsidR="00816677" w:rsidRPr="0054775B" w:rsidRDefault="00816677" w:rsidP="00816677">
            <w:pPr>
              <w:pStyle w:val="2024TABLETEXT"/>
              <w:framePr w:hSpace="0" w:wrap="auto" w:vAnchor="margin" w:yAlign="inline"/>
              <w:suppressOverlap w:val="0"/>
            </w:pPr>
            <w:r w:rsidRPr="0054775B">
              <w:t>9</w:t>
            </w:r>
          </w:p>
        </w:tc>
        <w:tc>
          <w:tcPr>
            <w:tcW w:w="5556" w:type="dxa"/>
            <w:tcBorders>
              <w:top w:val="single" w:sz="4" w:space="0" w:color="auto"/>
              <w:left w:val="nil"/>
              <w:bottom w:val="single" w:sz="4" w:space="0" w:color="auto"/>
              <w:right w:val="single" w:sz="4" w:space="0" w:color="auto"/>
            </w:tcBorders>
            <w:shd w:val="clear" w:color="auto" w:fill="auto"/>
            <w:vAlign w:val="center"/>
          </w:tcPr>
          <w:p w14:paraId="76C677A0" w14:textId="43F9B321" w:rsidR="00816677" w:rsidRPr="0054775B" w:rsidRDefault="00816677" w:rsidP="00816677">
            <w:pPr>
              <w:pStyle w:val="2024TABLETEXT"/>
              <w:framePr w:hSpace="0" w:wrap="auto" w:vAnchor="margin" w:yAlign="inline"/>
              <w:suppressOverlap w:val="0"/>
            </w:pPr>
            <w:r w:rsidRPr="0054775B">
              <w:t>Overall control of disease (recurrence)</w:t>
            </w:r>
          </w:p>
        </w:tc>
      </w:tr>
      <w:tr w:rsidR="002B69D4" w:rsidRPr="0054775B" w14:paraId="5A3EBAA0" w14:textId="77777777" w:rsidTr="001428E8">
        <w:trPr>
          <w:trHeight w:val="95"/>
        </w:trPr>
        <w:tc>
          <w:tcPr>
            <w:tcW w:w="0" w:type="auto"/>
            <w:vMerge/>
            <w:tcBorders>
              <w:left w:val="single" w:sz="4" w:space="0" w:color="auto"/>
              <w:right w:val="single" w:sz="4" w:space="0" w:color="auto"/>
            </w:tcBorders>
            <w:shd w:val="clear" w:color="auto" w:fill="auto"/>
            <w:vAlign w:val="center"/>
          </w:tcPr>
          <w:p w14:paraId="574C5461" w14:textId="77777777" w:rsidR="00816677" w:rsidRPr="0054775B" w:rsidRDefault="00816677" w:rsidP="00816677">
            <w:pPr>
              <w:pStyle w:val="2024TABLETEXT"/>
              <w:framePr w:hSpace="0" w:wrap="auto" w:vAnchor="margin" w:yAlign="inline"/>
              <w:suppressOverlap w:val="0"/>
            </w:pPr>
          </w:p>
        </w:tc>
        <w:tc>
          <w:tcPr>
            <w:tcW w:w="1267" w:type="dxa"/>
            <w:vMerge/>
            <w:tcBorders>
              <w:left w:val="nil"/>
              <w:right w:val="single" w:sz="4" w:space="0" w:color="auto"/>
            </w:tcBorders>
            <w:shd w:val="clear" w:color="auto" w:fill="auto"/>
            <w:vAlign w:val="center"/>
          </w:tcPr>
          <w:p w14:paraId="264DF89D" w14:textId="77777777" w:rsidR="00816677" w:rsidRPr="0054775B" w:rsidRDefault="00816677" w:rsidP="00816677">
            <w:pPr>
              <w:pStyle w:val="2024TABLETEXT"/>
              <w:framePr w:hSpace="0" w:wrap="auto" w:vAnchor="margin" w:yAlign="inline"/>
              <w:suppressOverlap w:val="0"/>
            </w:pPr>
          </w:p>
        </w:tc>
        <w:tc>
          <w:tcPr>
            <w:tcW w:w="1229" w:type="dxa"/>
            <w:vMerge/>
            <w:tcBorders>
              <w:left w:val="nil"/>
              <w:right w:val="single" w:sz="4" w:space="0" w:color="auto"/>
            </w:tcBorders>
            <w:shd w:val="clear" w:color="auto" w:fill="auto"/>
            <w:vAlign w:val="center"/>
          </w:tcPr>
          <w:p w14:paraId="18475DAE" w14:textId="77777777" w:rsidR="00816677" w:rsidRPr="0054775B" w:rsidRDefault="00816677" w:rsidP="00816677">
            <w:pPr>
              <w:pStyle w:val="2024TABLETEXT"/>
              <w:framePr w:hSpace="0" w:wrap="auto" w:vAnchor="margin" w:yAlign="inline"/>
              <w:suppressOverlap w:val="0"/>
            </w:pPr>
          </w:p>
        </w:tc>
        <w:tc>
          <w:tcPr>
            <w:tcW w:w="758" w:type="dxa"/>
            <w:tcBorders>
              <w:top w:val="nil"/>
              <w:left w:val="nil"/>
              <w:bottom w:val="single" w:sz="4" w:space="0" w:color="auto"/>
              <w:right w:val="single" w:sz="4" w:space="0" w:color="auto"/>
            </w:tcBorders>
            <w:shd w:val="clear" w:color="auto" w:fill="auto"/>
            <w:vAlign w:val="center"/>
          </w:tcPr>
          <w:p w14:paraId="04E189FF" w14:textId="5D59DB98" w:rsidR="00816677" w:rsidRPr="0054775B" w:rsidRDefault="00816677" w:rsidP="00816677">
            <w:pPr>
              <w:pStyle w:val="2024TABLETEXT"/>
              <w:framePr w:hSpace="0" w:wrap="auto" w:vAnchor="margin" w:yAlign="inline"/>
              <w:suppressOverlap w:val="0"/>
            </w:pPr>
            <w:r w:rsidRPr="0054775B">
              <w:t>9</w:t>
            </w:r>
          </w:p>
        </w:tc>
        <w:tc>
          <w:tcPr>
            <w:tcW w:w="5556" w:type="dxa"/>
            <w:tcBorders>
              <w:top w:val="nil"/>
              <w:left w:val="nil"/>
              <w:bottom w:val="single" w:sz="4" w:space="0" w:color="auto"/>
              <w:right w:val="single" w:sz="4" w:space="0" w:color="auto"/>
            </w:tcBorders>
            <w:shd w:val="clear" w:color="auto" w:fill="auto"/>
            <w:vAlign w:val="center"/>
          </w:tcPr>
          <w:p w14:paraId="5B77AE70" w14:textId="5B4A318E" w:rsidR="00816677" w:rsidRPr="0054775B" w:rsidRDefault="00816677" w:rsidP="00816677">
            <w:pPr>
              <w:pStyle w:val="2024TABLETEXT"/>
              <w:framePr w:hSpace="0" w:wrap="auto" w:vAnchor="margin" w:yAlign="inline"/>
              <w:suppressOverlap w:val="0"/>
            </w:pPr>
            <w:r w:rsidRPr="0054775B">
              <w:t>Overall severity of symptoms</w:t>
            </w:r>
          </w:p>
        </w:tc>
      </w:tr>
      <w:tr w:rsidR="002B69D4" w:rsidRPr="0054775B" w14:paraId="75CCDD8E" w14:textId="77777777" w:rsidTr="001428E8">
        <w:trPr>
          <w:trHeight w:val="95"/>
        </w:trPr>
        <w:tc>
          <w:tcPr>
            <w:tcW w:w="0" w:type="auto"/>
            <w:vMerge/>
            <w:tcBorders>
              <w:left w:val="single" w:sz="4" w:space="0" w:color="auto"/>
              <w:right w:val="single" w:sz="4" w:space="0" w:color="auto"/>
            </w:tcBorders>
            <w:shd w:val="clear" w:color="auto" w:fill="auto"/>
            <w:vAlign w:val="center"/>
          </w:tcPr>
          <w:p w14:paraId="338A7D58" w14:textId="77777777" w:rsidR="00816677" w:rsidRPr="0054775B" w:rsidRDefault="00816677" w:rsidP="00816677">
            <w:pPr>
              <w:pStyle w:val="2024TABLETEXT"/>
              <w:framePr w:hSpace="0" w:wrap="auto" w:vAnchor="margin" w:yAlign="inline"/>
              <w:suppressOverlap w:val="0"/>
            </w:pPr>
          </w:p>
        </w:tc>
        <w:tc>
          <w:tcPr>
            <w:tcW w:w="1267" w:type="dxa"/>
            <w:vMerge/>
            <w:tcBorders>
              <w:left w:val="nil"/>
              <w:right w:val="single" w:sz="4" w:space="0" w:color="auto"/>
            </w:tcBorders>
            <w:shd w:val="clear" w:color="auto" w:fill="auto"/>
            <w:vAlign w:val="center"/>
          </w:tcPr>
          <w:p w14:paraId="62F75E0D" w14:textId="77777777" w:rsidR="00816677" w:rsidRPr="0054775B" w:rsidRDefault="00816677" w:rsidP="00816677">
            <w:pPr>
              <w:pStyle w:val="2024TABLETEXT"/>
              <w:framePr w:hSpace="0" w:wrap="auto" w:vAnchor="margin" w:yAlign="inline"/>
              <w:suppressOverlap w:val="0"/>
            </w:pPr>
          </w:p>
        </w:tc>
        <w:tc>
          <w:tcPr>
            <w:tcW w:w="1229" w:type="dxa"/>
            <w:vMerge/>
            <w:tcBorders>
              <w:left w:val="nil"/>
              <w:right w:val="single" w:sz="4" w:space="0" w:color="auto"/>
            </w:tcBorders>
            <w:shd w:val="clear" w:color="auto" w:fill="auto"/>
            <w:vAlign w:val="center"/>
          </w:tcPr>
          <w:p w14:paraId="46E004B2" w14:textId="77777777" w:rsidR="00816677" w:rsidRPr="0054775B" w:rsidRDefault="00816677" w:rsidP="00816677">
            <w:pPr>
              <w:pStyle w:val="2024TABLETEXT"/>
              <w:framePr w:hSpace="0" w:wrap="auto" w:vAnchor="margin" w:yAlign="inline"/>
              <w:suppressOverlap w:val="0"/>
            </w:pPr>
          </w:p>
        </w:tc>
        <w:tc>
          <w:tcPr>
            <w:tcW w:w="758" w:type="dxa"/>
            <w:tcBorders>
              <w:top w:val="nil"/>
              <w:left w:val="nil"/>
              <w:bottom w:val="single" w:sz="4" w:space="0" w:color="auto"/>
              <w:right w:val="single" w:sz="4" w:space="0" w:color="auto"/>
            </w:tcBorders>
            <w:shd w:val="clear" w:color="auto" w:fill="auto"/>
            <w:vAlign w:val="center"/>
          </w:tcPr>
          <w:p w14:paraId="1B20F0B1" w14:textId="485BFE89" w:rsidR="00816677" w:rsidRPr="0054775B" w:rsidRDefault="00816677" w:rsidP="00816677">
            <w:pPr>
              <w:pStyle w:val="2024TABLETEXT"/>
              <w:framePr w:hSpace="0" w:wrap="auto" w:vAnchor="margin" w:yAlign="inline"/>
              <w:suppressOverlap w:val="0"/>
            </w:pPr>
            <w:r w:rsidRPr="0054775B">
              <w:t>8</w:t>
            </w:r>
          </w:p>
        </w:tc>
        <w:tc>
          <w:tcPr>
            <w:tcW w:w="5556" w:type="dxa"/>
            <w:tcBorders>
              <w:top w:val="nil"/>
              <w:left w:val="nil"/>
              <w:bottom w:val="single" w:sz="4" w:space="0" w:color="auto"/>
              <w:right w:val="single" w:sz="4" w:space="0" w:color="auto"/>
            </w:tcBorders>
            <w:shd w:val="clear" w:color="auto" w:fill="auto"/>
            <w:vAlign w:val="center"/>
          </w:tcPr>
          <w:p w14:paraId="59BE697A" w14:textId="0C40A178" w:rsidR="00816677" w:rsidRPr="0054775B" w:rsidRDefault="00816677" w:rsidP="00816677">
            <w:pPr>
              <w:pStyle w:val="2024TABLETEXT"/>
              <w:framePr w:hSpace="0" w:wrap="auto" w:vAnchor="margin" w:yAlign="inline"/>
              <w:suppressOverlap w:val="0"/>
            </w:pPr>
            <w:r w:rsidRPr="0054775B">
              <w:t>Time (days) from initiation of treatment to resolution of symptoms</w:t>
            </w:r>
          </w:p>
        </w:tc>
      </w:tr>
      <w:tr w:rsidR="002B69D4" w:rsidRPr="0054775B" w14:paraId="74783026" w14:textId="77777777" w:rsidTr="001428E8">
        <w:trPr>
          <w:trHeight w:val="95"/>
        </w:trPr>
        <w:tc>
          <w:tcPr>
            <w:tcW w:w="0" w:type="auto"/>
            <w:vMerge/>
            <w:tcBorders>
              <w:left w:val="single" w:sz="4" w:space="0" w:color="auto"/>
              <w:right w:val="single" w:sz="4" w:space="0" w:color="auto"/>
            </w:tcBorders>
            <w:shd w:val="clear" w:color="auto" w:fill="auto"/>
            <w:vAlign w:val="center"/>
          </w:tcPr>
          <w:p w14:paraId="4F5C83C0" w14:textId="77777777" w:rsidR="00816677" w:rsidRPr="0054775B" w:rsidRDefault="00816677" w:rsidP="00816677">
            <w:pPr>
              <w:pStyle w:val="2024TABLETEXT"/>
              <w:framePr w:hSpace="0" w:wrap="auto" w:vAnchor="margin" w:yAlign="inline"/>
              <w:suppressOverlap w:val="0"/>
            </w:pPr>
          </w:p>
        </w:tc>
        <w:tc>
          <w:tcPr>
            <w:tcW w:w="1267" w:type="dxa"/>
            <w:vMerge/>
            <w:tcBorders>
              <w:left w:val="nil"/>
              <w:right w:val="single" w:sz="4" w:space="0" w:color="auto"/>
            </w:tcBorders>
            <w:shd w:val="clear" w:color="auto" w:fill="auto"/>
            <w:vAlign w:val="center"/>
          </w:tcPr>
          <w:p w14:paraId="2B373DA2" w14:textId="77777777" w:rsidR="00816677" w:rsidRPr="0054775B" w:rsidRDefault="00816677" w:rsidP="00816677">
            <w:pPr>
              <w:pStyle w:val="2024TABLETEXT"/>
              <w:framePr w:hSpace="0" w:wrap="auto" w:vAnchor="margin" w:yAlign="inline"/>
              <w:suppressOverlap w:val="0"/>
            </w:pPr>
          </w:p>
        </w:tc>
        <w:tc>
          <w:tcPr>
            <w:tcW w:w="1229" w:type="dxa"/>
            <w:vMerge/>
            <w:tcBorders>
              <w:left w:val="nil"/>
              <w:right w:val="single" w:sz="4" w:space="0" w:color="auto"/>
            </w:tcBorders>
            <w:shd w:val="clear" w:color="auto" w:fill="auto"/>
            <w:vAlign w:val="center"/>
          </w:tcPr>
          <w:p w14:paraId="01444460" w14:textId="77777777" w:rsidR="00816677" w:rsidRPr="0054775B" w:rsidRDefault="00816677" w:rsidP="00816677">
            <w:pPr>
              <w:pStyle w:val="2024TABLETEXT"/>
              <w:framePr w:hSpace="0" w:wrap="auto" w:vAnchor="margin" w:yAlign="inline"/>
              <w:suppressOverlap w:val="0"/>
            </w:pPr>
          </w:p>
        </w:tc>
        <w:tc>
          <w:tcPr>
            <w:tcW w:w="758" w:type="dxa"/>
            <w:tcBorders>
              <w:top w:val="nil"/>
              <w:left w:val="nil"/>
              <w:bottom w:val="single" w:sz="4" w:space="0" w:color="auto"/>
              <w:right w:val="single" w:sz="4" w:space="0" w:color="auto"/>
            </w:tcBorders>
            <w:shd w:val="clear" w:color="auto" w:fill="auto"/>
            <w:vAlign w:val="center"/>
          </w:tcPr>
          <w:p w14:paraId="32FFC628" w14:textId="267F27F3" w:rsidR="00816677" w:rsidRPr="0054775B" w:rsidRDefault="00816677" w:rsidP="00816677">
            <w:pPr>
              <w:pStyle w:val="2024TABLETEXT"/>
              <w:framePr w:hSpace="0" w:wrap="auto" w:vAnchor="margin" w:yAlign="inline"/>
              <w:suppressOverlap w:val="0"/>
            </w:pPr>
            <w:r w:rsidRPr="0054775B">
              <w:t>8</w:t>
            </w:r>
          </w:p>
        </w:tc>
        <w:tc>
          <w:tcPr>
            <w:tcW w:w="5556" w:type="dxa"/>
            <w:tcBorders>
              <w:top w:val="nil"/>
              <w:left w:val="nil"/>
              <w:bottom w:val="single" w:sz="4" w:space="0" w:color="auto"/>
              <w:right w:val="single" w:sz="4" w:space="0" w:color="auto"/>
            </w:tcBorders>
            <w:shd w:val="clear" w:color="auto" w:fill="auto"/>
            <w:vAlign w:val="center"/>
          </w:tcPr>
          <w:p w14:paraId="1961B79D" w14:textId="772C6752" w:rsidR="00816677" w:rsidRPr="0054775B" w:rsidRDefault="00816677" w:rsidP="00816677">
            <w:pPr>
              <w:pStyle w:val="2024TABLETEXT"/>
              <w:framePr w:hSpace="0" w:wrap="auto" w:vAnchor="margin" w:yAlign="inline"/>
              <w:suppressOverlap w:val="0"/>
            </w:pPr>
            <w:r w:rsidRPr="0054775B">
              <w:t>HRQoL</w:t>
            </w:r>
          </w:p>
        </w:tc>
      </w:tr>
      <w:tr w:rsidR="002B69D4" w:rsidRPr="0054775B" w14:paraId="1E79AC5C" w14:textId="77777777" w:rsidTr="001428E8">
        <w:trPr>
          <w:trHeight w:val="95"/>
        </w:trPr>
        <w:tc>
          <w:tcPr>
            <w:tcW w:w="0" w:type="auto"/>
            <w:vMerge/>
            <w:tcBorders>
              <w:left w:val="single" w:sz="4" w:space="0" w:color="auto"/>
              <w:right w:val="single" w:sz="4" w:space="0" w:color="auto"/>
            </w:tcBorders>
            <w:shd w:val="clear" w:color="auto" w:fill="auto"/>
            <w:vAlign w:val="center"/>
          </w:tcPr>
          <w:p w14:paraId="41DC19C4" w14:textId="77777777" w:rsidR="00816677" w:rsidRPr="0054775B" w:rsidRDefault="00816677" w:rsidP="00816677">
            <w:pPr>
              <w:pStyle w:val="2024TABLETEXT"/>
              <w:framePr w:hSpace="0" w:wrap="auto" w:vAnchor="margin" w:yAlign="inline"/>
              <w:suppressOverlap w:val="0"/>
            </w:pPr>
          </w:p>
        </w:tc>
        <w:tc>
          <w:tcPr>
            <w:tcW w:w="1267" w:type="dxa"/>
            <w:vMerge/>
            <w:tcBorders>
              <w:left w:val="nil"/>
              <w:right w:val="single" w:sz="4" w:space="0" w:color="auto"/>
            </w:tcBorders>
            <w:shd w:val="clear" w:color="auto" w:fill="auto"/>
            <w:vAlign w:val="center"/>
          </w:tcPr>
          <w:p w14:paraId="33D546B3" w14:textId="77777777" w:rsidR="00816677" w:rsidRPr="0054775B" w:rsidRDefault="00816677" w:rsidP="00816677">
            <w:pPr>
              <w:pStyle w:val="2024TABLETEXT"/>
              <w:framePr w:hSpace="0" w:wrap="auto" w:vAnchor="margin" w:yAlign="inline"/>
              <w:suppressOverlap w:val="0"/>
            </w:pPr>
          </w:p>
        </w:tc>
        <w:tc>
          <w:tcPr>
            <w:tcW w:w="1229" w:type="dxa"/>
            <w:vMerge/>
            <w:tcBorders>
              <w:left w:val="nil"/>
              <w:right w:val="single" w:sz="4" w:space="0" w:color="auto"/>
            </w:tcBorders>
            <w:shd w:val="clear" w:color="auto" w:fill="auto"/>
            <w:vAlign w:val="center"/>
          </w:tcPr>
          <w:p w14:paraId="18061A58" w14:textId="77777777" w:rsidR="00816677" w:rsidRPr="0054775B" w:rsidRDefault="00816677" w:rsidP="00816677">
            <w:pPr>
              <w:pStyle w:val="2024TABLETEXT"/>
              <w:framePr w:hSpace="0" w:wrap="auto" w:vAnchor="margin" w:yAlign="inline"/>
              <w:suppressOverlap w:val="0"/>
            </w:pPr>
          </w:p>
        </w:tc>
        <w:tc>
          <w:tcPr>
            <w:tcW w:w="758" w:type="dxa"/>
            <w:tcBorders>
              <w:top w:val="nil"/>
              <w:left w:val="nil"/>
              <w:bottom w:val="single" w:sz="4" w:space="0" w:color="auto"/>
              <w:right w:val="single" w:sz="4" w:space="0" w:color="auto"/>
            </w:tcBorders>
            <w:shd w:val="clear" w:color="auto" w:fill="auto"/>
            <w:vAlign w:val="center"/>
          </w:tcPr>
          <w:p w14:paraId="3D2D693A" w14:textId="7D84B104" w:rsidR="00816677" w:rsidRPr="0054775B" w:rsidRDefault="00816677" w:rsidP="00816677">
            <w:pPr>
              <w:pStyle w:val="2024TABLETEXT"/>
              <w:framePr w:hSpace="0" w:wrap="auto" w:vAnchor="margin" w:yAlign="inline"/>
              <w:suppressOverlap w:val="0"/>
            </w:pPr>
            <w:r w:rsidRPr="0054775B">
              <w:t>7</w:t>
            </w:r>
          </w:p>
        </w:tc>
        <w:tc>
          <w:tcPr>
            <w:tcW w:w="5556" w:type="dxa"/>
            <w:tcBorders>
              <w:top w:val="nil"/>
              <w:left w:val="nil"/>
              <w:bottom w:val="single" w:sz="4" w:space="0" w:color="auto"/>
              <w:right w:val="single" w:sz="4" w:space="0" w:color="auto"/>
            </w:tcBorders>
            <w:shd w:val="clear" w:color="auto" w:fill="auto"/>
            <w:vAlign w:val="center"/>
          </w:tcPr>
          <w:p w14:paraId="122AA5F2" w14:textId="6687ECCC" w:rsidR="00816677" w:rsidRPr="0054775B" w:rsidRDefault="00816677" w:rsidP="00816677">
            <w:pPr>
              <w:pStyle w:val="2024TABLETEXT"/>
              <w:framePr w:hSpace="0" w:wrap="auto" w:vAnchor="margin" w:yAlign="inline"/>
              <w:suppressOverlap w:val="0"/>
            </w:pPr>
            <w:r w:rsidRPr="0054775B">
              <w:t>Use of acute and prophylactic antibiotics for conditions where antibiotics are indicated</w:t>
            </w:r>
          </w:p>
        </w:tc>
      </w:tr>
      <w:tr w:rsidR="00CA696B" w:rsidRPr="0054775B" w14:paraId="2646A66C" w14:textId="77777777" w:rsidTr="001428E8">
        <w:trPr>
          <w:trHeight w:val="470"/>
        </w:trPr>
        <w:tc>
          <w:tcPr>
            <w:tcW w:w="0" w:type="auto"/>
            <w:vMerge/>
            <w:tcBorders>
              <w:left w:val="single" w:sz="4" w:space="0" w:color="auto"/>
              <w:bottom w:val="single" w:sz="4" w:space="0" w:color="auto"/>
              <w:right w:val="single" w:sz="4" w:space="0" w:color="auto"/>
            </w:tcBorders>
            <w:shd w:val="clear" w:color="auto" w:fill="auto"/>
            <w:vAlign w:val="center"/>
          </w:tcPr>
          <w:p w14:paraId="3CD6082F" w14:textId="77777777" w:rsidR="00816677" w:rsidRPr="0054775B" w:rsidRDefault="00816677" w:rsidP="00816677">
            <w:pPr>
              <w:pStyle w:val="2024TABLETEXT"/>
              <w:framePr w:hSpace="0" w:wrap="auto" w:vAnchor="margin" w:yAlign="inline"/>
              <w:suppressOverlap w:val="0"/>
            </w:pPr>
          </w:p>
        </w:tc>
        <w:tc>
          <w:tcPr>
            <w:tcW w:w="1267" w:type="dxa"/>
            <w:vMerge/>
            <w:tcBorders>
              <w:left w:val="nil"/>
              <w:bottom w:val="single" w:sz="4" w:space="0" w:color="auto"/>
              <w:right w:val="single" w:sz="4" w:space="0" w:color="auto"/>
            </w:tcBorders>
            <w:shd w:val="clear" w:color="auto" w:fill="auto"/>
            <w:vAlign w:val="center"/>
          </w:tcPr>
          <w:p w14:paraId="7A04C6D7" w14:textId="77777777" w:rsidR="00816677" w:rsidRPr="0054775B" w:rsidRDefault="00816677" w:rsidP="00816677">
            <w:pPr>
              <w:pStyle w:val="2024TABLETEXT"/>
              <w:framePr w:hSpace="0" w:wrap="auto" w:vAnchor="margin" w:yAlign="inline"/>
              <w:suppressOverlap w:val="0"/>
            </w:pPr>
          </w:p>
        </w:tc>
        <w:tc>
          <w:tcPr>
            <w:tcW w:w="1229" w:type="dxa"/>
            <w:vMerge/>
            <w:tcBorders>
              <w:left w:val="nil"/>
              <w:bottom w:val="single" w:sz="4" w:space="0" w:color="auto"/>
              <w:right w:val="single" w:sz="4" w:space="0" w:color="auto"/>
            </w:tcBorders>
            <w:shd w:val="clear" w:color="auto" w:fill="auto"/>
            <w:vAlign w:val="center"/>
          </w:tcPr>
          <w:p w14:paraId="244D2928" w14:textId="77777777" w:rsidR="00816677" w:rsidRPr="0054775B" w:rsidRDefault="00816677" w:rsidP="00816677">
            <w:pPr>
              <w:pStyle w:val="2024TABLETEXT"/>
              <w:framePr w:hSpace="0" w:wrap="auto" w:vAnchor="margin" w:yAlign="inline"/>
              <w:suppressOverlap w:val="0"/>
            </w:pPr>
          </w:p>
        </w:tc>
        <w:tc>
          <w:tcPr>
            <w:tcW w:w="758" w:type="dxa"/>
            <w:tcBorders>
              <w:top w:val="nil"/>
              <w:left w:val="nil"/>
              <w:bottom w:val="single" w:sz="4" w:space="0" w:color="auto"/>
              <w:right w:val="single" w:sz="4" w:space="0" w:color="auto"/>
            </w:tcBorders>
            <w:shd w:val="clear" w:color="auto" w:fill="auto"/>
            <w:vAlign w:val="center"/>
          </w:tcPr>
          <w:p w14:paraId="3F30B188" w14:textId="0794422D" w:rsidR="00816677" w:rsidRPr="0054775B" w:rsidRDefault="00816677" w:rsidP="00816677">
            <w:pPr>
              <w:pStyle w:val="2024TABLETEXT"/>
              <w:framePr w:hSpace="0" w:wrap="auto" w:vAnchor="margin" w:yAlign="inline"/>
              <w:suppressOverlap w:val="0"/>
            </w:pPr>
            <w:r w:rsidRPr="0054775B">
              <w:t>7</w:t>
            </w:r>
          </w:p>
        </w:tc>
        <w:tc>
          <w:tcPr>
            <w:tcW w:w="5556" w:type="dxa"/>
            <w:tcBorders>
              <w:top w:val="nil"/>
              <w:left w:val="nil"/>
              <w:bottom w:val="single" w:sz="4" w:space="0" w:color="auto"/>
              <w:right w:val="single" w:sz="4" w:space="0" w:color="auto"/>
            </w:tcBorders>
            <w:shd w:val="clear" w:color="auto" w:fill="auto"/>
            <w:vAlign w:val="center"/>
          </w:tcPr>
          <w:p w14:paraId="4A178B9E" w14:textId="5DBB79AF" w:rsidR="00816677" w:rsidRPr="0054775B" w:rsidRDefault="00816677" w:rsidP="00816677">
            <w:pPr>
              <w:pStyle w:val="2024TABLETEXT"/>
              <w:framePr w:hSpace="0" w:wrap="auto" w:vAnchor="margin" w:yAlign="inline"/>
              <w:suppressOverlap w:val="0"/>
            </w:pPr>
            <w:r w:rsidRPr="0054775B">
              <w:t>Duration of hospital stay</w:t>
            </w:r>
          </w:p>
        </w:tc>
      </w:tr>
    </w:tbl>
    <w:p w14:paraId="4C912835" w14:textId="77777777" w:rsidR="00933393" w:rsidRPr="0054775B" w:rsidRDefault="00933393" w:rsidP="006F63D3">
      <w:pPr>
        <w:pStyle w:val="2024TABLEFOOTER"/>
      </w:pPr>
      <w:r w:rsidRPr="0054775B">
        <w:t>Abbreviations: BP=blood pressure; HRQoL=health-related quality of life; NTWC=Natural Therapies Working Group</w:t>
      </w:r>
    </w:p>
    <w:p w14:paraId="77C063CD" w14:textId="71B1F4EE" w:rsidR="00933393" w:rsidRPr="0054775B" w:rsidRDefault="00933393" w:rsidP="006F63D3">
      <w:pPr>
        <w:pStyle w:val="2024TABLEFOOTER"/>
      </w:pPr>
      <w:r w:rsidRPr="0054775B">
        <w:t>*1-3 = of limited importance to decision making; 4-6 = important, but not critical, to decision making; 7-9 = critical for decision-making</w:t>
      </w:r>
    </w:p>
    <w:p w14:paraId="115E642E" w14:textId="77777777" w:rsidR="00184383" w:rsidRPr="0054775B" w:rsidRDefault="00184383" w:rsidP="006870D8">
      <w:pPr>
        <w:pStyle w:val="2024HEADER3"/>
        <w:rPr>
          <w:rFonts w:ascii="Aptos" w:hAnsi="Aptos"/>
        </w:rPr>
      </w:pPr>
      <w:r w:rsidRPr="0054775B">
        <w:rPr>
          <w:rFonts w:ascii="Aptos" w:hAnsi="Aptos"/>
        </w:rPr>
        <w:t>Search findings</w:t>
      </w:r>
    </w:p>
    <w:p w14:paraId="6D35F8FF" w14:textId="151EF82A" w:rsidR="00184383" w:rsidRPr="0054775B" w:rsidRDefault="00184383" w:rsidP="009E6F7F">
      <w:r w:rsidRPr="0054775B">
        <w:t xml:space="preserve">In total, </w:t>
      </w:r>
      <w:r w:rsidR="0058429C" w:rsidRPr="0054775B">
        <w:t>69</w:t>
      </w:r>
      <w:r w:rsidR="00E515C4" w:rsidRPr="0054775B">
        <w:t>4</w:t>
      </w:r>
      <w:r w:rsidRPr="0054775B">
        <w:t xml:space="preserve"> </w:t>
      </w:r>
      <w:r w:rsidR="003C2AC9">
        <w:t>reviews</w:t>
      </w:r>
      <w:r w:rsidR="003C2AC9" w:rsidRPr="0054775B">
        <w:t xml:space="preserve"> </w:t>
      </w:r>
      <w:r w:rsidRPr="0054775B">
        <w:t xml:space="preserve">were </w:t>
      </w:r>
      <w:r w:rsidR="00E515C4" w:rsidRPr="0054775B">
        <w:t>screened following de-duplication</w:t>
      </w:r>
      <w:r w:rsidRPr="0054775B">
        <w:t xml:space="preserve">. </w:t>
      </w:r>
      <w:r w:rsidR="00E515C4" w:rsidRPr="0054775B">
        <w:t>One</w:t>
      </w:r>
      <w:r w:rsidR="00E515C4" w:rsidRPr="0054775B" w:rsidDel="003C2AC9">
        <w:t xml:space="preserve"> </w:t>
      </w:r>
      <w:r w:rsidR="003C2AC9">
        <w:t>review</w:t>
      </w:r>
      <w:r w:rsidR="003C2AC9" w:rsidRPr="0054775B">
        <w:t xml:space="preserve"> </w:t>
      </w:r>
      <w:r w:rsidR="00E515C4" w:rsidRPr="0054775B">
        <w:t>provided by the Department’s call for evidence was relevant to this population-</w:t>
      </w:r>
      <w:r w:rsidR="0032560B">
        <w:t>supplement pair</w:t>
      </w:r>
      <w:r w:rsidR="00E515C4" w:rsidRPr="0054775B">
        <w:t>, which was already identified in database searching and excluded as a duplicate</w:t>
      </w:r>
      <w:r w:rsidR="00E515C4" w:rsidRPr="0054775B" w:rsidDel="00E515C4">
        <w:t xml:space="preserve"> </w:t>
      </w:r>
      <w:r w:rsidR="003D5576" w:rsidRPr="0054775B">
        <w:t xml:space="preserve">(see Appendix </w:t>
      </w:r>
      <w:r w:rsidR="00876D00">
        <w:t>C2</w:t>
      </w:r>
      <w:r w:rsidR="003D5576" w:rsidRPr="0054775B">
        <w:t>)</w:t>
      </w:r>
      <w:r w:rsidRPr="0054775B">
        <w:t xml:space="preserve">. After title and abstract screening, </w:t>
      </w:r>
      <w:r w:rsidR="0058429C" w:rsidRPr="0054775B">
        <w:t>41</w:t>
      </w:r>
      <w:r w:rsidRPr="0054775B">
        <w:t xml:space="preserve"> </w:t>
      </w:r>
      <w:r w:rsidR="003C2AC9">
        <w:t>reviews</w:t>
      </w:r>
      <w:r w:rsidR="003C2AC9" w:rsidRPr="0054775B">
        <w:t xml:space="preserve"> </w:t>
      </w:r>
      <w:r w:rsidRPr="0054775B">
        <w:t xml:space="preserve">were </w:t>
      </w:r>
      <w:r w:rsidR="00F21095" w:rsidRPr="0054775B">
        <w:t>sought for retrieval for</w:t>
      </w:r>
      <w:r w:rsidRPr="0054775B">
        <w:t xml:space="preserve"> full-text screening: </w:t>
      </w:r>
    </w:p>
    <w:p w14:paraId="773ECDBD" w14:textId="4B21DB2B" w:rsidR="00F21095" w:rsidRPr="0054775B" w:rsidRDefault="00F21095" w:rsidP="00107BEE">
      <w:pPr>
        <w:pStyle w:val="ListParagraph"/>
        <w:numPr>
          <w:ilvl w:val="0"/>
          <w:numId w:val="6"/>
        </w:numPr>
      </w:pPr>
      <w:r w:rsidRPr="0054775B">
        <w:t xml:space="preserve">7 </w:t>
      </w:r>
      <w:r w:rsidR="003C2AC9">
        <w:t>reviews</w:t>
      </w:r>
      <w:r w:rsidR="003C2AC9" w:rsidRPr="0054775B">
        <w:t xml:space="preserve"> </w:t>
      </w:r>
      <w:r w:rsidRPr="0054775B">
        <w:t>were ongoing (</w:t>
      </w:r>
      <w:r w:rsidR="007D2E60" w:rsidRPr="0054775B">
        <w:t xml:space="preserve">citation details recorded in Appendix </w:t>
      </w:r>
      <w:r w:rsidR="00876D00">
        <w:t>C4</w:t>
      </w:r>
      <w:r w:rsidRPr="0054775B">
        <w:t>)</w:t>
      </w:r>
    </w:p>
    <w:p w14:paraId="4A9E48FF" w14:textId="20242CD8" w:rsidR="00184383" w:rsidRPr="0054775B" w:rsidRDefault="007472A6" w:rsidP="00107BEE">
      <w:pPr>
        <w:pStyle w:val="ListParagraph"/>
        <w:numPr>
          <w:ilvl w:val="0"/>
          <w:numId w:val="6"/>
        </w:numPr>
      </w:pPr>
      <w:r w:rsidRPr="0054775B">
        <w:t>31</w:t>
      </w:r>
      <w:r w:rsidR="00184383" w:rsidRPr="0054775B">
        <w:t xml:space="preserve"> </w:t>
      </w:r>
      <w:r w:rsidR="003C2AC9">
        <w:t>reviews</w:t>
      </w:r>
      <w:r w:rsidR="003C2AC9" w:rsidRPr="0054775B">
        <w:t xml:space="preserve"> </w:t>
      </w:r>
      <w:r w:rsidR="00184383" w:rsidRPr="0054775B">
        <w:t xml:space="preserve">did not meet inclusion criteria (citation details and </w:t>
      </w:r>
      <w:r w:rsidR="001332AF" w:rsidRPr="0054775B">
        <w:t xml:space="preserve">reasons for exclusion recorded in Appendix </w:t>
      </w:r>
      <w:r w:rsidR="00876D00">
        <w:t>C1</w:t>
      </w:r>
      <w:r w:rsidR="00184383" w:rsidRPr="0054775B">
        <w:t xml:space="preserve">) </w:t>
      </w:r>
    </w:p>
    <w:p w14:paraId="384CCB15" w14:textId="7ECF6199" w:rsidR="00184383" w:rsidRPr="0054775B" w:rsidRDefault="00184383" w:rsidP="009E6F7F">
      <w:r w:rsidRPr="0054775B">
        <w:t xml:space="preserve">A final </w:t>
      </w:r>
      <w:r w:rsidR="00A957D2" w:rsidRPr="0054775B">
        <w:t>3</w:t>
      </w:r>
      <w:r w:rsidRPr="0054775B">
        <w:t xml:space="preserve"> </w:t>
      </w:r>
      <w:r w:rsidR="00E515C4" w:rsidRPr="0054775B">
        <w:t xml:space="preserve">reviews </w:t>
      </w:r>
      <w:r w:rsidRPr="0054775B">
        <w:t xml:space="preserve">met the inclusion criteria. Characteristics of included reviews are presented in </w:t>
      </w:r>
      <w:r w:rsidR="00FB0A70" w:rsidRPr="0054775B">
        <w:t xml:space="preserve">Appendix </w:t>
      </w:r>
      <w:r w:rsidR="00876D00">
        <w:t>D</w:t>
      </w:r>
      <w:r w:rsidRPr="0054775B">
        <w:t>. A full PRISMA flowchart is presented below.</w:t>
      </w:r>
      <w:r w:rsidRPr="0054775B">
        <w:rPr>
          <w:highlight w:val="yellow"/>
        </w:rPr>
        <w:t xml:space="preserve"> </w:t>
      </w:r>
    </w:p>
    <w:p w14:paraId="7517B7DF" w14:textId="35472DF9" w:rsidR="00184383" w:rsidRPr="0054775B" w:rsidRDefault="00184383" w:rsidP="009E6F7F">
      <w:pPr>
        <w:pStyle w:val="2024TABLECAPTION"/>
        <w:rPr>
          <w:rFonts w:ascii="Aptos" w:hAnsi="Aptos"/>
        </w:rPr>
      </w:pPr>
      <w:bookmarkStart w:id="131" w:name="_Toc178348017"/>
      <w:r w:rsidRPr="0054775B">
        <w:rPr>
          <w:rFonts w:ascii="Aptos" w:hAnsi="Aptos"/>
        </w:rPr>
        <w:lastRenderedPageBreak/>
        <w:t xml:space="preserve">Figure </w:t>
      </w:r>
      <w:r w:rsidR="002F1F6C" w:rsidRPr="001428E8">
        <w:rPr>
          <w:b w:val="0"/>
          <w:i/>
        </w:rPr>
        <w:fldChar w:fldCharType="begin"/>
      </w:r>
      <w:r w:rsidR="002F1F6C" w:rsidRPr="0054775B">
        <w:rPr>
          <w:rFonts w:ascii="Aptos" w:hAnsi="Aptos"/>
        </w:rPr>
        <w:instrText xml:space="preserve"> SEQ Figure \* ARABIC </w:instrText>
      </w:r>
      <w:r w:rsidR="002F1F6C" w:rsidRPr="001428E8">
        <w:rPr>
          <w:b w:val="0"/>
          <w:i/>
        </w:rPr>
        <w:fldChar w:fldCharType="separate"/>
      </w:r>
      <w:r w:rsidR="003D4896">
        <w:rPr>
          <w:noProof/>
        </w:rPr>
        <w:t>14</w:t>
      </w:r>
      <w:r w:rsidR="002F1F6C" w:rsidRPr="001428E8">
        <w:rPr>
          <w:b w:val="0"/>
          <w:i/>
        </w:rPr>
        <w:fldChar w:fldCharType="end"/>
      </w:r>
      <w:r w:rsidRPr="0054775B">
        <w:rPr>
          <w:rFonts w:ascii="Aptos" w:hAnsi="Aptos"/>
        </w:rPr>
        <w:t xml:space="preserve">. PRISMA flowchart – </w:t>
      </w:r>
      <w:r w:rsidR="009F14FE" w:rsidRPr="0054775B">
        <w:rPr>
          <w:rFonts w:ascii="Aptos" w:hAnsi="Aptos"/>
        </w:rPr>
        <w:t>recurrent infection</w:t>
      </w:r>
      <w:r w:rsidR="00447A23" w:rsidRPr="0054775B">
        <w:rPr>
          <w:rFonts w:ascii="Aptos" w:hAnsi="Aptos"/>
        </w:rPr>
        <w:t>s</w:t>
      </w:r>
      <w:r w:rsidR="009F14FE" w:rsidRPr="0054775B">
        <w:rPr>
          <w:rFonts w:ascii="Aptos" w:hAnsi="Aptos"/>
        </w:rPr>
        <w:t>, zinc</w:t>
      </w:r>
      <w:r w:rsidRPr="0054775B">
        <w:rPr>
          <w:rFonts w:ascii="Aptos" w:hAnsi="Aptos"/>
        </w:rPr>
        <w:t>.</w:t>
      </w:r>
      <w:bookmarkEnd w:id="131"/>
    </w:p>
    <w:p w14:paraId="29F5DEA6" w14:textId="77777777" w:rsidR="00184383" w:rsidRPr="0054775B" w:rsidRDefault="00184383" w:rsidP="009E6F7F">
      <w:r w:rsidRPr="0054775B">
        <w:rPr>
          <w:noProof/>
          <w:highlight w:val="yellow"/>
        </w:rPr>
        <mc:AlternateContent>
          <mc:Choice Requires="wpg">
            <w:drawing>
              <wp:anchor distT="0" distB="0" distL="114300" distR="114300" simplePos="0" relativeHeight="251658252" behindDoc="0" locked="0" layoutInCell="1" allowOverlap="1" wp14:anchorId="6E9F0BA1" wp14:editId="44F1A979">
                <wp:simplePos x="0" y="0"/>
                <wp:positionH relativeFrom="column">
                  <wp:posOffset>8890</wp:posOffset>
                </wp:positionH>
                <wp:positionV relativeFrom="paragraph">
                  <wp:posOffset>146050</wp:posOffset>
                </wp:positionV>
                <wp:extent cx="5339080" cy="4441190"/>
                <wp:effectExtent l="0" t="0" r="7620" b="16510"/>
                <wp:wrapSquare wrapText="bothSides"/>
                <wp:docPr id="1413295362" name="Group 1413295362"/>
                <wp:cNvGraphicFramePr/>
                <a:graphic xmlns:a="http://schemas.openxmlformats.org/drawingml/2006/main">
                  <a:graphicData uri="http://schemas.microsoft.com/office/word/2010/wordprocessingGroup">
                    <wpg:wgp>
                      <wpg:cNvGrpSpPr/>
                      <wpg:grpSpPr>
                        <a:xfrm>
                          <a:off x="0" y="0"/>
                          <a:ext cx="5339080" cy="4441190"/>
                          <a:chOff x="0" y="0"/>
                          <a:chExt cx="5536496" cy="4520127"/>
                        </a:xfrm>
                      </wpg:grpSpPr>
                      <wps:wsp>
                        <wps:cNvPr id="1035799094" name="Rectangle 1035799094"/>
                        <wps:cNvSpPr/>
                        <wps:spPr>
                          <a:xfrm>
                            <a:off x="3180705" y="425302"/>
                            <a:ext cx="2355790" cy="83947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FD83BFF" w14:textId="77777777" w:rsidR="00184383" w:rsidRPr="004E2730" w:rsidRDefault="00184383" w:rsidP="006F63D3">
                              <w:pPr>
                                <w:pStyle w:val="2024-PRISMA"/>
                              </w:pPr>
                              <w:r w:rsidRPr="004E2730">
                                <w:t>Records removed before screening:</w:t>
                              </w:r>
                            </w:p>
                            <w:p w14:paraId="65826A6B" w14:textId="3FD531E0" w:rsidR="00184383" w:rsidRPr="004E2730" w:rsidRDefault="00184383" w:rsidP="006F63D3">
                              <w:pPr>
                                <w:pStyle w:val="2024-PRISMA"/>
                              </w:pPr>
                              <w:r w:rsidRPr="004E2730">
                                <w:t xml:space="preserve">Duplicate records removed (n = </w:t>
                              </w:r>
                              <w:r w:rsidR="007472A6" w:rsidRPr="004E2730">
                                <w:t>54</w:t>
                              </w:r>
                              <w:r w:rsidRPr="004E2730">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7688100" name="Rectangle 1517688100"/>
                        <wps:cNvSpPr/>
                        <wps:spPr>
                          <a:xfrm>
                            <a:off x="2987749" y="1509823"/>
                            <a:ext cx="1887220" cy="52641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4237A63" w14:textId="77777777" w:rsidR="00184383" w:rsidRPr="004E2730" w:rsidRDefault="00184383" w:rsidP="006F63D3">
                              <w:pPr>
                                <w:pStyle w:val="2024-PRISMA"/>
                              </w:pPr>
                              <w:r w:rsidRPr="004E2730">
                                <w:t>Records excluded</w:t>
                              </w:r>
                            </w:p>
                            <w:p w14:paraId="701B0001" w14:textId="62F0B918" w:rsidR="00184383" w:rsidRPr="004E2730" w:rsidRDefault="00184383" w:rsidP="006F63D3">
                              <w:pPr>
                                <w:pStyle w:val="2024-PRISMA"/>
                              </w:pPr>
                              <w:r w:rsidRPr="004E2730">
                                <w:t xml:space="preserve">(n = </w:t>
                              </w:r>
                              <w:r w:rsidR="007472A6" w:rsidRPr="004E2730">
                                <w:t>65</w:t>
                              </w:r>
                              <w:r w:rsidR="00AB17DA">
                                <w:t>3</w:t>
                              </w:r>
                              <w:r w:rsidRPr="004E2730">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15862265" name="Rectangle 1215862265"/>
                        <wps:cNvSpPr/>
                        <wps:spPr>
                          <a:xfrm>
                            <a:off x="2987749" y="2137737"/>
                            <a:ext cx="2351878" cy="734733"/>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376203D" w14:textId="77777777" w:rsidR="00184383" w:rsidRPr="004E2730" w:rsidRDefault="00184383" w:rsidP="006F63D3">
                              <w:pPr>
                                <w:pStyle w:val="2024-PRISMA"/>
                              </w:pPr>
                              <w:r w:rsidRPr="004E2730">
                                <w:t>Full-text unavailable (n = 0)</w:t>
                              </w:r>
                            </w:p>
                            <w:p w14:paraId="75BFAFC1" w14:textId="0598C96B" w:rsidR="00184383" w:rsidRPr="004E2730" w:rsidRDefault="00184383" w:rsidP="006F63D3">
                              <w:pPr>
                                <w:pStyle w:val="2024-PRISMA"/>
                              </w:pPr>
                              <w:r w:rsidRPr="004E2730">
                                <w:t xml:space="preserve">Ongoing study (n = </w:t>
                              </w:r>
                              <w:r w:rsidR="007472A6" w:rsidRPr="004E2730">
                                <w:t>7</w:t>
                              </w:r>
                              <w:r w:rsidRPr="004E2730">
                                <w:t>)</w:t>
                              </w:r>
                            </w:p>
                            <w:p w14:paraId="2C66CEE0" w14:textId="77777777" w:rsidR="001D2614" w:rsidRDefault="001D2614" w:rsidP="001D2614">
                              <w:pPr>
                                <w:pStyle w:val="2024-PRISMA"/>
                              </w:pPr>
                              <w:r>
                                <w:t>Conference abstracts (n = 0)</w:t>
                              </w:r>
                            </w:p>
                            <w:p w14:paraId="55C67905" w14:textId="61FABDD3" w:rsidR="00184383" w:rsidRPr="004E2730" w:rsidRDefault="00F41ADB" w:rsidP="006F63D3">
                              <w:pPr>
                                <w:pStyle w:val="2024-PRISMA"/>
                              </w:pPr>
                              <w:r>
                                <w:t>Reviews</w:t>
                              </w:r>
                              <w:r w:rsidR="00184383" w:rsidRPr="004E2730">
                                <w:t xml:space="preserve"> Awaiting Classification (n = 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42427325" name="Rectangle 1842427325"/>
                        <wps:cNvSpPr/>
                        <wps:spPr>
                          <a:xfrm>
                            <a:off x="2987749" y="2955851"/>
                            <a:ext cx="2179320" cy="116435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E047187" w14:textId="3E4602A3" w:rsidR="00184383" w:rsidRPr="004E2730" w:rsidRDefault="00184383" w:rsidP="006F63D3">
                              <w:pPr>
                                <w:pStyle w:val="2024-PRISMA"/>
                              </w:pPr>
                              <w:r w:rsidRPr="004E2730">
                                <w:t xml:space="preserve">Reports excluded (n = </w:t>
                              </w:r>
                              <w:r w:rsidR="009F14FE" w:rsidRPr="004E2730">
                                <w:t>3</w:t>
                              </w:r>
                              <w:r w:rsidR="00A82D42">
                                <w:t>1</w:t>
                              </w:r>
                              <w:r w:rsidRPr="004E2730">
                                <w:t>):</w:t>
                              </w:r>
                            </w:p>
                            <w:p w14:paraId="05C17C0A" w14:textId="7E7BF24A" w:rsidR="00184383" w:rsidRPr="004E2730" w:rsidRDefault="00184383" w:rsidP="006F63D3">
                              <w:pPr>
                                <w:pStyle w:val="2024-PRISMA"/>
                              </w:pPr>
                              <w:r w:rsidRPr="004E2730">
                                <w:t xml:space="preserve">Wrong </w:t>
                              </w:r>
                              <w:r w:rsidR="00663570">
                                <w:t>patient population</w:t>
                              </w:r>
                              <w:r w:rsidRPr="004E2730">
                                <w:t xml:space="preserve"> (n = </w:t>
                              </w:r>
                              <w:r w:rsidR="00663570">
                                <w:t>21</w:t>
                              </w:r>
                              <w:r w:rsidRPr="004E2730">
                                <w:t>)</w:t>
                              </w:r>
                            </w:p>
                            <w:p w14:paraId="6A537D16" w14:textId="4B29B472" w:rsidR="00184383" w:rsidRPr="004E2730" w:rsidRDefault="00184383" w:rsidP="006F63D3">
                              <w:pPr>
                                <w:pStyle w:val="2024-PRISMA"/>
                              </w:pPr>
                              <w:r w:rsidRPr="004E2730">
                                <w:t xml:space="preserve">Wrong </w:t>
                              </w:r>
                              <w:r w:rsidR="00963016" w:rsidRPr="004E2730">
                                <w:t>intervention</w:t>
                              </w:r>
                              <w:r w:rsidRPr="004E2730">
                                <w:t xml:space="preserve"> (n = </w:t>
                              </w:r>
                              <w:r w:rsidR="00963016" w:rsidRPr="004E2730">
                                <w:t>1</w:t>
                              </w:r>
                              <w:r w:rsidRPr="004E2730">
                                <w:t>)</w:t>
                              </w:r>
                            </w:p>
                            <w:p w14:paraId="22B7AA97" w14:textId="58780F11" w:rsidR="00963016" w:rsidRPr="004E2730" w:rsidRDefault="00184383" w:rsidP="006F63D3">
                              <w:pPr>
                                <w:pStyle w:val="2024-PRISMA"/>
                              </w:pPr>
                              <w:r w:rsidRPr="004E2730">
                                <w:t xml:space="preserve">Does not meet minimum criteria for systematic review (n = </w:t>
                              </w:r>
                              <w:r w:rsidR="00963016" w:rsidRPr="004E2730">
                                <w:t>9</w:t>
                              </w:r>
                              <w:r w:rsidRPr="004E2730">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95090577" name="Straight Arrow Connector 1695090577"/>
                        <wps:cNvCnPr/>
                        <wps:spPr>
                          <a:xfrm>
                            <a:off x="2424224" y="975833"/>
                            <a:ext cx="756482"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664309742" name="Straight Arrow Connector 664309742"/>
                        <wps:cNvCnPr/>
                        <wps:spPr>
                          <a:xfrm>
                            <a:off x="2392326" y="1720112"/>
                            <a:ext cx="563245"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849380369" name="Straight Arrow Connector 849380369"/>
                        <wps:cNvCnPr/>
                        <wps:spPr>
                          <a:xfrm>
                            <a:off x="2402958" y="2421861"/>
                            <a:ext cx="563245"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991640362" name="Straight Arrow Connector 991640362"/>
                        <wps:cNvCnPr/>
                        <wps:spPr>
                          <a:xfrm>
                            <a:off x="2413591" y="3155507"/>
                            <a:ext cx="563245"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120795742" name="Flowchart: Alternate Process 31"/>
                        <wps:cNvSpPr/>
                        <wps:spPr>
                          <a:xfrm rot="16200000">
                            <a:off x="-311042" y="718890"/>
                            <a:ext cx="1009400" cy="321253"/>
                          </a:xfrm>
                          <a:prstGeom prst="flowChartAlternateProcess">
                            <a:avLst/>
                          </a:prstGeom>
                          <a:solidFill>
                            <a:schemeClr val="accent5">
                              <a:lumMod val="60000"/>
                              <a:lumOff val="40000"/>
                            </a:schemeClr>
                          </a:solidFill>
                          <a:ln>
                            <a:solidFill>
                              <a:schemeClr val="tx1"/>
                            </a:solidFill>
                          </a:ln>
                        </wps:spPr>
                        <wps:style>
                          <a:lnRef idx="2">
                            <a:schemeClr val="accent4">
                              <a:shade val="50000"/>
                            </a:schemeClr>
                          </a:lnRef>
                          <a:fillRef idx="1">
                            <a:schemeClr val="accent4"/>
                          </a:fillRef>
                          <a:effectRef idx="0">
                            <a:schemeClr val="accent4"/>
                          </a:effectRef>
                          <a:fontRef idx="minor">
                            <a:schemeClr val="lt1"/>
                          </a:fontRef>
                        </wps:style>
                        <wps:txbx>
                          <w:txbxContent>
                            <w:p w14:paraId="3E1B6517" w14:textId="77777777" w:rsidR="00184383" w:rsidRPr="00537945" w:rsidRDefault="00184383" w:rsidP="006F63D3">
                              <w:pPr>
                                <w:pStyle w:val="2024-PRISMA"/>
                                <w:rPr>
                                  <w:b/>
                                </w:rPr>
                              </w:pPr>
                              <w:r w:rsidRPr="00537945">
                                <w:rPr>
                                  <w:b/>
                                </w:rPr>
                                <w:t>Identification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12581465" name="Flowchart: Alternate Process 32"/>
                        <wps:cNvSpPr/>
                        <wps:spPr>
                          <a:xfrm rot="16200000">
                            <a:off x="-934591" y="2445687"/>
                            <a:ext cx="2269373" cy="301043"/>
                          </a:xfrm>
                          <a:prstGeom prst="flowChartAlternateProcess">
                            <a:avLst/>
                          </a:prstGeom>
                          <a:solidFill>
                            <a:schemeClr val="accent5">
                              <a:lumMod val="60000"/>
                              <a:lumOff val="40000"/>
                            </a:schemeClr>
                          </a:solidFill>
                          <a:ln>
                            <a:solidFill>
                              <a:schemeClr val="tx1"/>
                            </a:solidFill>
                          </a:ln>
                        </wps:spPr>
                        <wps:style>
                          <a:lnRef idx="2">
                            <a:schemeClr val="accent4">
                              <a:shade val="50000"/>
                            </a:schemeClr>
                          </a:lnRef>
                          <a:fillRef idx="1">
                            <a:schemeClr val="accent4"/>
                          </a:fillRef>
                          <a:effectRef idx="0">
                            <a:schemeClr val="accent4"/>
                          </a:effectRef>
                          <a:fontRef idx="minor">
                            <a:schemeClr val="lt1"/>
                          </a:fontRef>
                        </wps:style>
                        <wps:txbx>
                          <w:txbxContent>
                            <w:p w14:paraId="337AD76A" w14:textId="77777777" w:rsidR="00184383" w:rsidRPr="00537945" w:rsidRDefault="00184383" w:rsidP="00537945">
                              <w:pPr>
                                <w:pStyle w:val="2024-PRISMA"/>
                                <w:jc w:val="center"/>
                                <w:rPr>
                                  <w:b/>
                                </w:rPr>
                              </w:pPr>
                              <w:r w:rsidRPr="00537945">
                                <w:rPr>
                                  <w:b/>
                                </w:rPr>
                                <w:t>Screening</w:t>
                              </w:r>
                            </w:p>
                            <w:p w14:paraId="0AA6CFEF" w14:textId="77777777" w:rsidR="00184383" w:rsidRPr="00537945" w:rsidRDefault="00184383" w:rsidP="00537945">
                              <w:pPr>
                                <w:pStyle w:val="2024-PRISMA"/>
                                <w:jc w:val="center"/>
                                <w:rPr>
                                  <w: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61682851" name="Flowchart: Alternate Process 33"/>
                        <wps:cNvSpPr/>
                        <wps:spPr>
                          <a:xfrm rot="16200000">
                            <a:off x="-159330" y="4007971"/>
                            <a:ext cx="711091" cy="313221"/>
                          </a:xfrm>
                          <a:prstGeom prst="flowChartAlternateProcess">
                            <a:avLst/>
                          </a:prstGeom>
                          <a:solidFill>
                            <a:schemeClr val="accent5">
                              <a:lumMod val="60000"/>
                              <a:lumOff val="40000"/>
                            </a:schemeClr>
                          </a:solidFill>
                          <a:ln>
                            <a:solidFill>
                              <a:schemeClr val="tx1"/>
                            </a:solidFill>
                          </a:ln>
                        </wps:spPr>
                        <wps:style>
                          <a:lnRef idx="2">
                            <a:schemeClr val="accent4">
                              <a:shade val="50000"/>
                            </a:schemeClr>
                          </a:lnRef>
                          <a:fillRef idx="1">
                            <a:schemeClr val="accent4"/>
                          </a:fillRef>
                          <a:effectRef idx="0">
                            <a:schemeClr val="accent4"/>
                          </a:effectRef>
                          <a:fontRef idx="minor">
                            <a:schemeClr val="lt1"/>
                          </a:fontRef>
                        </wps:style>
                        <wps:txbx>
                          <w:txbxContent>
                            <w:p w14:paraId="22FC6394" w14:textId="77777777" w:rsidR="00184383" w:rsidRPr="00537945" w:rsidRDefault="00184383" w:rsidP="006F63D3">
                              <w:pPr>
                                <w:pStyle w:val="2024-PRISMA"/>
                                <w:rPr>
                                  <w:b/>
                                </w:rPr>
                              </w:pPr>
                              <w:r w:rsidRPr="00537945">
                                <w:rPr>
                                  <w:b/>
                                </w:rPr>
                                <w:t>Included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15198667" name="Straight Arrow Connector 1715198667"/>
                        <wps:cNvCnPr/>
                        <wps:spPr>
                          <a:xfrm>
                            <a:off x="1339407" y="1233377"/>
                            <a:ext cx="0" cy="28130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963748082" name="Straight Arrow Connector 963748082"/>
                        <wps:cNvCnPr/>
                        <wps:spPr>
                          <a:xfrm>
                            <a:off x="1339407" y="1967023"/>
                            <a:ext cx="0" cy="28130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773339112" name="Straight Arrow Connector 1773339112"/>
                        <wps:cNvCnPr/>
                        <wps:spPr>
                          <a:xfrm>
                            <a:off x="1350040" y="2690037"/>
                            <a:ext cx="0" cy="28130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476951613" name="Straight Arrow Connector 476951613"/>
                        <wps:cNvCnPr/>
                        <wps:spPr>
                          <a:xfrm>
                            <a:off x="1339406" y="3090549"/>
                            <a:ext cx="0" cy="74612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337396949" name="Flowchart: Alternate Process 29"/>
                        <wps:cNvSpPr/>
                        <wps:spPr>
                          <a:xfrm>
                            <a:off x="0" y="0"/>
                            <a:ext cx="5536496" cy="291848"/>
                          </a:xfrm>
                          <a:prstGeom prst="flowChartAlternateProcess">
                            <a:avLst/>
                          </a:prstGeom>
                        </wps:spPr>
                        <wps:style>
                          <a:lnRef idx="2">
                            <a:schemeClr val="accent4">
                              <a:shade val="50000"/>
                            </a:schemeClr>
                          </a:lnRef>
                          <a:fillRef idx="1">
                            <a:schemeClr val="accent4"/>
                          </a:fillRef>
                          <a:effectRef idx="0">
                            <a:schemeClr val="accent4"/>
                          </a:effectRef>
                          <a:fontRef idx="minor">
                            <a:schemeClr val="lt1"/>
                          </a:fontRef>
                        </wps:style>
                        <wps:txbx>
                          <w:txbxContent>
                            <w:p w14:paraId="529BA3D4" w14:textId="06E3A344" w:rsidR="00184383" w:rsidRPr="00537945" w:rsidRDefault="00184383" w:rsidP="00537945">
                              <w:pPr>
                                <w:pStyle w:val="2024-PRISMA"/>
                                <w:jc w:val="center"/>
                                <w:rPr>
                                  <w:b/>
                                </w:rPr>
                              </w:pPr>
                              <w:r w:rsidRPr="00537945">
                                <w:rPr>
                                  <w:b/>
                                </w:rPr>
                                <w:t xml:space="preserve">Identification of </w:t>
                              </w:r>
                              <w:r w:rsidR="008A2B4D">
                                <w:rPr>
                                  <w:b/>
                                </w:rPr>
                                <w:t>reviews</w:t>
                              </w:r>
                              <w:r w:rsidR="008A2B4D" w:rsidRPr="00537945">
                                <w:rPr>
                                  <w:b/>
                                </w:rPr>
                                <w:t xml:space="preserve"> </w:t>
                              </w:r>
                              <w:r w:rsidRPr="00537945">
                                <w:rPr>
                                  <w:b/>
                                </w:rPr>
                                <w:t>via databases and registers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8687589" name="Rectangle 158687589"/>
                        <wps:cNvSpPr/>
                        <wps:spPr>
                          <a:xfrm>
                            <a:off x="499730" y="425302"/>
                            <a:ext cx="2455839" cy="839972"/>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94D10A4" w14:textId="53C82BD9" w:rsidR="00184383" w:rsidRPr="004E2730" w:rsidRDefault="00184383" w:rsidP="006F63D3">
                              <w:pPr>
                                <w:pStyle w:val="2024-PRISMA"/>
                              </w:pPr>
                              <w:r w:rsidRPr="004E2730">
                                <w:t>Records identified from:</w:t>
                              </w:r>
                            </w:p>
                            <w:p w14:paraId="1C846F52" w14:textId="5EF451C7" w:rsidR="00184383" w:rsidRPr="004E2730" w:rsidRDefault="00184383" w:rsidP="006F63D3">
                              <w:pPr>
                                <w:pStyle w:val="2024-PRISMA"/>
                              </w:pPr>
                              <w:r w:rsidRPr="004E2730">
                                <w:t xml:space="preserve">Databases and registers (n = </w:t>
                              </w:r>
                              <w:r w:rsidR="007472A6" w:rsidRPr="004E2730">
                                <w:t>746</w:t>
                              </w:r>
                              <w:r w:rsidRPr="004E2730">
                                <w:t>)</w:t>
                              </w:r>
                            </w:p>
                            <w:p w14:paraId="1FAF6D7D" w14:textId="7979D7CC" w:rsidR="00184383" w:rsidRPr="004E2730" w:rsidRDefault="00184383" w:rsidP="006F63D3">
                              <w:pPr>
                                <w:pStyle w:val="2024-PRISMA"/>
                              </w:pPr>
                              <w:r w:rsidRPr="004E2730">
                                <w:t xml:space="preserve">Manual or citation searching (n = </w:t>
                              </w:r>
                              <w:r w:rsidR="001557F0">
                                <w:t>1</w:t>
                              </w:r>
                              <w:r w:rsidRPr="004E2730">
                                <w:t>)</w:t>
                              </w:r>
                            </w:p>
                            <w:p w14:paraId="28081FF1" w14:textId="5CD31CEF" w:rsidR="00184383" w:rsidRPr="004E2730" w:rsidRDefault="00184383" w:rsidP="006F63D3">
                              <w:pPr>
                                <w:pStyle w:val="2024-PRISMA"/>
                              </w:pPr>
                              <w:r w:rsidRPr="004E2730">
                                <w:t xml:space="preserve">Department’s call for evidence (n = </w:t>
                              </w:r>
                              <w:r w:rsidR="00593E07">
                                <w:t>1</w:t>
                              </w:r>
                              <w:r w:rsidRPr="004E2730">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60045027" name="Rectangle 1760045027"/>
                        <wps:cNvSpPr/>
                        <wps:spPr>
                          <a:xfrm>
                            <a:off x="499731" y="1520456"/>
                            <a:ext cx="1887220" cy="52641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99D1C02" w14:textId="77777777" w:rsidR="00184383" w:rsidRPr="004E2730" w:rsidRDefault="00184383" w:rsidP="006F63D3">
                              <w:pPr>
                                <w:pStyle w:val="2024-PRISMA"/>
                              </w:pPr>
                              <w:r w:rsidRPr="004E2730">
                                <w:t>Records screened</w:t>
                              </w:r>
                            </w:p>
                            <w:p w14:paraId="2B484C20" w14:textId="3C264338" w:rsidR="00184383" w:rsidRPr="004E2730" w:rsidRDefault="00184383" w:rsidP="006F63D3">
                              <w:pPr>
                                <w:pStyle w:val="2024-PRISMA"/>
                              </w:pPr>
                              <w:r w:rsidRPr="004E2730">
                                <w:t>(n = 6</w:t>
                              </w:r>
                              <w:r w:rsidR="007472A6" w:rsidRPr="004E2730">
                                <w:t>9</w:t>
                              </w:r>
                              <w:r w:rsidR="00AB17DA">
                                <w:t>4</w:t>
                              </w:r>
                              <w:r w:rsidRPr="004E2730">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45654999" name="Rectangle 1945654999"/>
                        <wps:cNvSpPr/>
                        <wps:spPr>
                          <a:xfrm>
                            <a:off x="499731" y="2977116"/>
                            <a:ext cx="1887220" cy="52641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A19DB21" w14:textId="77777777" w:rsidR="00184383" w:rsidRPr="004E2730" w:rsidRDefault="00184383" w:rsidP="006F63D3">
                              <w:pPr>
                                <w:pStyle w:val="2024-PRISMA"/>
                              </w:pPr>
                              <w:r w:rsidRPr="004E2730">
                                <w:t>Reports assessed for eligibility</w:t>
                              </w:r>
                            </w:p>
                            <w:p w14:paraId="6CF82EFE" w14:textId="027C06D0" w:rsidR="00184383" w:rsidRPr="004E2730" w:rsidRDefault="00184383" w:rsidP="006F63D3">
                              <w:pPr>
                                <w:pStyle w:val="2024-PRISMA"/>
                              </w:pPr>
                              <w:r w:rsidRPr="004E2730">
                                <w:t xml:space="preserve">(n = </w:t>
                              </w:r>
                              <w:r w:rsidR="00D81DF9" w:rsidRPr="004E2730">
                                <w:t>3</w:t>
                              </w:r>
                              <w:r w:rsidR="009F14FE" w:rsidRPr="004E2730">
                                <w:t>4</w:t>
                              </w:r>
                              <w:r w:rsidRPr="004E2730">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05477815" name="Rectangle 1205477815"/>
                        <wps:cNvSpPr/>
                        <wps:spPr>
                          <a:xfrm>
                            <a:off x="489098" y="3834827"/>
                            <a:ext cx="1887220" cy="511952"/>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926675E" w14:textId="7001605A" w:rsidR="00184383" w:rsidRPr="004E2730" w:rsidRDefault="008A2B4D" w:rsidP="006F63D3">
                              <w:pPr>
                                <w:pStyle w:val="2024-PRISMA"/>
                              </w:pPr>
                              <w:r>
                                <w:t>Reviews</w:t>
                              </w:r>
                              <w:r w:rsidRPr="004E2730">
                                <w:t xml:space="preserve"> </w:t>
                              </w:r>
                              <w:r w:rsidR="00184383" w:rsidRPr="004E2730">
                                <w:t xml:space="preserve">included in </w:t>
                              </w:r>
                              <w:r>
                                <w:t>over</w:t>
                              </w:r>
                              <w:r w:rsidR="00184383" w:rsidRPr="004E2730">
                                <w:t>view</w:t>
                              </w:r>
                            </w:p>
                            <w:p w14:paraId="41583AFE" w14:textId="1A6F10B6" w:rsidR="00184383" w:rsidRPr="004E2730" w:rsidRDefault="00184383" w:rsidP="006F63D3">
                              <w:pPr>
                                <w:pStyle w:val="2024-PRISMA"/>
                              </w:pPr>
                              <w:r w:rsidRPr="004E2730">
                                <w:t xml:space="preserve">(n = </w:t>
                              </w:r>
                              <w:r w:rsidR="009F14FE" w:rsidRPr="004E2730">
                                <w:t>3</w:t>
                              </w:r>
                              <w:r w:rsidRPr="004E2730">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9875239" name="Rectangle 319875239"/>
                        <wps:cNvSpPr/>
                        <wps:spPr>
                          <a:xfrm>
                            <a:off x="499731" y="2243470"/>
                            <a:ext cx="1887220" cy="52641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3B12735" w14:textId="77777777" w:rsidR="00184383" w:rsidRPr="004E2730" w:rsidRDefault="00184383" w:rsidP="006F63D3">
                              <w:pPr>
                                <w:pStyle w:val="2024-PRISMA"/>
                              </w:pPr>
                              <w:r w:rsidRPr="004E2730">
                                <w:t>Reports sought for retrieval</w:t>
                              </w:r>
                            </w:p>
                            <w:p w14:paraId="7E39E3F5" w14:textId="1DF6D33F" w:rsidR="00184383" w:rsidRPr="004E2730" w:rsidRDefault="00184383" w:rsidP="006F63D3">
                              <w:pPr>
                                <w:pStyle w:val="2024-PRISMA"/>
                              </w:pPr>
                              <w:r w:rsidRPr="004E2730">
                                <w:t xml:space="preserve">(n = </w:t>
                              </w:r>
                              <w:r w:rsidR="007472A6" w:rsidRPr="004E2730">
                                <w:t>41</w:t>
                              </w:r>
                              <w:r w:rsidRPr="004E2730">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E9F0BA1" id="Group 1413295362" o:spid="_x0000_s1312" style="position:absolute;margin-left:.7pt;margin-top:11.5pt;width:420.4pt;height:349.7pt;z-index:251658252;mso-width-relative:margin;mso-height-relative:margin" coordsize="55364,452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">
                <v:rect id="Rectangle 1035799094" o:spid="_x0000_s1313" style="position:absolute;left:31807;top:4253;width:23557;height:83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" filled="f" strokecolor="black [3213]" strokeweight="1pt">
                  <v:textbox>
                    <w:txbxContent>
                      <w:p w14:paraId="3FD83BFF" w14:textId="77777777" w:rsidR="00184383" w:rsidRPr="004E2730" w:rsidRDefault="00184383" w:rsidP="006F63D3">
                        <w:pPr>
                          <w:pStyle w:val="2024-PRISMA"/>
                        </w:pPr>
                        <w:r w:rsidRPr="004E2730">
                          <w:t>Records removed before screening:</w:t>
                        </w:r>
                      </w:p>
                      <w:p w14:paraId="65826A6B" w14:textId="3FD531E0" w:rsidR="00184383" w:rsidRPr="004E2730" w:rsidRDefault="00184383" w:rsidP="006F63D3">
                        <w:pPr>
                          <w:pStyle w:val="2024-PRISMA"/>
                        </w:pPr>
                        <w:r w:rsidRPr="004E2730">
                          <w:t xml:space="preserve">Duplicate records removed (n = </w:t>
                        </w:r>
                        <w:r w:rsidR="007472A6" w:rsidRPr="004E2730">
                          <w:t>54</w:t>
                        </w:r>
                        <w:r w:rsidRPr="004E2730">
                          <w:t>)</w:t>
                        </w:r>
                      </w:p>
                    </w:txbxContent>
                  </v:textbox>
                </v:rect>
                <v:rect id="Rectangle 1517688100" o:spid="_x0000_s1314" style="position:absolute;left:29877;top:15098;width:18872;height:52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" filled="f" strokecolor="black [3213]" strokeweight="1pt">
                  <v:textbox>
                    <w:txbxContent>
                      <w:p w14:paraId="54237A63" w14:textId="77777777" w:rsidR="00184383" w:rsidRPr="004E2730" w:rsidRDefault="00184383" w:rsidP="006F63D3">
                        <w:pPr>
                          <w:pStyle w:val="2024-PRISMA"/>
                        </w:pPr>
                        <w:r w:rsidRPr="004E2730">
                          <w:t>Records excluded</w:t>
                        </w:r>
                      </w:p>
                      <w:p w14:paraId="701B0001" w14:textId="62F0B918" w:rsidR="00184383" w:rsidRPr="004E2730" w:rsidRDefault="00184383" w:rsidP="006F63D3">
                        <w:pPr>
                          <w:pStyle w:val="2024-PRISMA"/>
                        </w:pPr>
                        <w:r w:rsidRPr="004E2730">
                          <w:t xml:space="preserve">(n = </w:t>
                        </w:r>
                        <w:r w:rsidR="007472A6" w:rsidRPr="004E2730">
                          <w:t>65</w:t>
                        </w:r>
                        <w:r w:rsidR="00AB17DA">
                          <w:t>3</w:t>
                        </w:r>
                        <w:r w:rsidRPr="004E2730">
                          <w:t>)</w:t>
                        </w:r>
                      </w:p>
                    </w:txbxContent>
                  </v:textbox>
                </v:rect>
                <v:rect id="Rectangle 1215862265" o:spid="_x0000_s1315" style="position:absolute;left:29877;top:21377;width:23519;height:73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" filled="f" strokecolor="black [3213]" strokeweight="1pt">
                  <v:textbox>
                    <w:txbxContent>
                      <w:p w14:paraId="5376203D" w14:textId="77777777" w:rsidR="00184383" w:rsidRPr="004E2730" w:rsidRDefault="00184383" w:rsidP="006F63D3">
                        <w:pPr>
                          <w:pStyle w:val="2024-PRISMA"/>
                        </w:pPr>
                        <w:r w:rsidRPr="004E2730">
                          <w:t>Full-text unavailable (n = 0)</w:t>
                        </w:r>
                      </w:p>
                      <w:p w14:paraId="75BFAFC1" w14:textId="0598C96B" w:rsidR="00184383" w:rsidRPr="004E2730" w:rsidRDefault="00184383" w:rsidP="006F63D3">
                        <w:pPr>
                          <w:pStyle w:val="2024-PRISMA"/>
                        </w:pPr>
                        <w:r w:rsidRPr="004E2730">
                          <w:t xml:space="preserve">Ongoing study (n = </w:t>
                        </w:r>
                        <w:r w:rsidR="007472A6" w:rsidRPr="004E2730">
                          <w:t>7</w:t>
                        </w:r>
                        <w:r w:rsidRPr="004E2730">
                          <w:t>)</w:t>
                        </w:r>
                      </w:p>
                      <w:p w14:paraId="2C66CEE0" w14:textId="77777777" w:rsidR="001D2614" w:rsidRDefault="001D2614" w:rsidP="001D2614">
                        <w:pPr>
                          <w:pStyle w:val="2024-PRISMA"/>
                        </w:pPr>
                        <w:r>
                          <w:t>Conference abstracts (n = 0)</w:t>
                        </w:r>
                      </w:p>
                      <w:p w14:paraId="55C67905" w14:textId="61FABDD3" w:rsidR="00184383" w:rsidRPr="004E2730" w:rsidRDefault="00F41ADB" w:rsidP="006F63D3">
                        <w:pPr>
                          <w:pStyle w:val="2024-PRISMA"/>
                        </w:pPr>
                        <w:r>
                          <w:t>Reviews</w:t>
                        </w:r>
                        <w:r w:rsidR="00184383" w:rsidRPr="004E2730">
                          <w:t xml:space="preserve"> Awaiting Classification (n = 0)</w:t>
                        </w:r>
                      </w:p>
                    </w:txbxContent>
                  </v:textbox>
                </v:rect>
                <v:rect id="Rectangle 1842427325" o:spid="_x0000_s1316" style="position:absolute;left:29877;top:29558;width:21793;height:116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" filled="f" strokecolor="black [3213]" strokeweight="1pt">
                  <v:textbox>
                    <w:txbxContent>
                      <w:p w14:paraId="1E047187" w14:textId="3E4602A3" w:rsidR="00184383" w:rsidRPr="004E2730" w:rsidRDefault="00184383" w:rsidP="006F63D3">
                        <w:pPr>
                          <w:pStyle w:val="2024-PRISMA"/>
                        </w:pPr>
                        <w:r w:rsidRPr="004E2730">
                          <w:t xml:space="preserve">Reports excluded (n = </w:t>
                        </w:r>
                        <w:r w:rsidR="009F14FE" w:rsidRPr="004E2730">
                          <w:t>3</w:t>
                        </w:r>
                        <w:r w:rsidR="00A82D42">
                          <w:t>1</w:t>
                        </w:r>
                        <w:r w:rsidRPr="004E2730">
                          <w:t>):</w:t>
                        </w:r>
                      </w:p>
                      <w:p w14:paraId="05C17C0A" w14:textId="7E7BF24A" w:rsidR="00184383" w:rsidRPr="004E2730" w:rsidRDefault="00184383" w:rsidP="006F63D3">
                        <w:pPr>
                          <w:pStyle w:val="2024-PRISMA"/>
                        </w:pPr>
                        <w:r w:rsidRPr="004E2730">
                          <w:t xml:space="preserve">Wrong </w:t>
                        </w:r>
                        <w:r w:rsidR="00663570">
                          <w:t>patient population</w:t>
                        </w:r>
                        <w:r w:rsidRPr="004E2730">
                          <w:t xml:space="preserve"> (n = </w:t>
                        </w:r>
                        <w:r w:rsidR="00663570">
                          <w:t>21</w:t>
                        </w:r>
                        <w:r w:rsidRPr="004E2730">
                          <w:t>)</w:t>
                        </w:r>
                      </w:p>
                      <w:p w14:paraId="6A537D16" w14:textId="4B29B472" w:rsidR="00184383" w:rsidRPr="004E2730" w:rsidRDefault="00184383" w:rsidP="006F63D3">
                        <w:pPr>
                          <w:pStyle w:val="2024-PRISMA"/>
                        </w:pPr>
                        <w:r w:rsidRPr="004E2730">
                          <w:t xml:space="preserve">Wrong </w:t>
                        </w:r>
                        <w:r w:rsidR="00963016" w:rsidRPr="004E2730">
                          <w:t>intervention</w:t>
                        </w:r>
                        <w:r w:rsidRPr="004E2730">
                          <w:t xml:space="preserve"> (n = </w:t>
                        </w:r>
                        <w:r w:rsidR="00963016" w:rsidRPr="004E2730">
                          <w:t>1</w:t>
                        </w:r>
                        <w:r w:rsidRPr="004E2730">
                          <w:t>)</w:t>
                        </w:r>
                      </w:p>
                      <w:p w14:paraId="22B7AA97" w14:textId="58780F11" w:rsidR="00963016" w:rsidRPr="004E2730" w:rsidRDefault="00184383" w:rsidP="006F63D3">
                        <w:pPr>
                          <w:pStyle w:val="2024-PRISMA"/>
                        </w:pPr>
                        <w:r w:rsidRPr="004E2730">
                          <w:t xml:space="preserve">Does not meet minimum criteria for systematic review (n = </w:t>
                        </w:r>
                        <w:r w:rsidR="00963016" w:rsidRPr="004E2730">
                          <w:t>9</w:t>
                        </w:r>
                        <w:r w:rsidRPr="004E2730">
                          <w:t>)</w:t>
                        </w:r>
                      </w:p>
                    </w:txbxContent>
                  </v:textbox>
                </v:rect>
                <v:shape id="Straight Arrow Connector 1695090577" o:spid="_x0000_s1317" type="#_x0000_t32" style="position:absolute;left:24242;top:9758;width:756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" strokecolor="black [3213]" strokeweight=".5pt">
                  <v:stroke endarrow="block" joinstyle="miter"/>
                </v:shape>
                <v:shape id="Straight Arrow Connector 664309742" o:spid="_x0000_s1318" type="#_x0000_t32" style="position:absolute;left:23923;top:17201;width:563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" strokecolor="black [3213]" strokeweight=".5pt">
                  <v:stroke endarrow="block" joinstyle="miter"/>
                </v:shape>
                <v:shape id="Straight Arrow Connector 849380369" o:spid="_x0000_s1319" type="#_x0000_t32" style="position:absolute;left:24029;top:24218;width:563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" strokecolor="black [3213]" strokeweight=".5pt">
                  <v:stroke endarrow="block" joinstyle="miter"/>
                </v:shape>
                <v:shape id="Straight Arrow Connector 991640362" o:spid="_x0000_s1320" type="#_x0000_t32" style="position:absolute;left:24135;top:31555;width:563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" strokecolor="black [3213]" strokeweight=".5pt">
                  <v:stroke endarrow="block" joinstyle="miter"/>
                </v:shape>
                <v:shape id="Flowchart: Alternate Process 31" o:spid="_x0000_s1321" type="#_x0000_t176" style="position:absolute;left:-3111;top:7189;width:10094;height:3212;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" fillcolor="#9cc2e5 [1944]" strokecolor="black [3213]" strokeweight="1pt">
                  <v:textbox>
                    <w:txbxContent>
                      <w:p w14:paraId="3E1B6517" w14:textId="77777777" w:rsidR="00184383" w:rsidRPr="00537945" w:rsidRDefault="00184383" w:rsidP="006F63D3">
                        <w:pPr>
                          <w:pStyle w:val="2024-PRISMA"/>
                          <w:rPr>
                            <w:b/>
                          </w:rPr>
                        </w:pPr>
                        <w:r w:rsidRPr="00537945">
                          <w:rPr>
                            <w:b/>
                          </w:rPr>
                          <w:t>Identification</w:t>
                        </w:r>
                      </w:p>
                    </w:txbxContent>
                  </v:textbox>
                </v:shape>
                <v:shape id="Flowchart: Alternate Process 32" o:spid="_x0000_s1322" type="#_x0000_t176" style="position:absolute;left:-9346;top:24456;width:22693;height:3011;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" fillcolor="#9cc2e5 [1944]" strokecolor="black [3213]" strokeweight="1pt">
                  <v:textbox>
                    <w:txbxContent>
                      <w:p w14:paraId="337AD76A" w14:textId="77777777" w:rsidR="00184383" w:rsidRPr="00537945" w:rsidRDefault="00184383" w:rsidP="00537945">
                        <w:pPr>
                          <w:pStyle w:val="2024-PRISMA"/>
                          <w:jc w:val="center"/>
                          <w:rPr>
                            <w:b/>
                          </w:rPr>
                        </w:pPr>
                        <w:r w:rsidRPr="00537945">
                          <w:rPr>
                            <w:b/>
                          </w:rPr>
                          <w:t>Screening</w:t>
                        </w:r>
                      </w:p>
                      <w:p w14:paraId="0AA6CFEF" w14:textId="77777777" w:rsidR="00184383" w:rsidRPr="00537945" w:rsidRDefault="00184383" w:rsidP="00537945">
                        <w:pPr>
                          <w:pStyle w:val="2024-PRISMA"/>
                          <w:jc w:val="center"/>
                          <w:rPr>
                            <w:b/>
                          </w:rPr>
                        </w:pPr>
                      </w:p>
                    </w:txbxContent>
                  </v:textbox>
                </v:shape>
                <v:shape id="Flowchart: Alternate Process 33" o:spid="_x0000_s1323" type="#_x0000_t176" style="position:absolute;left:-1594;top:40080;width:7111;height:3132;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" fillcolor="#9cc2e5 [1944]" strokecolor="black [3213]" strokeweight="1pt">
                  <v:textbox>
                    <w:txbxContent>
                      <w:p w14:paraId="22FC6394" w14:textId="77777777" w:rsidR="00184383" w:rsidRPr="00537945" w:rsidRDefault="00184383" w:rsidP="006F63D3">
                        <w:pPr>
                          <w:pStyle w:val="2024-PRISMA"/>
                          <w:rPr>
                            <w:b/>
                          </w:rPr>
                        </w:pPr>
                        <w:r w:rsidRPr="00537945">
                          <w:rPr>
                            <w:b/>
                          </w:rPr>
                          <w:t>Included</w:t>
                        </w:r>
                      </w:p>
                    </w:txbxContent>
                  </v:textbox>
                </v:shape>
                <v:shape id="Straight Arrow Connector 1715198667" o:spid="_x0000_s1324" type="#_x0000_t32" style="position:absolute;left:13394;top:12333;width:0;height:281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" strokecolor="black [3213]" strokeweight=".5pt">
                  <v:stroke endarrow="block" joinstyle="miter"/>
                </v:shape>
                <v:shape id="Straight Arrow Connector 963748082" o:spid="_x0000_s1325" type="#_x0000_t32" style="position:absolute;left:13394;top:19670;width:0;height:281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" strokecolor="black [3213]" strokeweight=".5pt">
                  <v:stroke endarrow="block" joinstyle="miter"/>
                </v:shape>
                <v:shape id="Straight Arrow Connector 1773339112" o:spid="_x0000_s1326" type="#_x0000_t32" style="position:absolute;left:13500;top:26900;width:0;height:281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" strokecolor="black [3213]" strokeweight=".5pt">
                  <v:stroke endarrow="block" joinstyle="miter"/>
                </v:shape>
                <v:shape id="Straight Arrow Connector 476951613" o:spid="_x0000_s1327" type="#_x0000_t32" style="position:absolute;left:13394;top:30905;width:0;height:746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" strokecolor="black [3213]" strokeweight=".5pt">
                  <v:stroke endarrow="block" joinstyle="miter"/>
                </v:shape>
                <v:shape id="Flowchart: Alternate Process 29" o:spid="_x0000_s1328" type="#_x0000_t176" style="position:absolute;width:55364;height:29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" fillcolor="#ffc000 [3207]" strokecolor="#7f5f00 [1607]" strokeweight="1pt">
                  <v:textbox>
                    <w:txbxContent>
                      <w:p w14:paraId="529BA3D4" w14:textId="06E3A344" w:rsidR="00184383" w:rsidRPr="00537945" w:rsidRDefault="00184383" w:rsidP="00537945">
                        <w:pPr>
                          <w:pStyle w:val="2024-PRISMA"/>
                          <w:jc w:val="center"/>
                          <w:rPr>
                            <w:b/>
                          </w:rPr>
                        </w:pPr>
                        <w:r w:rsidRPr="00537945">
                          <w:rPr>
                            <w:b/>
                          </w:rPr>
                          <w:t xml:space="preserve">Identification of </w:t>
                        </w:r>
                        <w:r w:rsidR="008A2B4D">
                          <w:rPr>
                            <w:b/>
                          </w:rPr>
                          <w:t>reviews</w:t>
                        </w:r>
                        <w:r w:rsidR="008A2B4D" w:rsidRPr="00537945">
                          <w:rPr>
                            <w:b/>
                          </w:rPr>
                          <w:t xml:space="preserve"> </w:t>
                        </w:r>
                        <w:r w:rsidRPr="00537945">
                          <w:rPr>
                            <w:b/>
                          </w:rPr>
                          <w:t>via databases and registers</w:t>
                        </w:r>
                      </w:p>
                    </w:txbxContent>
                  </v:textbox>
                </v:shape>
                <v:rect id="Rectangle 158687589" o:spid="_x0000_s1329" style="position:absolute;left:4997;top:4253;width:24558;height:83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" fillcolor="white [3212]" strokecolor="black [3213]" strokeweight="1pt">
                  <v:textbox>
                    <w:txbxContent>
                      <w:p w14:paraId="794D10A4" w14:textId="53C82BD9" w:rsidR="00184383" w:rsidRPr="004E2730" w:rsidRDefault="00184383" w:rsidP="006F63D3">
                        <w:pPr>
                          <w:pStyle w:val="2024-PRISMA"/>
                        </w:pPr>
                        <w:r w:rsidRPr="004E2730">
                          <w:t>Records identified from:</w:t>
                        </w:r>
                      </w:p>
                      <w:p w14:paraId="1C846F52" w14:textId="5EF451C7" w:rsidR="00184383" w:rsidRPr="004E2730" w:rsidRDefault="00184383" w:rsidP="006F63D3">
                        <w:pPr>
                          <w:pStyle w:val="2024-PRISMA"/>
                        </w:pPr>
                        <w:r w:rsidRPr="004E2730">
                          <w:t xml:space="preserve">Databases and registers (n = </w:t>
                        </w:r>
                        <w:r w:rsidR="007472A6" w:rsidRPr="004E2730">
                          <w:t>746</w:t>
                        </w:r>
                        <w:r w:rsidRPr="004E2730">
                          <w:t>)</w:t>
                        </w:r>
                      </w:p>
                      <w:p w14:paraId="1FAF6D7D" w14:textId="7979D7CC" w:rsidR="00184383" w:rsidRPr="004E2730" w:rsidRDefault="00184383" w:rsidP="006F63D3">
                        <w:pPr>
                          <w:pStyle w:val="2024-PRISMA"/>
                        </w:pPr>
                        <w:r w:rsidRPr="004E2730">
                          <w:t xml:space="preserve">Manual or citation searching (n = </w:t>
                        </w:r>
                        <w:r w:rsidR="001557F0">
                          <w:t>1</w:t>
                        </w:r>
                        <w:r w:rsidRPr="004E2730">
                          <w:t>)</w:t>
                        </w:r>
                      </w:p>
                      <w:p w14:paraId="28081FF1" w14:textId="5CD31CEF" w:rsidR="00184383" w:rsidRPr="004E2730" w:rsidRDefault="00184383" w:rsidP="006F63D3">
                        <w:pPr>
                          <w:pStyle w:val="2024-PRISMA"/>
                        </w:pPr>
                        <w:r w:rsidRPr="004E2730">
                          <w:t xml:space="preserve">Department’s call for evidence (n = </w:t>
                        </w:r>
                        <w:r w:rsidR="00593E07">
                          <w:t>1</w:t>
                        </w:r>
                        <w:r w:rsidRPr="004E2730">
                          <w:t>)</w:t>
                        </w:r>
                      </w:p>
                    </w:txbxContent>
                  </v:textbox>
                </v:rect>
                <v:rect id="Rectangle 1760045027" o:spid="_x0000_s1330" style="position:absolute;left:4997;top:15204;width:18872;height:52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" fillcolor="white [3212]" strokecolor="black [3213]" strokeweight="1pt">
                  <v:textbox>
                    <w:txbxContent>
                      <w:p w14:paraId="499D1C02" w14:textId="77777777" w:rsidR="00184383" w:rsidRPr="004E2730" w:rsidRDefault="00184383" w:rsidP="006F63D3">
                        <w:pPr>
                          <w:pStyle w:val="2024-PRISMA"/>
                        </w:pPr>
                        <w:r w:rsidRPr="004E2730">
                          <w:t>Records screened</w:t>
                        </w:r>
                      </w:p>
                      <w:p w14:paraId="2B484C20" w14:textId="3C264338" w:rsidR="00184383" w:rsidRPr="004E2730" w:rsidRDefault="00184383" w:rsidP="006F63D3">
                        <w:pPr>
                          <w:pStyle w:val="2024-PRISMA"/>
                        </w:pPr>
                        <w:r w:rsidRPr="004E2730">
                          <w:t>(n = 6</w:t>
                        </w:r>
                        <w:r w:rsidR="007472A6" w:rsidRPr="004E2730">
                          <w:t>9</w:t>
                        </w:r>
                        <w:r w:rsidR="00AB17DA">
                          <w:t>4</w:t>
                        </w:r>
                        <w:r w:rsidRPr="004E2730">
                          <w:t>)</w:t>
                        </w:r>
                      </w:p>
                    </w:txbxContent>
                  </v:textbox>
                </v:rect>
                <v:rect id="Rectangle 1945654999" o:spid="_x0000_s1331" style="position:absolute;left:4997;top:29771;width:18872;height:52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" fillcolor="white [3212]" strokecolor="black [3213]" strokeweight="1pt">
                  <v:textbox>
                    <w:txbxContent>
                      <w:p w14:paraId="1A19DB21" w14:textId="77777777" w:rsidR="00184383" w:rsidRPr="004E2730" w:rsidRDefault="00184383" w:rsidP="006F63D3">
                        <w:pPr>
                          <w:pStyle w:val="2024-PRISMA"/>
                        </w:pPr>
                        <w:r w:rsidRPr="004E2730">
                          <w:t>Reports assessed for eligibility</w:t>
                        </w:r>
                      </w:p>
                      <w:p w14:paraId="6CF82EFE" w14:textId="027C06D0" w:rsidR="00184383" w:rsidRPr="004E2730" w:rsidRDefault="00184383" w:rsidP="006F63D3">
                        <w:pPr>
                          <w:pStyle w:val="2024-PRISMA"/>
                        </w:pPr>
                        <w:r w:rsidRPr="004E2730">
                          <w:t xml:space="preserve">(n = </w:t>
                        </w:r>
                        <w:r w:rsidR="00D81DF9" w:rsidRPr="004E2730">
                          <w:t>3</w:t>
                        </w:r>
                        <w:r w:rsidR="009F14FE" w:rsidRPr="004E2730">
                          <w:t>4</w:t>
                        </w:r>
                        <w:r w:rsidRPr="004E2730">
                          <w:t>)</w:t>
                        </w:r>
                      </w:p>
                    </w:txbxContent>
                  </v:textbox>
                </v:rect>
                <v:rect id="Rectangle 1205477815" o:spid="_x0000_s1332" style="position:absolute;left:4890;top:38348;width:18873;height:51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" fillcolor="white [3212]" strokecolor="black [3213]" strokeweight="1pt">
                  <v:textbox>
                    <w:txbxContent>
                      <w:p w14:paraId="2926675E" w14:textId="7001605A" w:rsidR="00184383" w:rsidRPr="004E2730" w:rsidRDefault="008A2B4D" w:rsidP="006F63D3">
                        <w:pPr>
                          <w:pStyle w:val="2024-PRISMA"/>
                        </w:pPr>
                        <w:r>
                          <w:t>Reviews</w:t>
                        </w:r>
                        <w:r w:rsidRPr="004E2730">
                          <w:t xml:space="preserve"> </w:t>
                        </w:r>
                        <w:r w:rsidR="00184383" w:rsidRPr="004E2730">
                          <w:t xml:space="preserve">included in </w:t>
                        </w:r>
                        <w:r>
                          <w:t>over</w:t>
                        </w:r>
                        <w:r w:rsidR="00184383" w:rsidRPr="004E2730">
                          <w:t>view</w:t>
                        </w:r>
                      </w:p>
                      <w:p w14:paraId="41583AFE" w14:textId="1A6F10B6" w:rsidR="00184383" w:rsidRPr="004E2730" w:rsidRDefault="00184383" w:rsidP="006F63D3">
                        <w:pPr>
                          <w:pStyle w:val="2024-PRISMA"/>
                        </w:pPr>
                        <w:r w:rsidRPr="004E2730">
                          <w:t xml:space="preserve">(n = </w:t>
                        </w:r>
                        <w:r w:rsidR="009F14FE" w:rsidRPr="004E2730">
                          <w:t>3</w:t>
                        </w:r>
                        <w:r w:rsidRPr="004E2730">
                          <w:t>)</w:t>
                        </w:r>
                      </w:p>
                    </w:txbxContent>
                  </v:textbox>
                </v:rect>
                <v:rect id="Rectangle 319875239" o:spid="_x0000_s1333" style="position:absolute;left:4997;top:22434;width:18872;height:52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" fillcolor="white [3212]" strokecolor="black [3213]" strokeweight="1pt">
                  <v:textbox>
                    <w:txbxContent>
                      <w:p w14:paraId="43B12735" w14:textId="77777777" w:rsidR="00184383" w:rsidRPr="004E2730" w:rsidRDefault="00184383" w:rsidP="006F63D3">
                        <w:pPr>
                          <w:pStyle w:val="2024-PRISMA"/>
                        </w:pPr>
                        <w:r w:rsidRPr="004E2730">
                          <w:t>Reports sought for retrieval</w:t>
                        </w:r>
                      </w:p>
                      <w:p w14:paraId="7E39E3F5" w14:textId="1DF6D33F" w:rsidR="00184383" w:rsidRPr="004E2730" w:rsidRDefault="00184383" w:rsidP="006F63D3">
                        <w:pPr>
                          <w:pStyle w:val="2024-PRISMA"/>
                        </w:pPr>
                        <w:r w:rsidRPr="004E2730">
                          <w:t xml:space="preserve">(n = </w:t>
                        </w:r>
                        <w:r w:rsidR="007472A6" w:rsidRPr="004E2730">
                          <w:t>41</w:t>
                        </w:r>
                        <w:r w:rsidRPr="004E2730">
                          <w:t>)</w:t>
                        </w:r>
                      </w:p>
                    </w:txbxContent>
                  </v:textbox>
                </v:rect>
                <w10:wrap type="square"/>
              </v:group>
            </w:pict>
          </mc:Fallback>
        </mc:AlternateContent>
      </w:r>
    </w:p>
    <w:p w14:paraId="586B4AB7" w14:textId="77777777" w:rsidR="00184383" w:rsidRPr="0054775B" w:rsidRDefault="00184383" w:rsidP="009E6F7F"/>
    <w:p w14:paraId="271E221A" w14:textId="77777777" w:rsidR="00184383" w:rsidRPr="0054775B" w:rsidRDefault="00184383" w:rsidP="009E6F7F"/>
    <w:p w14:paraId="4A0F0E32" w14:textId="77777777" w:rsidR="00184383" w:rsidRPr="0054775B" w:rsidRDefault="00184383" w:rsidP="009E6F7F"/>
    <w:p w14:paraId="3EA06A55" w14:textId="77777777" w:rsidR="00184383" w:rsidRPr="0054775B" w:rsidRDefault="00184383" w:rsidP="009E6F7F"/>
    <w:p w14:paraId="2B1C1460" w14:textId="77777777" w:rsidR="00184383" w:rsidRPr="0054775B" w:rsidRDefault="00184383" w:rsidP="009E6F7F"/>
    <w:p w14:paraId="6F466404" w14:textId="77777777" w:rsidR="00184383" w:rsidRPr="0054775B" w:rsidRDefault="00184383" w:rsidP="009E6F7F"/>
    <w:p w14:paraId="7A77CFAE" w14:textId="77777777" w:rsidR="00184383" w:rsidRPr="0054775B" w:rsidRDefault="00184383" w:rsidP="009E6F7F"/>
    <w:p w14:paraId="61674B82" w14:textId="77777777" w:rsidR="00184383" w:rsidRPr="0054775B" w:rsidRDefault="00184383" w:rsidP="009E6F7F"/>
    <w:p w14:paraId="52C89976" w14:textId="77777777" w:rsidR="00184383" w:rsidRPr="0054775B" w:rsidRDefault="00184383" w:rsidP="009E6F7F"/>
    <w:p w14:paraId="74B41889" w14:textId="77777777" w:rsidR="00184383" w:rsidRPr="0054775B" w:rsidRDefault="00184383" w:rsidP="009E6F7F"/>
    <w:p w14:paraId="3C1E235A" w14:textId="77777777" w:rsidR="00184383" w:rsidRPr="0054775B" w:rsidRDefault="00184383" w:rsidP="009E6F7F"/>
    <w:p w14:paraId="6B3EF69B" w14:textId="77777777" w:rsidR="00184383" w:rsidRPr="0054775B" w:rsidRDefault="00184383" w:rsidP="009E6F7F"/>
    <w:p w14:paraId="69877A03" w14:textId="77777777" w:rsidR="00184383" w:rsidRPr="0054775B" w:rsidRDefault="00184383" w:rsidP="009E6F7F"/>
    <w:p w14:paraId="0D60BFE7" w14:textId="77777777" w:rsidR="00184383" w:rsidRPr="0054775B" w:rsidRDefault="00184383" w:rsidP="009E6F7F"/>
    <w:p w14:paraId="53AEA93B" w14:textId="77777777" w:rsidR="00184383" w:rsidRPr="0054775B" w:rsidRDefault="00184383" w:rsidP="009E6F7F"/>
    <w:p w14:paraId="72ACBBF0" w14:textId="4779DC70" w:rsidR="00764746" w:rsidRPr="0054775B" w:rsidRDefault="00764746" w:rsidP="009E6F7F">
      <w:pPr>
        <w:pStyle w:val="2024HEADER3"/>
        <w:rPr>
          <w:rFonts w:ascii="Aptos" w:hAnsi="Aptos"/>
        </w:rPr>
      </w:pPr>
      <w:r w:rsidRPr="0054775B">
        <w:rPr>
          <w:rFonts w:ascii="Aptos" w:hAnsi="Aptos"/>
        </w:rPr>
        <w:t>Description of included reviews</w:t>
      </w:r>
    </w:p>
    <w:p w14:paraId="6C0F11D7" w14:textId="76D6D4F0" w:rsidR="00A957D2" w:rsidRPr="0054775B" w:rsidRDefault="00A957D2" w:rsidP="00A957D2">
      <w:r w:rsidRPr="0054775B">
        <w:t xml:space="preserve">Three reviews were identified as eligible for inclusion. Two reviews </w:t>
      </w:r>
      <w:r w:rsidR="00E02C08" w:rsidRPr="0054775B">
        <w:t>were Cochrane reviews</w:t>
      </w:r>
      <w:r w:rsidR="00211E48" w:rsidRPr="0054775B">
        <w:t xml:space="preserve"> including </w:t>
      </w:r>
      <w:r w:rsidR="00566FBC">
        <w:t>only</w:t>
      </w:r>
      <w:r w:rsidR="00211E48" w:rsidRPr="0054775B">
        <w:t xml:space="preserve"> RCTs</w:t>
      </w:r>
      <w:r w:rsidR="00592BE4" w:rsidRPr="0054775B">
        <w:t xml:space="preserve"> </w:t>
      </w:r>
      <w:r w:rsidR="00227084">
        <w:rPr>
          <w:noProof/>
        </w:rPr>
        <w:t>(195, 196)</w:t>
      </w:r>
      <w:r w:rsidR="00E02C08" w:rsidRPr="0054775B">
        <w:t>, and one was a systematic review</w:t>
      </w:r>
      <w:r w:rsidR="00211E48" w:rsidRPr="0054775B">
        <w:t xml:space="preserve"> including controlled trials </w:t>
      </w:r>
      <w:r w:rsidR="00227084">
        <w:rPr>
          <w:noProof/>
        </w:rPr>
        <w:t>(197)</w:t>
      </w:r>
      <w:r w:rsidRPr="0054775B">
        <w:t xml:space="preserve">. Reviews were conducted </w:t>
      </w:r>
      <w:r w:rsidR="00E02C08" w:rsidRPr="0054775B">
        <w:t>in 2014, 2016 and 20</w:t>
      </w:r>
      <w:r w:rsidR="00211E48" w:rsidRPr="0054775B">
        <w:t>20</w:t>
      </w:r>
      <w:r w:rsidRPr="0054775B">
        <w:t xml:space="preserve">. A detailed summary of characteristics of the included reviews are reported in </w:t>
      </w:r>
      <w:r w:rsidR="00FB0A70" w:rsidRPr="0054775B">
        <w:t xml:space="preserve">Appendix </w:t>
      </w:r>
      <w:r w:rsidR="00876D00">
        <w:t>D</w:t>
      </w:r>
      <w:r w:rsidRPr="0054775B">
        <w:t xml:space="preserve">. </w:t>
      </w:r>
    </w:p>
    <w:p w14:paraId="0E5849AC" w14:textId="2ADBDAEF" w:rsidR="00A957D2" w:rsidRPr="0054775B" w:rsidRDefault="00A757B8" w:rsidP="00A957D2">
      <w:r w:rsidRPr="0054775B">
        <w:t>Each review examined a recurrent infection in children</w:t>
      </w:r>
      <w:r w:rsidR="008F1251" w:rsidRPr="0054775B">
        <w:t>. One Cochrane review aimed specifically to review zinc supplementation for prevention of otitis media</w:t>
      </w:r>
      <w:r w:rsidR="005E68A6" w:rsidRPr="0054775B">
        <w:t xml:space="preserve">. Two reviews summarised preventative and therapeutic interventions more </w:t>
      </w:r>
      <w:r w:rsidR="006E1F08" w:rsidRPr="0054775B">
        <w:t>broadly</w:t>
      </w:r>
      <w:r w:rsidR="005E68A6" w:rsidRPr="0054775B">
        <w:t xml:space="preserve"> (including zinc supplementation) for </w:t>
      </w:r>
      <w:r w:rsidR="006E1F08" w:rsidRPr="0054775B">
        <w:t xml:space="preserve">URTI in children with Down’s Syndrome </w:t>
      </w:r>
      <w:r w:rsidR="00227084">
        <w:rPr>
          <w:noProof/>
        </w:rPr>
        <w:t>(197)</w:t>
      </w:r>
      <w:r w:rsidR="006E1F08" w:rsidRPr="0054775B">
        <w:t xml:space="preserve"> and pulmonary infection in children with cystic fibrosis </w:t>
      </w:r>
      <w:r w:rsidR="00227084">
        <w:rPr>
          <w:noProof/>
        </w:rPr>
        <w:t>(195)</w:t>
      </w:r>
      <w:r w:rsidR="006E1F08" w:rsidRPr="0054775B">
        <w:t>.</w:t>
      </w:r>
    </w:p>
    <w:p w14:paraId="08600809" w14:textId="4B50BF3A" w:rsidR="00362896" w:rsidRPr="0054775B" w:rsidRDefault="00362896" w:rsidP="00537945">
      <w:pPr>
        <w:pStyle w:val="2024HEADER3"/>
        <w:rPr>
          <w:rFonts w:ascii="Aptos" w:hAnsi="Aptos"/>
        </w:rPr>
      </w:pPr>
      <w:r w:rsidRPr="0054775B">
        <w:rPr>
          <w:rFonts w:ascii="Aptos" w:hAnsi="Aptos"/>
        </w:rPr>
        <w:t>Assessment of risk of bias of included reviews</w:t>
      </w:r>
    </w:p>
    <w:p w14:paraId="6720FFFC" w14:textId="447D4202" w:rsidR="00362896" w:rsidRPr="0054775B" w:rsidRDefault="00362896" w:rsidP="009E6F7F">
      <w:r w:rsidRPr="0054775B">
        <w:t xml:space="preserve">Risk of bias of the systematic reviews, as assessed using the ROBIS tool, is presented below. </w:t>
      </w:r>
      <w:r w:rsidR="006D3FE4" w:rsidRPr="0054775B">
        <w:t xml:space="preserve">Full assessments are reported in Appendix </w:t>
      </w:r>
      <w:r w:rsidR="00876D00">
        <w:t>F</w:t>
      </w:r>
      <w:r w:rsidRPr="0054775B">
        <w:t>.</w:t>
      </w:r>
    </w:p>
    <w:p w14:paraId="780941A8" w14:textId="207A6108" w:rsidR="00362896" w:rsidRPr="0054775B" w:rsidRDefault="00362896" w:rsidP="009E6F7F">
      <w:pPr>
        <w:pStyle w:val="2024TABLECAPTION"/>
        <w:rPr>
          <w:rFonts w:ascii="Aptos" w:hAnsi="Aptos"/>
          <w:highlight w:val="yellow"/>
        </w:rPr>
      </w:pPr>
      <w:bookmarkStart w:id="132" w:name="_Toc185261625"/>
      <w:r w:rsidRPr="0054775B">
        <w:rPr>
          <w:rFonts w:ascii="Aptos" w:hAnsi="Aptos"/>
        </w:rPr>
        <w:t xml:space="preserve">Table </w:t>
      </w:r>
      <w:r w:rsidRPr="0054775B">
        <w:rPr>
          <w:rFonts w:ascii="Aptos" w:hAnsi="Aptos"/>
        </w:rPr>
        <w:fldChar w:fldCharType="begin"/>
      </w:r>
      <w:r w:rsidRPr="0054775B">
        <w:rPr>
          <w:rFonts w:ascii="Aptos" w:hAnsi="Aptos"/>
        </w:rPr>
        <w:instrText>SEQ Table \* ARABIC</w:instrText>
      </w:r>
      <w:r w:rsidRPr="0054775B">
        <w:rPr>
          <w:rFonts w:ascii="Aptos" w:hAnsi="Aptos"/>
        </w:rPr>
        <w:fldChar w:fldCharType="separate"/>
      </w:r>
      <w:r w:rsidR="00651E04">
        <w:rPr>
          <w:rFonts w:ascii="Aptos" w:hAnsi="Aptos"/>
          <w:noProof/>
        </w:rPr>
        <w:t>47</w:t>
      </w:r>
      <w:r w:rsidRPr="0054775B">
        <w:rPr>
          <w:rFonts w:ascii="Aptos" w:hAnsi="Aptos"/>
        </w:rPr>
        <w:fldChar w:fldCharType="end"/>
      </w:r>
      <w:r w:rsidRPr="0054775B">
        <w:rPr>
          <w:rFonts w:ascii="Aptos" w:hAnsi="Aptos"/>
        </w:rPr>
        <w:t xml:space="preserve">. Summary of ROBIS assessments – </w:t>
      </w:r>
      <w:r w:rsidR="009F14FE" w:rsidRPr="0054775B">
        <w:rPr>
          <w:rFonts w:ascii="Aptos" w:hAnsi="Aptos"/>
        </w:rPr>
        <w:t>recurrent infection</w:t>
      </w:r>
      <w:r w:rsidR="00447A23" w:rsidRPr="0054775B">
        <w:rPr>
          <w:rFonts w:ascii="Aptos" w:hAnsi="Aptos"/>
        </w:rPr>
        <w:t>s</w:t>
      </w:r>
      <w:r w:rsidR="009F14FE" w:rsidRPr="0054775B">
        <w:rPr>
          <w:rFonts w:ascii="Aptos" w:hAnsi="Aptos"/>
        </w:rPr>
        <w:t>, zinc</w:t>
      </w:r>
      <w:bookmarkEnd w:id="132"/>
    </w:p>
    <w:tbl>
      <w:tblPr>
        <w:tblW w:w="9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28" w:type="dxa"/>
        </w:tblCellMar>
        <w:tblLook w:val="04A0" w:firstRow="1" w:lastRow="0" w:firstColumn="1" w:lastColumn="0" w:noHBand="0" w:noVBand="1"/>
      </w:tblPr>
      <w:tblGrid>
        <w:gridCol w:w="1408"/>
        <w:gridCol w:w="1488"/>
        <w:gridCol w:w="1630"/>
        <w:gridCol w:w="1630"/>
        <w:gridCol w:w="1631"/>
        <w:gridCol w:w="1229"/>
      </w:tblGrid>
      <w:tr w:rsidR="00DF33C3" w:rsidRPr="0054775B" w14:paraId="3D9E6BB0" w14:textId="77777777" w:rsidTr="00BC4FA1">
        <w:trPr>
          <w:trHeight w:val="95"/>
        </w:trPr>
        <w:tc>
          <w:tcPr>
            <w:tcW w:w="1408" w:type="dxa"/>
            <w:vMerge w:val="restart"/>
            <w:shd w:val="clear" w:color="auto" w:fill="D9D9D9" w:themeFill="background1" w:themeFillShade="D9"/>
            <w:hideMark/>
          </w:tcPr>
          <w:p w14:paraId="1628C571" w14:textId="572968C0" w:rsidR="00DF33C3" w:rsidRPr="0054775B" w:rsidRDefault="00DF33C3" w:rsidP="00BC4FA1">
            <w:pPr>
              <w:pStyle w:val="2024TABLEHEADER"/>
              <w:rPr>
                <w:color w:val="000000"/>
              </w:rPr>
            </w:pPr>
            <w:r w:rsidRPr="0054775B">
              <w:t>Review ID</w:t>
            </w:r>
          </w:p>
        </w:tc>
        <w:tc>
          <w:tcPr>
            <w:tcW w:w="6379" w:type="dxa"/>
            <w:gridSpan w:val="4"/>
            <w:shd w:val="clear" w:color="auto" w:fill="D9D9D9" w:themeFill="background1" w:themeFillShade="D9"/>
          </w:tcPr>
          <w:p w14:paraId="352B39D2" w14:textId="437C971E" w:rsidR="00DF33C3" w:rsidRPr="0054775B" w:rsidRDefault="00DF33C3" w:rsidP="00BC4FA1">
            <w:pPr>
              <w:pStyle w:val="2024TABLEHEADER"/>
            </w:pPr>
            <w:r w:rsidRPr="0054775B">
              <w:t>ROBIS Domains</w:t>
            </w:r>
          </w:p>
        </w:tc>
        <w:tc>
          <w:tcPr>
            <w:tcW w:w="1229" w:type="dxa"/>
            <w:vMerge w:val="restart"/>
            <w:shd w:val="clear" w:color="auto" w:fill="D9D9D9" w:themeFill="background1" w:themeFillShade="D9"/>
          </w:tcPr>
          <w:p w14:paraId="565608DA" w14:textId="254F45C6" w:rsidR="00DF33C3" w:rsidRPr="0054775B" w:rsidRDefault="00DF33C3" w:rsidP="00BC4FA1">
            <w:pPr>
              <w:pStyle w:val="2024TABLEHEADER"/>
              <w:rPr>
                <w:highlight w:val="yellow"/>
              </w:rPr>
            </w:pPr>
            <w:r w:rsidRPr="0054775B">
              <w:t>Overall risk of bias</w:t>
            </w:r>
          </w:p>
        </w:tc>
      </w:tr>
      <w:tr w:rsidR="00362896" w:rsidRPr="0054775B" w14:paraId="75E2FCC0" w14:textId="77777777" w:rsidTr="00BC4FA1">
        <w:trPr>
          <w:trHeight w:val="95"/>
        </w:trPr>
        <w:tc>
          <w:tcPr>
            <w:tcW w:w="1408" w:type="dxa"/>
            <w:vMerge/>
            <w:shd w:val="clear" w:color="auto" w:fill="D9D9D9" w:themeFill="background1" w:themeFillShade="D9"/>
          </w:tcPr>
          <w:p w14:paraId="01960646" w14:textId="77777777" w:rsidR="00362896" w:rsidRPr="0054775B" w:rsidRDefault="00362896" w:rsidP="00BC4FA1">
            <w:pPr>
              <w:pStyle w:val="2024TABLEHEADER"/>
            </w:pPr>
          </w:p>
        </w:tc>
        <w:tc>
          <w:tcPr>
            <w:tcW w:w="1488" w:type="dxa"/>
            <w:shd w:val="clear" w:color="auto" w:fill="F2F2F2" w:themeFill="background1" w:themeFillShade="F2"/>
          </w:tcPr>
          <w:p w14:paraId="737B5BE8" w14:textId="77777777" w:rsidR="00362896" w:rsidRPr="0054775B" w:rsidRDefault="00362896" w:rsidP="00BC4FA1">
            <w:pPr>
              <w:pStyle w:val="2024TABLEHEADER"/>
              <w:rPr>
                <w:b w:val="0"/>
                <w:bCs w:val="0"/>
              </w:rPr>
            </w:pPr>
            <w:r w:rsidRPr="0054775B">
              <w:rPr>
                <w:b w:val="0"/>
                <w:bCs w:val="0"/>
              </w:rPr>
              <w:t>Domain 1: Study eligibility criteria</w:t>
            </w:r>
          </w:p>
        </w:tc>
        <w:tc>
          <w:tcPr>
            <w:tcW w:w="1630" w:type="dxa"/>
            <w:shd w:val="clear" w:color="auto" w:fill="F2F2F2" w:themeFill="background1" w:themeFillShade="F2"/>
          </w:tcPr>
          <w:p w14:paraId="5E81C120" w14:textId="77777777" w:rsidR="00362896" w:rsidRPr="0054775B" w:rsidRDefault="00362896" w:rsidP="00BC4FA1">
            <w:pPr>
              <w:pStyle w:val="2024TABLEHEADER"/>
              <w:rPr>
                <w:b w:val="0"/>
                <w:bCs w:val="0"/>
              </w:rPr>
            </w:pPr>
            <w:r w:rsidRPr="0054775B">
              <w:rPr>
                <w:b w:val="0"/>
                <w:bCs w:val="0"/>
              </w:rPr>
              <w:t>Domain 2: Identification and selection of studies</w:t>
            </w:r>
          </w:p>
        </w:tc>
        <w:tc>
          <w:tcPr>
            <w:tcW w:w="1630" w:type="dxa"/>
            <w:shd w:val="clear" w:color="auto" w:fill="F2F2F2" w:themeFill="background1" w:themeFillShade="F2"/>
          </w:tcPr>
          <w:p w14:paraId="32DAD8F2" w14:textId="77777777" w:rsidR="00362896" w:rsidRPr="0054775B" w:rsidRDefault="00362896" w:rsidP="00BC4FA1">
            <w:pPr>
              <w:pStyle w:val="2024TABLEHEADER"/>
              <w:rPr>
                <w:b w:val="0"/>
                <w:bCs w:val="0"/>
              </w:rPr>
            </w:pPr>
            <w:r w:rsidRPr="0054775B">
              <w:rPr>
                <w:b w:val="0"/>
                <w:bCs w:val="0"/>
              </w:rPr>
              <w:t>Domain 3: Data collection and study appraisal</w:t>
            </w:r>
          </w:p>
        </w:tc>
        <w:tc>
          <w:tcPr>
            <w:tcW w:w="1631" w:type="dxa"/>
            <w:shd w:val="clear" w:color="auto" w:fill="F2F2F2" w:themeFill="background1" w:themeFillShade="F2"/>
          </w:tcPr>
          <w:p w14:paraId="10C17A1C" w14:textId="77777777" w:rsidR="00362896" w:rsidRPr="0054775B" w:rsidRDefault="00362896" w:rsidP="00BC4FA1">
            <w:pPr>
              <w:pStyle w:val="2024TABLEHEADER"/>
              <w:rPr>
                <w:b w:val="0"/>
                <w:bCs w:val="0"/>
              </w:rPr>
            </w:pPr>
            <w:r w:rsidRPr="0054775B">
              <w:rPr>
                <w:b w:val="0"/>
                <w:bCs w:val="0"/>
              </w:rPr>
              <w:t>Domain 4: Synthesis and findings</w:t>
            </w:r>
          </w:p>
        </w:tc>
        <w:tc>
          <w:tcPr>
            <w:tcW w:w="1229" w:type="dxa"/>
            <w:vMerge/>
            <w:shd w:val="clear" w:color="auto" w:fill="D9D9D9" w:themeFill="background1" w:themeFillShade="D9"/>
          </w:tcPr>
          <w:p w14:paraId="69762E81" w14:textId="77777777" w:rsidR="00362896" w:rsidRPr="0054775B" w:rsidRDefault="00362896" w:rsidP="00BC4FA1">
            <w:pPr>
              <w:pStyle w:val="TABLE"/>
              <w:rPr>
                <w:rFonts w:ascii="Aptos" w:hAnsi="Aptos"/>
                <w:highlight w:val="yellow"/>
              </w:rPr>
            </w:pPr>
          </w:p>
        </w:tc>
      </w:tr>
      <w:tr w:rsidR="00BC4FA1" w:rsidRPr="0054775B" w14:paraId="0D74FD4A" w14:textId="77777777" w:rsidTr="00BC4FA1">
        <w:trPr>
          <w:trHeight w:val="95"/>
        </w:trPr>
        <w:tc>
          <w:tcPr>
            <w:tcW w:w="1408" w:type="dxa"/>
            <w:shd w:val="clear" w:color="auto" w:fill="auto"/>
          </w:tcPr>
          <w:p w14:paraId="2007558D" w14:textId="57D39840" w:rsidR="00BC4FA1" w:rsidRPr="0054775B" w:rsidRDefault="00BC4FA1" w:rsidP="00BC4FA1">
            <w:pPr>
              <w:pStyle w:val="2024TABLETEXT"/>
              <w:framePr w:hSpace="0" w:wrap="auto" w:vAnchor="margin" w:yAlign="inline"/>
              <w:suppressOverlap w:val="0"/>
            </w:pPr>
            <w:r w:rsidRPr="0054775B">
              <w:t>Gulani 2014</w:t>
            </w:r>
          </w:p>
        </w:tc>
        <w:tc>
          <w:tcPr>
            <w:tcW w:w="1488" w:type="dxa"/>
            <w:shd w:val="clear" w:color="auto" w:fill="auto"/>
          </w:tcPr>
          <w:p w14:paraId="5469C92E" w14:textId="7DA7D1A9" w:rsidR="00BC4FA1" w:rsidRPr="0054775B" w:rsidRDefault="00BC4FA1" w:rsidP="00BC4FA1">
            <w:pPr>
              <w:pStyle w:val="2024TABLETEXT"/>
              <w:framePr w:hSpace="0" w:wrap="auto" w:vAnchor="margin" w:yAlign="inline"/>
              <w:suppressOverlap w:val="0"/>
            </w:pPr>
            <w:r w:rsidRPr="0054775B">
              <w:t>Low</w:t>
            </w:r>
          </w:p>
        </w:tc>
        <w:tc>
          <w:tcPr>
            <w:tcW w:w="1630" w:type="dxa"/>
            <w:shd w:val="clear" w:color="auto" w:fill="auto"/>
          </w:tcPr>
          <w:p w14:paraId="7957C412" w14:textId="2A232972" w:rsidR="00BC4FA1" w:rsidRPr="0054775B" w:rsidRDefault="00BC4FA1" w:rsidP="00BC4FA1">
            <w:pPr>
              <w:pStyle w:val="2024TABLETEXT"/>
              <w:framePr w:hSpace="0" w:wrap="auto" w:vAnchor="margin" w:yAlign="inline"/>
              <w:suppressOverlap w:val="0"/>
            </w:pPr>
            <w:r w:rsidRPr="0054775B">
              <w:t>Low</w:t>
            </w:r>
          </w:p>
        </w:tc>
        <w:tc>
          <w:tcPr>
            <w:tcW w:w="1630" w:type="dxa"/>
            <w:shd w:val="clear" w:color="auto" w:fill="auto"/>
          </w:tcPr>
          <w:p w14:paraId="3709E8FD" w14:textId="21F9C738" w:rsidR="00BC4FA1" w:rsidRPr="0054775B" w:rsidRDefault="00BC4FA1" w:rsidP="00BC4FA1">
            <w:pPr>
              <w:pStyle w:val="2024TABLETEXT"/>
              <w:framePr w:hSpace="0" w:wrap="auto" w:vAnchor="margin" w:yAlign="inline"/>
              <w:suppressOverlap w:val="0"/>
            </w:pPr>
            <w:r w:rsidRPr="0054775B">
              <w:t>Low</w:t>
            </w:r>
          </w:p>
        </w:tc>
        <w:tc>
          <w:tcPr>
            <w:tcW w:w="1631" w:type="dxa"/>
            <w:shd w:val="clear" w:color="auto" w:fill="auto"/>
          </w:tcPr>
          <w:p w14:paraId="123C14E5" w14:textId="7097A063" w:rsidR="00BC4FA1" w:rsidRPr="0054775B" w:rsidRDefault="005207CF" w:rsidP="00BC4FA1">
            <w:pPr>
              <w:pStyle w:val="2024TABLETEXT"/>
              <w:framePr w:hSpace="0" w:wrap="auto" w:vAnchor="margin" w:yAlign="inline"/>
              <w:suppressOverlap w:val="0"/>
            </w:pPr>
            <w:r>
              <w:t>Unclear</w:t>
            </w:r>
          </w:p>
        </w:tc>
        <w:tc>
          <w:tcPr>
            <w:tcW w:w="1229" w:type="dxa"/>
            <w:shd w:val="clear" w:color="auto" w:fill="auto"/>
          </w:tcPr>
          <w:p w14:paraId="25FA46A5" w14:textId="225337F0" w:rsidR="00BC4FA1" w:rsidRPr="0054775B" w:rsidRDefault="00BC4FA1" w:rsidP="00BC4FA1">
            <w:pPr>
              <w:pStyle w:val="2024TABLETEXT"/>
              <w:framePr w:hSpace="0" w:wrap="auto" w:vAnchor="margin" w:yAlign="inline"/>
              <w:suppressOverlap w:val="0"/>
            </w:pPr>
            <w:r w:rsidRPr="0054775B">
              <w:t>Low risk</w:t>
            </w:r>
          </w:p>
        </w:tc>
      </w:tr>
      <w:tr w:rsidR="00BC4FA1" w:rsidRPr="0054775B" w14:paraId="6469836D" w14:textId="77777777" w:rsidTr="00BC4FA1">
        <w:trPr>
          <w:trHeight w:val="95"/>
        </w:trPr>
        <w:tc>
          <w:tcPr>
            <w:tcW w:w="1408" w:type="dxa"/>
            <w:shd w:val="clear" w:color="auto" w:fill="auto"/>
          </w:tcPr>
          <w:p w14:paraId="5C25AF16" w14:textId="6B84A5CA" w:rsidR="00BC4FA1" w:rsidRPr="0054775B" w:rsidRDefault="00BC4FA1" w:rsidP="00BC4FA1">
            <w:pPr>
              <w:pStyle w:val="2024TABLETEXT"/>
              <w:framePr w:hSpace="0" w:wrap="auto" w:vAnchor="margin" w:yAlign="inline"/>
              <w:suppressOverlap w:val="0"/>
            </w:pPr>
            <w:r w:rsidRPr="0054775B">
              <w:t>Hurley 2020</w:t>
            </w:r>
          </w:p>
        </w:tc>
        <w:tc>
          <w:tcPr>
            <w:tcW w:w="1488" w:type="dxa"/>
            <w:shd w:val="clear" w:color="auto" w:fill="auto"/>
          </w:tcPr>
          <w:p w14:paraId="2CBAC977" w14:textId="6D95A596" w:rsidR="00BC4FA1" w:rsidRPr="0054775B" w:rsidRDefault="00BC4FA1" w:rsidP="00BC4FA1">
            <w:pPr>
              <w:pStyle w:val="2024TABLETEXT"/>
              <w:framePr w:hSpace="0" w:wrap="auto" w:vAnchor="margin" w:yAlign="inline"/>
              <w:suppressOverlap w:val="0"/>
            </w:pPr>
            <w:r w:rsidRPr="0054775B">
              <w:t>Low</w:t>
            </w:r>
          </w:p>
        </w:tc>
        <w:tc>
          <w:tcPr>
            <w:tcW w:w="1630" w:type="dxa"/>
            <w:shd w:val="clear" w:color="auto" w:fill="auto"/>
          </w:tcPr>
          <w:p w14:paraId="14CFB858" w14:textId="20FE5C90" w:rsidR="00BC4FA1" w:rsidRPr="0054775B" w:rsidRDefault="00BC4FA1" w:rsidP="00BC4FA1">
            <w:pPr>
              <w:pStyle w:val="2024TABLETEXT"/>
              <w:framePr w:hSpace="0" w:wrap="auto" w:vAnchor="margin" w:yAlign="inline"/>
              <w:suppressOverlap w:val="0"/>
            </w:pPr>
            <w:r w:rsidRPr="0054775B">
              <w:t>Low</w:t>
            </w:r>
          </w:p>
        </w:tc>
        <w:tc>
          <w:tcPr>
            <w:tcW w:w="1630" w:type="dxa"/>
            <w:shd w:val="clear" w:color="auto" w:fill="auto"/>
          </w:tcPr>
          <w:p w14:paraId="7FDFC0D6" w14:textId="5931B789" w:rsidR="00BC4FA1" w:rsidRPr="0054775B" w:rsidRDefault="00BC4FA1" w:rsidP="00BC4FA1">
            <w:pPr>
              <w:pStyle w:val="2024TABLETEXT"/>
              <w:framePr w:hSpace="0" w:wrap="auto" w:vAnchor="margin" w:yAlign="inline"/>
              <w:suppressOverlap w:val="0"/>
            </w:pPr>
            <w:r w:rsidRPr="0054775B">
              <w:t>Low</w:t>
            </w:r>
          </w:p>
        </w:tc>
        <w:tc>
          <w:tcPr>
            <w:tcW w:w="1631" w:type="dxa"/>
            <w:shd w:val="clear" w:color="auto" w:fill="auto"/>
          </w:tcPr>
          <w:p w14:paraId="45F5CCC6" w14:textId="2CACF18B" w:rsidR="00BC4FA1" w:rsidRPr="0054775B" w:rsidRDefault="005207CF" w:rsidP="00BC4FA1">
            <w:pPr>
              <w:pStyle w:val="2024TABLETEXT"/>
              <w:framePr w:hSpace="0" w:wrap="auto" w:vAnchor="margin" w:yAlign="inline"/>
              <w:suppressOverlap w:val="0"/>
            </w:pPr>
            <w:r>
              <w:t>Unclear</w:t>
            </w:r>
          </w:p>
        </w:tc>
        <w:tc>
          <w:tcPr>
            <w:tcW w:w="1229" w:type="dxa"/>
            <w:shd w:val="clear" w:color="auto" w:fill="auto"/>
          </w:tcPr>
          <w:p w14:paraId="01BDAB83" w14:textId="2F0D8703" w:rsidR="00BC4FA1" w:rsidRPr="0054775B" w:rsidRDefault="00BC4FA1" w:rsidP="00BC4FA1">
            <w:pPr>
              <w:pStyle w:val="2024TABLETEXT"/>
              <w:framePr w:hSpace="0" w:wrap="auto" w:vAnchor="margin" w:yAlign="inline"/>
              <w:suppressOverlap w:val="0"/>
            </w:pPr>
            <w:r w:rsidRPr="0054775B">
              <w:t>Low risk</w:t>
            </w:r>
          </w:p>
        </w:tc>
      </w:tr>
      <w:tr w:rsidR="00BC4FA1" w:rsidRPr="0054775B" w14:paraId="5117A750" w14:textId="77777777" w:rsidTr="00BC4FA1">
        <w:trPr>
          <w:trHeight w:val="95"/>
        </w:trPr>
        <w:tc>
          <w:tcPr>
            <w:tcW w:w="1408" w:type="dxa"/>
            <w:shd w:val="clear" w:color="auto" w:fill="auto"/>
          </w:tcPr>
          <w:p w14:paraId="3EE3C757" w14:textId="5AD92EB7" w:rsidR="00BC4FA1" w:rsidRPr="0054775B" w:rsidRDefault="00BC4FA1" w:rsidP="00BC4FA1">
            <w:pPr>
              <w:pStyle w:val="2024TABLETEXT"/>
              <w:framePr w:hSpace="0" w:wrap="auto" w:vAnchor="margin" w:yAlign="inline"/>
              <w:suppressOverlap w:val="0"/>
            </w:pPr>
            <w:r w:rsidRPr="0054775B">
              <w:t>Manikam 2016</w:t>
            </w:r>
          </w:p>
        </w:tc>
        <w:tc>
          <w:tcPr>
            <w:tcW w:w="1488" w:type="dxa"/>
            <w:shd w:val="clear" w:color="auto" w:fill="auto"/>
          </w:tcPr>
          <w:p w14:paraId="43631DCF" w14:textId="350138AF" w:rsidR="00BC4FA1" w:rsidRPr="0054775B" w:rsidRDefault="00BC4FA1" w:rsidP="00BC4FA1">
            <w:pPr>
              <w:pStyle w:val="2024TABLETEXT"/>
              <w:framePr w:hSpace="0" w:wrap="auto" w:vAnchor="margin" w:yAlign="inline"/>
              <w:suppressOverlap w:val="0"/>
            </w:pPr>
            <w:r w:rsidRPr="0054775B">
              <w:t>Low</w:t>
            </w:r>
          </w:p>
        </w:tc>
        <w:tc>
          <w:tcPr>
            <w:tcW w:w="1630" w:type="dxa"/>
            <w:shd w:val="clear" w:color="auto" w:fill="auto"/>
          </w:tcPr>
          <w:p w14:paraId="4C7B79CC" w14:textId="0AE86D11" w:rsidR="00BC4FA1" w:rsidRPr="0054775B" w:rsidRDefault="00BC4FA1" w:rsidP="00BC4FA1">
            <w:pPr>
              <w:pStyle w:val="2024TABLETEXT"/>
              <w:framePr w:hSpace="0" w:wrap="auto" w:vAnchor="margin" w:yAlign="inline"/>
              <w:suppressOverlap w:val="0"/>
            </w:pPr>
            <w:r w:rsidRPr="0054775B">
              <w:t>Low</w:t>
            </w:r>
          </w:p>
        </w:tc>
        <w:tc>
          <w:tcPr>
            <w:tcW w:w="1630" w:type="dxa"/>
            <w:shd w:val="clear" w:color="auto" w:fill="auto"/>
          </w:tcPr>
          <w:p w14:paraId="37FC5AA8" w14:textId="11ACD056" w:rsidR="00BC4FA1" w:rsidRPr="0054775B" w:rsidRDefault="00BC4FA1" w:rsidP="00BC4FA1">
            <w:pPr>
              <w:pStyle w:val="2024TABLETEXT"/>
              <w:framePr w:hSpace="0" w:wrap="auto" w:vAnchor="margin" w:yAlign="inline"/>
              <w:suppressOverlap w:val="0"/>
            </w:pPr>
            <w:r w:rsidRPr="0054775B">
              <w:t>Low</w:t>
            </w:r>
          </w:p>
        </w:tc>
        <w:tc>
          <w:tcPr>
            <w:tcW w:w="1631" w:type="dxa"/>
            <w:shd w:val="clear" w:color="auto" w:fill="auto"/>
          </w:tcPr>
          <w:p w14:paraId="672EA6CF" w14:textId="2CCF5678" w:rsidR="00BC4FA1" w:rsidRPr="0054775B" w:rsidRDefault="005207CF" w:rsidP="00BC4FA1">
            <w:pPr>
              <w:pStyle w:val="2024TABLETEXT"/>
              <w:framePr w:hSpace="0" w:wrap="auto" w:vAnchor="margin" w:yAlign="inline"/>
              <w:suppressOverlap w:val="0"/>
            </w:pPr>
            <w:r>
              <w:t>Unclear</w:t>
            </w:r>
          </w:p>
        </w:tc>
        <w:tc>
          <w:tcPr>
            <w:tcW w:w="1229" w:type="dxa"/>
            <w:shd w:val="clear" w:color="auto" w:fill="auto"/>
          </w:tcPr>
          <w:p w14:paraId="03C253DB" w14:textId="3B951F63" w:rsidR="00BC4FA1" w:rsidRPr="0054775B" w:rsidRDefault="005207CF" w:rsidP="00BC4FA1">
            <w:pPr>
              <w:pStyle w:val="2024TABLETEXT"/>
              <w:framePr w:hSpace="0" w:wrap="auto" w:vAnchor="margin" w:yAlign="inline"/>
              <w:suppressOverlap w:val="0"/>
            </w:pPr>
            <w:r>
              <w:t xml:space="preserve">Unclear </w:t>
            </w:r>
            <w:r w:rsidR="00BC4FA1" w:rsidRPr="0054775B">
              <w:t>risk</w:t>
            </w:r>
          </w:p>
        </w:tc>
      </w:tr>
    </w:tbl>
    <w:p w14:paraId="4E5A00D2" w14:textId="77777777" w:rsidR="00362896" w:rsidRPr="0054775B" w:rsidRDefault="00362896" w:rsidP="00107BEE">
      <w:pPr>
        <w:pStyle w:val="2024HEADER3"/>
        <w:numPr>
          <w:ilvl w:val="2"/>
          <w:numId w:val="8"/>
        </w:numPr>
        <w:rPr>
          <w:rFonts w:ascii="Aptos" w:hAnsi="Aptos"/>
        </w:rPr>
      </w:pPr>
      <w:r w:rsidRPr="0054775B">
        <w:rPr>
          <w:rFonts w:ascii="Aptos" w:hAnsi="Aptos"/>
        </w:rPr>
        <w:t xml:space="preserve">Results </w:t>
      </w:r>
    </w:p>
    <w:p w14:paraId="6DDE5B1E" w14:textId="4BADBAC7" w:rsidR="00362896" w:rsidRPr="0054775B" w:rsidRDefault="00CD2D24" w:rsidP="009E6F7F">
      <w:r>
        <w:t>Preferred</w:t>
      </w:r>
      <w:r w:rsidRPr="0054775B">
        <w:t xml:space="preserve"> contributing reviews are listed in the population-intervention matrix in </w:t>
      </w:r>
      <w:r>
        <w:t xml:space="preserve">Table </w:t>
      </w:r>
      <w:r w:rsidR="007F19B7">
        <w:t>48</w:t>
      </w:r>
      <w:r w:rsidR="00D96CDF">
        <w:t xml:space="preserve">. </w:t>
      </w:r>
      <w:r w:rsidR="007C4345" w:rsidRPr="0054775B">
        <w:t xml:space="preserve">As each review reported on a </w:t>
      </w:r>
      <w:r w:rsidR="00B555BC" w:rsidRPr="0054775B">
        <w:t xml:space="preserve">different </w:t>
      </w:r>
      <w:r w:rsidR="00050A47" w:rsidRPr="0054775B">
        <w:t>type of infection (otitis media</w:t>
      </w:r>
      <w:r w:rsidR="00C16BE3" w:rsidRPr="0054775B">
        <w:t>,</w:t>
      </w:r>
      <w:r w:rsidR="00050A47" w:rsidRPr="0054775B">
        <w:t xml:space="preserve"> URTI</w:t>
      </w:r>
      <w:r w:rsidR="00C16BE3" w:rsidRPr="0054775B">
        <w:t>,</w:t>
      </w:r>
      <w:r w:rsidR="00050A47" w:rsidRPr="0054775B">
        <w:t xml:space="preserve"> pulmonary infection</w:t>
      </w:r>
      <w:r w:rsidR="00C16BE3" w:rsidRPr="0054775B">
        <w:t>)</w:t>
      </w:r>
      <w:r w:rsidR="007C4345" w:rsidRPr="0054775B">
        <w:t xml:space="preserve">, results </w:t>
      </w:r>
      <w:r w:rsidR="00090ED1" w:rsidRPr="0054775B">
        <w:t xml:space="preserve">from all reviews which correspond </w:t>
      </w:r>
      <w:r w:rsidR="00B94BAC">
        <w:t>to</w:t>
      </w:r>
      <w:r w:rsidR="00090ED1" w:rsidRPr="0054775B">
        <w:t xml:space="preserve"> relevant outcomes </w:t>
      </w:r>
      <w:r w:rsidR="007C4345" w:rsidRPr="0054775B">
        <w:t xml:space="preserve">have been presented. </w:t>
      </w:r>
    </w:p>
    <w:p w14:paraId="065A7E25" w14:textId="2B3D5C88" w:rsidR="00362896" w:rsidRPr="0054775B" w:rsidRDefault="00362896" w:rsidP="00B555BC">
      <w:pPr>
        <w:pStyle w:val="2024TABLECAPTION"/>
        <w:rPr>
          <w:rFonts w:ascii="Aptos" w:hAnsi="Aptos"/>
        </w:rPr>
      </w:pPr>
      <w:bookmarkStart w:id="133" w:name="_Toc185261626"/>
      <w:r w:rsidRPr="0054775B">
        <w:rPr>
          <w:rFonts w:ascii="Aptos" w:hAnsi="Aptos"/>
        </w:rPr>
        <w:t xml:space="preserve">Table </w:t>
      </w:r>
      <w:r w:rsidRPr="0054775B">
        <w:rPr>
          <w:rFonts w:ascii="Aptos" w:hAnsi="Aptos"/>
        </w:rPr>
        <w:fldChar w:fldCharType="begin"/>
      </w:r>
      <w:r w:rsidRPr="0054775B">
        <w:rPr>
          <w:rFonts w:ascii="Aptos" w:hAnsi="Aptos"/>
        </w:rPr>
        <w:instrText>SEQ Table \* ARABIC</w:instrText>
      </w:r>
      <w:r w:rsidRPr="0054775B">
        <w:rPr>
          <w:rFonts w:ascii="Aptos" w:hAnsi="Aptos"/>
        </w:rPr>
        <w:fldChar w:fldCharType="separate"/>
      </w:r>
      <w:r w:rsidR="00651E04">
        <w:rPr>
          <w:rFonts w:ascii="Aptos" w:hAnsi="Aptos"/>
          <w:noProof/>
        </w:rPr>
        <w:t>48</w:t>
      </w:r>
      <w:r w:rsidRPr="0054775B">
        <w:rPr>
          <w:rFonts w:ascii="Aptos" w:hAnsi="Aptos"/>
        </w:rPr>
        <w:fldChar w:fldCharType="end"/>
      </w:r>
      <w:r w:rsidRPr="0054775B">
        <w:rPr>
          <w:rFonts w:ascii="Aptos" w:hAnsi="Aptos"/>
        </w:rPr>
        <w:t xml:space="preserve">. </w:t>
      </w:r>
      <w:r w:rsidR="00A36499" w:rsidRPr="0054775B">
        <w:rPr>
          <w:rFonts w:ascii="Aptos" w:hAnsi="Aptos"/>
        </w:rPr>
        <w:t>Contributing</w:t>
      </w:r>
      <w:r w:rsidRPr="0054775B">
        <w:rPr>
          <w:rFonts w:ascii="Aptos" w:hAnsi="Aptos"/>
        </w:rPr>
        <w:t xml:space="preserve"> reviews for types of populations and interventions examined in each review – </w:t>
      </w:r>
      <w:r w:rsidR="00B555BC" w:rsidRPr="0054775B">
        <w:rPr>
          <w:rFonts w:ascii="Aptos" w:hAnsi="Aptos"/>
        </w:rPr>
        <w:t>recurrent infection</w:t>
      </w:r>
      <w:r w:rsidR="00447A23" w:rsidRPr="0054775B">
        <w:rPr>
          <w:rFonts w:ascii="Aptos" w:hAnsi="Aptos"/>
        </w:rPr>
        <w:t>s</w:t>
      </w:r>
      <w:r w:rsidR="00B555BC" w:rsidRPr="0054775B">
        <w:rPr>
          <w:rFonts w:ascii="Aptos" w:hAnsi="Aptos"/>
        </w:rPr>
        <w:t>, zinc</w:t>
      </w:r>
      <w:bookmarkEnd w:id="133"/>
    </w:p>
    <w:tbl>
      <w:tblPr>
        <w:tblStyle w:val="TableGrid"/>
        <w:tblW w:w="0" w:type="auto"/>
        <w:tblLook w:val="04A0" w:firstRow="1" w:lastRow="0" w:firstColumn="1" w:lastColumn="0" w:noHBand="0" w:noVBand="1"/>
      </w:tblPr>
      <w:tblGrid>
        <w:gridCol w:w="3472"/>
        <w:gridCol w:w="2760"/>
        <w:gridCol w:w="2835"/>
      </w:tblGrid>
      <w:tr w:rsidR="00447A23" w:rsidRPr="0054775B" w14:paraId="3B12D00E" w14:textId="77777777" w:rsidTr="00573726">
        <w:trPr>
          <w:trHeight w:val="68"/>
        </w:trPr>
        <w:tc>
          <w:tcPr>
            <w:tcW w:w="3472" w:type="dxa"/>
            <w:shd w:val="clear" w:color="auto" w:fill="D9D9D9" w:themeFill="background1" w:themeFillShade="D9"/>
          </w:tcPr>
          <w:p w14:paraId="1E6BFE52" w14:textId="77777777" w:rsidR="00447A23" w:rsidRPr="0054775B" w:rsidRDefault="00447A23" w:rsidP="00447A23">
            <w:pPr>
              <w:pStyle w:val="2024TABLEHEADER"/>
            </w:pPr>
          </w:p>
        </w:tc>
        <w:tc>
          <w:tcPr>
            <w:tcW w:w="2760" w:type="dxa"/>
            <w:shd w:val="clear" w:color="auto" w:fill="D9D9D9" w:themeFill="background1" w:themeFillShade="D9"/>
          </w:tcPr>
          <w:p w14:paraId="300851CD" w14:textId="7298A98E" w:rsidR="00447A23" w:rsidRPr="0054775B" w:rsidRDefault="00447A23" w:rsidP="00447A23">
            <w:pPr>
              <w:pStyle w:val="2024TABLEHEADER"/>
            </w:pPr>
            <w:r w:rsidRPr="0054775B">
              <w:t>With recurrent infections</w:t>
            </w:r>
          </w:p>
        </w:tc>
        <w:tc>
          <w:tcPr>
            <w:tcW w:w="2835" w:type="dxa"/>
            <w:shd w:val="clear" w:color="auto" w:fill="D9D9D9" w:themeFill="background1" w:themeFillShade="D9"/>
          </w:tcPr>
          <w:p w14:paraId="4A370049" w14:textId="2C65ED48" w:rsidR="00447A23" w:rsidRPr="0054775B" w:rsidRDefault="00447A23" w:rsidP="00447A23">
            <w:pPr>
              <w:pStyle w:val="2024TABLEHEADER"/>
            </w:pPr>
            <w:r w:rsidRPr="0054775B">
              <w:t>At risk of recurrent infections</w:t>
            </w:r>
          </w:p>
        </w:tc>
      </w:tr>
      <w:tr w:rsidR="00447A23" w:rsidRPr="0054775B" w14:paraId="7B5677D9" w14:textId="77777777" w:rsidTr="00573726">
        <w:trPr>
          <w:trHeight w:val="68"/>
        </w:trPr>
        <w:tc>
          <w:tcPr>
            <w:tcW w:w="3472" w:type="dxa"/>
            <w:shd w:val="clear" w:color="auto" w:fill="D9D9D9" w:themeFill="background1" w:themeFillShade="D9"/>
          </w:tcPr>
          <w:p w14:paraId="5BC47343" w14:textId="10598696" w:rsidR="00447A23" w:rsidRPr="0054775B" w:rsidRDefault="00447A23" w:rsidP="00447A23">
            <w:pPr>
              <w:pStyle w:val="2024TABLEHEADER"/>
            </w:pPr>
            <w:r w:rsidRPr="0054775B">
              <w:t>Zinc VS placebo/sham/inactive control</w:t>
            </w:r>
          </w:p>
        </w:tc>
        <w:tc>
          <w:tcPr>
            <w:tcW w:w="2760" w:type="dxa"/>
            <w:shd w:val="clear" w:color="auto" w:fill="auto"/>
          </w:tcPr>
          <w:p w14:paraId="4889B5F5" w14:textId="77777777" w:rsidR="00F86A94" w:rsidRPr="0054775B" w:rsidRDefault="00F86A94" w:rsidP="00F86A94">
            <w:pPr>
              <w:pStyle w:val="2024TABLEHEADER"/>
              <w:rPr>
                <w:b w:val="0"/>
                <w:bCs w:val="0"/>
              </w:rPr>
            </w:pPr>
            <w:r w:rsidRPr="0054775B">
              <w:rPr>
                <w:b w:val="0"/>
                <w:bCs w:val="0"/>
              </w:rPr>
              <w:t>Gulani 2014</w:t>
            </w:r>
          </w:p>
          <w:p w14:paraId="6616646C" w14:textId="77777777" w:rsidR="00F86A94" w:rsidRPr="0054775B" w:rsidRDefault="00F86A94" w:rsidP="00F86A94">
            <w:pPr>
              <w:pStyle w:val="2024TABLEHEADER"/>
              <w:rPr>
                <w:b w:val="0"/>
                <w:bCs w:val="0"/>
              </w:rPr>
            </w:pPr>
            <w:r w:rsidRPr="0054775B">
              <w:rPr>
                <w:b w:val="0"/>
                <w:bCs w:val="0"/>
              </w:rPr>
              <w:t>Hurley 2020</w:t>
            </w:r>
          </w:p>
          <w:p w14:paraId="1A86CACD" w14:textId="5F80514C" w:rsidR="00447A23" w:rsidRPr="0054775B" w:rsidRDefault="00F86A94" w:rsidP="00F86A94">
            <w:pPr>
              <w:pStyle w:val="2024TABLEHEADER"/>
              <w:rPr>
                <w:b w:val="0"/>
                <w:bCs w:val="0"/>
                <w:color w:val="000000"/>
              </w:rPr>
            </w:pPr>
            <w:r w:rsidRPr="0054775B">
              <w:rPr>
                <w:b w:val="0"/>
                <w:bCs w:val="0"/>
              </w:rPr>
              <w:t>Manikam 2016</w:t>
            </w:r>
          </w:p>
        </w:tc>
        <w:tc>
          <w:tcPr>
            <w:tcW w:w="2835" w:type="dxa"/>
            <w:shd w:val="clear" w:color="auto" w:fill="auto"/>
          </w:tcPr>
          <w:p w14:paraId="401EDECF" w14:textId="74F532B8" w:rsidR="00447A23" w:rsidRPr="0054775B" w:rsidRDefault="00447A23" w:rsidP="00447A23">
            <w:pPr>
              <w:pStyle w:val="2024TABLEHEADER"/>
              <w:rPr>
                <w:b w:val="0"/>
                <w:bCs w:val="0"/>
                <w:color w:val="000000"/>
              </w:rPr>
            </w:pPr>
            <w:r w:rsidRPr="0054775B">
              <w:rPr>
                <w:b w:val="0"/>
                <w:bCs w:val="0"/>
                <w:color w:val="000000"/>
              </w:rPr>
              <w:t>-</w:t>
            </w:r>
          </w:p>
        </w:tc>
      </w:tr>
      <w:tr w:rsidR="00447A23" w:rsidRPr="0054775B" w14:paraId="2929E0EC" w14:textId="77777777" w:rsidTr="00573726">
        <w:trPr>
          <w:trHeight w:val="68"/>
        </w:trPr>
        <w:tc>
          <w:tcPr>
            <w:tcW w:w="3472" w:type="dxa"/>
            <w:shd w:val="clear" w:color="auto" w:fill="D9D9D9" w:themeFill="background1" w:themeFillShade="D9"/>
          </w:tcPr>
          <w:p w14:paraId="3F40B911" w14:textId="374EBC0D" w:rsidR="00447A23" w:rsidRPr="0054775B" w:rsidRDefault="00447A23" w:rsidP="00447A23">
            <w:pPr>
              <w:pStyle w:val="2024TABLEHEADER"/>
              <w:rPr>
                <w:rFonts w:eastAsiaTheme="minorHAnsi"/>
                <w:color w:val="000000" w:themeColor="text1"/>
                <w:lang w:eastAsia="en-US"/>
              </w:rPr>
            </w:pPr>
            <w:r w:rsidRPr="0054775B">
              <w:t xml:space="preserve">Zinc </w:t>
            </w:r>
            <w:r w:rsidR="001357D8" w:rsidRPr="0054775B">
              <w:t xml:space="preserve">+ naturopathy co-intervention </w:t>
            </w:r>
            <w:r w:rsidRPr="0054775B">
              <w:t>VS placebo/sham/inactive control</w:t>
            </w:r>
          </w:p>
        </w:tc>
        <w:tc>
          <w:tcPr>
            <w:tcW w:w="2760" w:type="dxa"/>
            <w:shd w:val="clear" w:color="auto" w:fill="auto"/>
          </w:tcPr>
          <w:p w14:paraId="310896F8" w14:textId="77777777" w:rsidR="00447A23" w:rsidRPr="0054775B" w:rsidRDefault="00447A23" w:rsidP="00447A23">
            <w:pPr>
              <w:pStyle w:val="2024TABLEHEADER"/>
              <w:framePr w:hSpace="180" w:wrap="around" w:vAnchor="text" w:hAnchor="text" w:y="1"/>
              <w:suppressOverlap/>
              <w:rPr>
                <w:b w:val="0"/>
                <w:bCs w:val="0"/>
                <w:color w:val="000000"/>
              </w:rPr>
            </w:pPr>
            <w:r w:rsidRPr="0054775B">
              <w:rPr>
                <w:b w:val="0"/>
                <w:bCs w:val="0"/>
                <w:color w:val="000000"/>
              </w:rPr>
              <w:t>-</w:t>
            </w:r>
          </w:p>
        </w:tc>
        <w:tc>
          <w:tcPr>
            <w:tcW w:w="2835" w:type="dxa"/>
            <w:shd w:val="clear" w:color="auto" w:fill="auto"/>
          </w:tcPr>
          <w:p w14:paraId="3194811C" w14:textId="77777777" w:rsidR="00447A23" w:rsidRPr="0054775B" w:rsidRDefault="00447A23" w:rsidP="00447A23">
            <w:pPr>
              <w:pStyle w:val="2024TABLEHEADER"/>
              <w:framePr w:hSpace="180" w:wrap="around" w:vAnchor="text" w:hAnchor="text" w:y="1"/>
              <w:suppressOverlap/>
              <w:rPr>
                <w:b w:val="0"/>
                <w:bCs w:val="0"/>
                <w:color w:val="000000"/>
              </w:rPr>
            </w:pPr>
            <w:r w:rsidRPr="0054775B">
              <w:rPr>
                <w:b w:val="0"/>
                <w:bCs w:val="0"/>
                <w:color w:val="000000"/>
              </w:rPr>
              <w:t>-</w:t>
            </w:r>
          </w:p>
        </w:tc>
      </w:tr>
    </w:tbl>
    <w:p w14:paraId="0B68EB7D" w14:textId="72050C78" w:rsidR="00B555BC" w:rsidRPr="0054775B" w:rsidRDefault="006F63D3">
      <w:pPr>
        <w:spacing w:before="0" w:after="160" w:line="259" w:lineRule="auto"/>
        <w:sectPr w:rsidR="00B555BC" w:rsidRPr="0054775B" w:rsidSect="006A72DC">
          <w:pgSz w:w="11910" w:h="16840"/>
          <w:pgMar w:top="1356" w:right="1340" w:bottom="278" w:left="1340" w:header="720" w:footer="720" w:gutter="0"/>
          <w:cols w:space="720"/>
        </w:sectPr>
      </w:pPr>
      <w:r w:rsidRPr="0054775B">
        <w:br w:type="page"/>
      </w:r>
    </w:p>
    <w:p w14:paraId="60D139A3" w14:textId="77777777" w:rsidR="004A0873" w:rsidRPr="004A0873" w:rsidRDefault="004A0873" w:rsidP="004A0873">
      <w:pPr>
        <w:pStyle w:val="2024HEADER3"/>
        <w:rPr>
          <w:rFonts w:ascii="Aptos" w:hAnsi="Aptos"/>
        </w:rPr>
      </w:pPr>
      <w:r w:rsidRPr="004A0873">
        <w:rPr>
          <w:rFonts w:ascii="Aptos" w:hAnsi="Aptos"/>
        </w:rPr>
        <w:lastRenderedPageBreak/>
        <w:t>Summary of findings and evidence statements</w:t>
      </w:r>
    </w:p>
    <w:p w14:paraId="09465121" w14:textId="074F2FFE" w:rsidR="00B555BC" w:rsidRPr="0054775B" w:rsidRDefault="00B555BC" w:rsidP="00B555BC">
      <w:pPr>
        <w:pStyle w:val="2024TABLECAPTION"/>
        <w:rPr>
          <w:rFonts w:ascii="Aptos" w:hAnsi="Aptos"/>
        </w:rPr>
      </w:pPr>
      <w:bookmarkStart w:id="134" w:name="_Toc185261627"/>
      <w:r w:rsidRPr="0054775B">
        <w:rPr>
          <w:rFonts w:ascii="Aptos" w:hAnsi="Aptos"/>
        </w:rPr>
        <w:t xml:space="preserve">Table </w:t>
      </w:r>
      <w:r w:rsidRPr="0054775B">
        <w:rPr>
          <w:rFonts w:ascii="Aptos" w:hAnsi="Aptos"/>
        </w:rPr>
        <w:fldChar w:fldCharType="begin"/>
      </w:r>
      <w:r w:rsidRPr="0054775B">
        <w:rPr>
          <w:rFonts w:ascii="Aptos" w:hAnsi="Aptos"/>
        </w:rPr>
        <w:instrText>SEQ Table \* ARABIC</w:instrText>
      </w:r>
      <w:r w:rsidRPr="0054775B">
        <w:rPr>
          <w:rFonts w:ascii="Aptos" w:hAnsi="Aptos"/>
        </w:rPr>
        <w:fldChar w:fldCharType="separate"/>
      </w:r>
      <w:r w:rsidR="00651E04">
        <w:rPr>
          <w:rFonts w:ascii="Aptos" w:hAnsi="Aptos"/>
          <w:noProof/>
        </w:rPr>
        <w:t>49</w:t>
      </w:r>
      <w:r w:rsidRPr="0054775B">
        <w:rPr>
          <w:rFonts w:ascii="Aptos" w:hAnsi="Aptos"/>
        </w:rPr>
        <w:fldChar w:fldCharType="end"/>
      </w:r>
      <w:r w:rsidRPr="0054775B">
        <w:rPr>
          <w:rFonts w:ascii="Aptos" w:hAnsi="Aptos"/>
        </w:rPr>
        <w:t xml:space="preserve">. Zinc compared to placebo for </w:t>
      </w:r>
      <w:r w:rsidR="009F0236" w:rsidRPr="0054775B">
        <w:rPr>
          <w:rFonts w:ascii="Aptos" w:hAnsi="Aptos"/>
        </w:rPr>
        <w:t>recurrent infection/s</w:t>
      </w:r>
      <w:bookmarkEnd w:id="134"/>
    </w:p>
    <w:tbl>
      <w:tblPr>
        <w:tblpPr w:leftFromText="180" w:rightFromText="180" w:vertAnchor="text" w:tblpY="1"/>
        <w:tblOverlap w:val="never"/>
        <w:tblW w:w="4615" w:type="pct"/>
        <w:tblLayout w:type="fixed"/>
        <w:tblCellMar>
          <w:top w:w="28" w:type="dxa"/>
          <w:left w:w="57" w:type="dxa"/>
          <w:bottom w:w="28" w:type="dxa"/>
          <w:right w:w="28" w:type="dxa"/>
        </w:tblCellMar>
        <w:tblLook w:val="04A0" w:firstRow="1" w:lastRow="0" w:firstColumn="1" w:lastColumn="0" w:noHBand="0" w:noVBand="1"/>
      </w:tblPr>
      <w:tblGrid>
        <w:gridCol w:w="851"/>
        <w:gridCol w:w="4536"/>
        <w:gridCol w:w="1277"/>
        <w:gridCol w:w="2128"/>
        <w:gridCol w:w="1277"/>
        <w:gridCol w:w="1274"/>
        <w:gridCol w:w="2692"/>
      </w:tblGrid>
      <w:tr w:rsidR="00B555BC" w:rsidRPr="0054775B" w14:paraId="6B7D9DA8" w14:textId="77777777">
        <w:trPr>
          <w:cantSplit/>
        </w:trPr>
        <w:tc>
          <w:tcPr>
            <w:tcW w:w="5000" w:type="pct"/>
            <w:gridSpan w:val="7"/>
            <w:tcBorders>
              <w:top w:val="single" w:sz="12" w:space="0" w:color="000000"/>
              <w:left w:val="nil"/>
              <w:bottom w:val="single" w:sz="12" w:space="0" w:color="000000"/>
              <w:right w:val="nil"/>
            </w:tcBorders>
          </w:tcPr>
          <w:p w14:paraId="69A305CD" w14:textId="570ED659" w:rsidR="00B555BC" w:rsidRPr="0054775B" w:rsidRDefault="00B555BC">
            <w:pPr>
              <w:pStyle w:val="2024TABLETEXT"/>
              <w:framePr w:hSpace="0" w:wrap="auto" w:vAnchor="margin" w:yAlign="inline"/>
              <w:suppressOverlap w:val="0"/>
              <w:rPr>
                <w:b/>
                <w:bCs/>
              </w:rPr>
            </w:pPr>
            <w:r w:rsidRPr="0054775B">
              <w:t>Patient or population:</w:t>
            </w:r>
            <w:r w:rsidRPr="0054775B">
              <w:rPr>
                <w:b/>
                <w:bCs/>
              </w:rPr>
              <w:t xml:space="preserve"> Recurrent infection/s</w:t>
            </w:r>
          </w:p>
          <w:p w14:paraId="2E2266C3" w14:textId="77777777" w:rsidR="00B555BC" w:rsidRPr="0054775B" w:rsidRDefault="00B555BC">
            <w:pPr>
              <w:pStyle w:val="2024TABLETEXT"/>
              <w:framePr w:hSpace="0" w:wrap="auto" w:vAnchor="margin" w:yAlign="inline"/>
              <w:suppressOverlap w:val="0"/>
              <w:rPr>
                <w:b/>
                <w:bCs/>
              </w:rPr>
            </w:pPr>
            <w:r w:rsidRPr="0054775B">
              <w:t>Intervention:</w:t>
            </w:r>
            <w:r w:rsidRPr="0054775B">
              <w:rPr>
                <w:b/>
                <w:bCs/>
              </w:rPr>
              <w:t xml:space="preserve"> Zinc</w:t>
            </w:r>
          </w:p>
          <w:p w14:paraId="78CCFFC8" w14:textId="77777777" w:rsidR="00B555BC" w:rsidRPr="0054775B" w:rsidRDefault="00B555BC">
            <w:pPr>
              <w:pStyle w:val="2024TABLETEXT"/>
              <w:framePr w:hSpace="0" w:wrap="auto" w:vAnchor="margin" w:yAlign="inline"/>
              <w:suppressOverlap w:val="0"/>
            </w:pPr>
            <w:r w:rsidRPr="0054775B">
              <w:t>Comparison:</w:t>
            </w:r>
            <w:r w:rsidRPr="0054775B">
              <w:rPr>
                <w:b/>
                <w:bCs/>
              </w:rPr>
              <w:t xml:space="preserve"> Placebo</w:t>
            </w:r>
          </w:p>
        </w:tc>
      </w:tr>
      <w:tr w:rsidR="00CA696B" w:rsidRPr="0054775B" w14:paraId="65E16202" w14:textId="77777777" w:rsidTr="00555107">
        <w:trPr>
          <w:cantSplit/>
          <w:trHeight w:val="567"/>
        </w:trPr>
        <w:tc>
          <w:tcPr>
            <w:tcW w:w="303" w:type="pct"/>
            <w:tcBorders>
              <w:right w:val="single" w:sz="6" w:space="0" w:color="EFEFEF"/>
            </w:tcBorders>
            <w:shd w:val="clear" w:color="auto" w:fill="FFE599" w:themeFill="accent4" w:themeFillTint="66"/>
            <w:vAlign w:val="bottom"/>
          </w:tcPr>
          <w:p w14:paraId="4D161590" w14:textId="77777777" w:rsidR="00B555BC" w:rsidRPr="0054775B" w:rsidRDefault="00B555BC">
            <w:pPr>
              <w:pStyle w:val="2024TABLEHEADER"/>
            </w:pPr>
            <w:r w:rsidRPr="0054775B">
              <w:t>NTWC Rating*</w:t>
            </w:r>
          </w:p>
        </w:tc>
        <w:tc>
          <w:tcPr>
            <w:tcW w:w="1616" w:type="pct"/>
            <w:tcBorders>
              <w:right w:val="single" w:sz="6" w:space="0" w:color="EFEFEF"/>
            </w:tcBorders>
            <w:shd w:val="clear" w:color="auto" w:fill="FFE599" w:themeFill="accent4" w:themeFillTint="66"/>
            <w:vAlign w:val="bottom"/>
            <w:hideMark/>
          </w:tcPr>
          <w:p w14:paraId="634625EE" w14:textId="77777777" w:rsidR="00B555BC" w:rsidRPr="0054775B" w:rsidRDefault="00B555BC">
            <w:pPr>
              <w:pStyle w:val="2024TABLEHEADER"/>
            </w:pPr>
            <w:r w:rsidRPr="0054775B">
              <w:t>Outcomes</w:t>
            </w:r>
          </w:p>
        </w:tc>
        <w:tc>
          <w:tcPr>
            <w:tcW w:w="455" w:type="pct"/>
            <w:shd w:val="clear" w:color="auto" w:fill="FFF2CC" w:themeFill="accent4" w:themeFillTint="33"/>
            <w:vAlign w:val="bottom"/>
          </w:tcPr>
          <w:p w14:paraId="1529F587" w14:textId="671161A5" w:rsidR="00B555BC" w:rsidRPr="0054775B" w:rsidRDefault="00B555BC">
            <w:pPr>
              <w:pStyle w:val="2024TABLEHEADER"/>
            </w:pPr>
            <w:r w:rsidRPr="0054775B">
              <w:t>Contributing review</w:t>
            </w:r>
          </w:p>
        </w:tc>
        <w:tc>
          <w:tcPr>
            <w:tcW w:w="758" w:type="pct"/>
            <w:tcBorders>
              <w:top w:val="single" w:sz="6" w:space="0" w:color="EFEFEF"/>
              <w:right w:val="single" w:sz="6" w:space="0" w:color="EFEFEF"/>
            </w:tcBorders>
            <w:shd w:val="clear" w:color="auto" w:fill="E0E0E0"/>
            <w:vAlign w:val="bottom"/>
          </w:tcPr>
          <w:p w14:paraId="05BCFC43" w14:textId="77777777" w:rsidR="00B555BC" w:rsidRPr="0054775B" w:rsidRDefault="00B555BC">
            <w:pPr>
              <w:pStyle w:val="2024TABLEHEADER"/>
            </w:pPr>
            <w:r w:rsidRPr="0054775B">
              <w:t>Relative effect</w:t>
            </w:r>
            <w:r w:rsidRPr="0054775B">
              <w:br/>
              <w:t>(95% CI)</w:t>
            </w:r>
          </w:p>
        </w:tc>
        <w:tc>
          <w:tcPr>
            <w:tcW w:w="455" w:type="pct"/>
            <w:tcBorders>
              <w:right w:val="single" w:sz="6" w:space="0" w:color="EFEFEF"/>
            </w:tcBorders>
            <w:shd w:val="clear" w:color="auto" w:fill="FFE599" w:themeFill="accent4" w:themeFillTint="66"/>
            <w:vAlign w:val="bottom"/>
            <w:hideMark/>
          </w:tcPr>
          <w:p w14:paraId="3E263D01" w14:textId="77777777" w:rsidR="00B555BC" w:rsidRPr="0054775B" w:rsidRDefault="00B555BC">
            <w:pPr>
              <w:pStyle w:val="2024TABLEHEADER"/>
            </w:pPr>
            <w:r w:rsidRPr="0054775B">
              <w:t>№ of participants</w:t>
            </w:r>
            <w:r w:rsidRPr="0054775B">
              <w:br/>
              <w:t>(studies)</w:t>
            </w:r>
          </w:p>
        </w:tc>
        <w:tc>
          <w:tcPr>
            <w:tcW w:w="454" w:type="pct"/>
            <w:tcBorders>
              <w:right w:val="single" w:sz="6" w:space="0" w:color="EFEFEF"/>
            </w:tcBorders>
            <w:shd w:val="clear" w:color="auto" w:fill="FFE599" w:themeFill="accent4" w:themeFillTint="66"/>
            <w:vAlign w:val="bottom"/>
            <w:hideMark/>
          </w:tcPr>
          <w:p w14:paraId="5BFF1EB6" w14:textId="77777777" w:rsidR="00B555BC" w:rsidRPr="0054775B" w:rsidRDefault="00B555BC">
            <w:pPr>
              <w:pStyle w:val="2024TABLEHEADER"/>
            </w:pPr>
            <w:r w:rsidRPr="0054775B">
              <w:t>Certainty of the evidence</w:t>
            </w:r>
            <w:r w:rsidRPr="0054775B">
              <w:br/>
              <w:t>(GRADE)</w:t>
            </w:r>
          </w:p>
        </w:tc>
        <w:tc>
          <w:tcPr>
            <w:tcW w:w="959" w:type="pct"/>
            <w:tcBorders>
              <w:right w:val="single" w:sz="6" w:space="0" w:color="EFEFEF"/>
            </w:tcBorders>
            <w:shd w:val="clear" w:color="auto" w:fill="FFE599" w:themeFill="accent4" w:themeFillTint="66"/>
            <w:vAlign w:val="bottom"/>
            <w:hideMark/>
          </w:tcPr>
          <w:p w14:paraId="654A13AB" w14:textId="77777777" w:rsidR="00B555BC" w:rsidRPr="0054775B" w:rsidRDefault="00B555BC">
            <w:pPr>
              <w:pStyle w:val="2024TABLEHEADER"/>
            </w:pPr>
            <w:r w:rsidRPr="0054775B">
              <w:t>Evidence statement</w:t>
            </w:r>
          </w:p>
        </w:tc>
      </w:tr>
      <w:tr w:rsidR="002B69D4" w:rsidRPr="0054775B" w14:paraId="1D9EA535" w14:textId="77777777" w:rsidTr="00555107">
        <w:trPr>
          <w:cantSplit/>
          <w:trHeight w:val="44"/>
        </w:trPr>
        <w:tc>
          <w:tcPr>
            <w:tcW w:w="303" w:type="pct"/>
            <w:vMerge w:val="restart"/>
            <w:tcBorders>
              <w:top w:val="single" w:sz="6" w:space="0" w:color="000000"/>
              <w:left w:val="nil"/>
              <w:right w:val="nil"/>
            </w:tcBorders>
            <w:vAlign w:val="center"/>
          </w:tcPr>
          <w:p w14:paraId="1279CD3B" w14:textId="265553C5" w:rsidR="00B555BC" w:rsidRPr="0054775B" w:rsidRDefault="006D0F00">
            <w:pPr>
              <w:pStyle w:val="2024TABLETEXT"/>
              <w:framePr w:hSpace="0" w:wrap="auto" w:vAnchor="margin" w:yAlign="inline"/>
              <w:suppressOverlap w:val="0"/>
            </w:pPr>
            <w:r w:rsidRPr="0054775B">
              <w:t>9</w:t>
            </w:r>
          </w:p>
        </w:tc>
        <w:tc>
          <w:tcPr>
            <w:tcW w:w="1616" w:type="pct"/>
            <w:tcBorders>
              <w:top w:val="single" w:sz="6" w:space="0" w:color="000000"/>
              <w:left w:val="nil"/>
              <w:bottom w:val="single" w:sz="6" w:space="0" w:color="000000"/>
              <w:right w:val="nil"/>
            </w:tcBorders>
            <w:vAlign w:val="center"/>
          </w:tcPr>
          <w:p w14:paraId="01E338B4" w14:textId="7C44E061" w:rsidR="00B555BC" w:rsidRPr="0054775B" w:rsidRDefault="00A03D23">
            <w:pPr>
              <w:pStyle w:val="2024TABLETEXT"/>
              <w:framePr w:hSpace="0" w:wrap="auto" w:vAnchor="margin" w:yAlign="inline"/>
              <w:suppressOverlap w:val="0"/>
              <w:rPr>
                <w:b/>
                <w:bCs/>
              </w:rPr>
            </w:pPr>
            <w:r w:rsidRPr="0054775B">
              <w:rPr>
                <w:b/>
                <w:bCs/>
              </w:rPr>
              <w:t>Overall control of disease (recurrence)</w:t>
            </w:r>
          </w:p>
        </w:tc>
        <w:tc>
          <w:tcPr>
            <w:tcW w:w="455" w:type="pct"/>
            <w:tcBorders>
              <w:top w:val="single" w:sz="6" w:space="0" w:color="000000"/>
              <w:left w:val="nil"/>
              <w:bottom w:val="single" w:sz="6" w:space="0" w:color="000000"/>
              <w:right w:val="nil"/>
            </w:tcBorders>
            <w:vAlign w:val="center"/>
          </w:tcPr>
          <w:p w14:paraId="05030971" w14:textId="53B5F733" w:rsidR="00B555BC" w:rsidRPr="0054775B" w:rsidRDefault="00B555BC">
            <w:pPr>
              <w:pStyle w:val="2024TABLETEXT"/>
              <w:framePr w:hSpace="0" w:wrap="auto" w:vAnchor="margin" w:yAlign="inline"/>
              <w:suppressOverlap w:val="0"/>
            </w:pPr>
          </w:p>
        </w:tc>
        <w:tc>
          <w:tcPr>
            <w:tcW w:w="758" w:type="pct"/>
            <w:tcBorders>
              <w:top w:val="single" w:sz="6" w:space="0" w:color="000000"/>
              <w:left w:val="nil"/>
              <w:bottom w:val="single" w:sz="6" w:space="0" w:color="000000"/>
              <w:right w:val="nil"/>
            </w:tcBorders>
            <w:shd w:val="clear" w:color="auto" w:fill="auto"/>
            <w:vAlign w:val="center"/>
          </w:tcPr>
          <w:p w14:paraId="608DE26F" w14:textId="72FFA04F" w:rsidR="00B555BC" w:rsidRPr="0054775B" w:rsidRDefault="00B555BC">
            <w:pPr>
              <w:pStyle w:val="2024TABLETEXT"/>
              <w:framePr w:hSpace="0" w:wrap="auto" w:vAnchor="margin" w:yAlign="inline"/>
              <w:suppressOverlap w:val="0"/>
            </w:pPr>
          </w:p>
        </w:tc>
        <w:tc>
          <w:tcPr>
            <w:tcW w:w="455" w:type="pct"/>
            <w:tcBorders>
              <w:top w:val="single" w:sz="6" w:space="0" w:color="000000"/>
              <w:left w:val="nil"/>
              <w:bottom w:val="single" w:sz="6" w:space="0" w:color="000000"/>
              <w:right w:val="nil"/>
            </w:tcBorders>
            <w:vAlign w:val="center"/>
          </w:tcPr>
          <w:p w14:paraId="3E349782" w14:textId="718AC049" w:rsidR="00B555BC" w:rsidRPr="0054775B" w:rsidRDefault="00B555BC">
            <w:pPr>
              <w:pStyle w:val="2024TABLETEXT"/>
              <w:framePr w:hSpace="0" w:wrap="auto" w:vAnchor="margin" w:yAlign="inline"/>
              <w:suppressOverlap w:val="0"/>
            </w:pPr>
          </w:p>
        </w:tc>
        <w:tc>
          <w:tcPr>
            <w:tcW w:w="454" w:type="pct"/>
            <w:tcBorders>
              <w:top w:val="single" w:sz="6" w:space="0" w:color="000000"/>
              <w:left w:val="nil"/>
              <w:bottom w:val="single" w:sz="6" w:space="0" w:color="000000"/>
              <w:right w:val="nil"/>
            </w:tcBorders>
            <w:vAlign w:val="center"/>
          </w:tcPr>
          <w:p w14:paraId="02A52A9A" w14:textId="47281446" w:rsidR="00B555BC" w:rsidRPr="0054775B" w:rsidRDefault="00B555BC">
            <w:pPr>
              <w:pStyle w:val="2024TABLETEXT"/>
              <w:framePr w:hSpace="0" w:wrap="auto" w:vAnchor="margin" w:yAlign="inline"/>
              <w:suppressOverlap w:val="0"/>
              <w:rPr>
                <w:rStyle w:val="FootnoteReference"/>
                <w:caps/>
              </w:rPr>
            </w:pPr>
          </w:p>
        </w:tc>
        <w:tc>
          <w:tcPr>
            <w:tcW w:w="959" w:type="pct"/>
            <w:tcBorders>
              <w:top w:val="single" w:sz="6" w:space="0" w:color="000000"/>
              <w:left w:val="nil"/>
              <w:bottom w:val="single" w:sz="6" w:space="0" w:color="000000"/>
              <w:right w:val="nil"/>
            </w:tcBorders>
            <w:vAlign w:val="center"/>
          </w:tcPr>
          <w:p w14:paraId="155FF74B" w14:textId="3790C025" w:rsidR="00B555BC" w:rsidRPr="0054775B" w:rsidRDefault="00B555BC">
            <w:pPr>
              <w:pStyle w:val="2024TABLETEXT"/>
              <w:framePr w:hSpace="0" w:wrap="auto" w:vAnchor="margin" w:yAlign="inline"/>
              <w:suppressOverlap w:val="0"/>
            </w:pPr>
          </w:p>
        </w:tc>
      </w:tr>
      <w:tr w:rsidR="00FD6150" w:rsidRPr="0054775B" w14:paraId="31D862DD" w14:textId="77777777" w:rsidTr="00555107">
        <w:trPr>
          <w:cantSplit/>
          <w:trHeight w:val="38"/>
        </w:trPr>
        <w:tc>
          <w:tcPr>
            <w:tcW w:w="303" w:type="pct"/>
            <w:vMerge/>
            <w:tcBorders>
              <w:left w:val="nil"/>
              <w:right w:val="nil"/>
            </w:tcBorders>
            <w:vAlign w:val="center"/>
          </w:tcPr>
          <w:p w14:paraId="6A34AC22" w14:textId="77777777" w:rsidR="00C4634A" w:rsidRPr="0054775B" w:rsidRDefault="00C4634A" w:rsidP="00C4634A">
            <w:pPr>
              <w:pStyle w:val="2024TABLETEXT"/>
              <w:framePr w:hSpace="0" w:wrap="auto" w:vAnchor="margin" w:yAlign="inline"/>
              <w:suppressOverlap w:val="0"/>
            </w:pPr>
          </w:p>
        </w:tc>
        <w:tc>
          <w:tcPr>
            <w:tcW w:w="1616" w:type="pct"/>
            <w:tcBorders>
              <w:top w:val="single" w:sz="6" w:space="0" w:color="000000"/>
              <w:left w:val="nil"/>
              <w:bottom w:val="single" w:sz="6" w:space="0" w:color="000000"/>
              <w:right w:val="nil"/>
            </w:tcBorders>
            <w:vAlign w:val="center"/>
          </w:tcPr>
          <w:p w14:paraId="4273C4D0" w14:textId="52372B2E" w:rsidR="00C4634A" w:rsidRPr="0054775B" w:rsidRDefault="00C4634A" w:rsidP="00C4634A">
            <w:pPr>
              <w:pStyle w:val="2024TABLETEXT"/>
              <w:framePr w:hSpace="0" w:wrap="auto" w:vAnchor="margin" w:yAlign="inline"/>
              <w:spacing w:after="120"/>
              <w:ind w:left="364"/>
              <w:suppressOverlap w:val="0"/>
              <w:rPr>
                <w:b/>
                <w:bCs/>
              </w:rPr>
            </w:pPr>
            <w:r w:rsidRPr="0054775B">
              <w:rPr>
                <w:b/>
                <w:bCs/>
              </w:rPr>
              <w:t>Number of participants with at least one episode of definite infection during follow-up</w:t>
            </w:r>
          </w:p>
          <w:p w14:paraId="566D05A3" w14:textId="79AB79FC" w:rsidR="00C4634A" w:rsidRPr="0054775B" w:rsidRDefault="00C4634A" w:rsidP="00C4634A">
            <w:pPr>
              <w:pStyle w:val="2024TABLETEXT"/>
              <w:framePr w:hSpace="0" w:wrap="auto" w:vAnchor="margin" w:yAlign="inline"/>
              <w:ind w:left="648"/>
              <w:suppressOverlap w:val="0"/>
            </w:pPr>
            <w:r w:rsidRPr="0054775B">
              <w:rPr>
                <w:b/>
                <w:bCs/>
              </w:rPr>
              <w:t>Condition:</w:t>
            </w:r>
            <w:r w:rsidRPr="0054775B">
              <w:t xml:space="preserve"> Otitis media</w:t>
            </w:r>
          </w:p>
          <w:p w14:paraId="48901973" w14:textId="77777777" w:rsidR="00C4634A" w:rsidRPr="0054775B" w:rsidRDefault="00C4634A" w:rsidP="00C4634A">
            <w:pPr>
              <w:pStyle w:val="2024TABLETEXT"/>
              <w:framePr w:hSpace="0" w:wrap="auto" w:vAnchor="margin" w:yAlign="inline"/>
              <w:ind w:left="648"/>
              <w:suppressOverlap w:val="0"/>
            </w:pPr>
            <w:r w:rsidRPr="0054775B">
              <w:rPr>
                <w:b/>
                <w:bCs/>
              </w:rPr>
              <w:t>Population:</w:t>
            </w:r>
            <w:r w:rsidRPr="0054775B">
              <w:t xml:space="preserve"> Children aged 6 to 30 months</w:t>
            </w:r>
          </w:p>
          <w:p w14:paraId="185DCEEA" w14:textId="21185721" w:rsidR="00C4634A" w:rsidRPr="0054775B" w:rsidRDefault="00C4634A" w:rsidP="00C4634A">
            <w:pPr>
              <w:pStyle w:val="2024TABLETEXT"/>
              <w:framePr w:hSpace="0" w:wrap="auto" w:vAnchor="margin" w:yAlign="inline"/>
              <w:ind w:left="648"/>
              <w:suppressOverlap w:val="0"/>
            </w:pPr>
            <w:r w:rsidRPr="0054775B">
              <w:rPr>
                <w:b/>
                <w:bCs/>
              </w:rPr>
              <w:t>Dose:</w:t>
            </w:r>
            <w:r w:rsidRPr="0054775B" w:rsidDel="00B818A7">
              <w:t xml:space="preserve"> </w:t>
            </w:r>
            <w:r w:rsidRPr="0054775B">
              <w:t>Zinc gluconate syrup taken daily for 4 months (contained 10 mg elemental zinc for infants and 20 mg for older children); 12.5 mg zinc sulphate, in tablet form, daily (except Sundays)</w:t>
            </w:r>
          </w:p>
          <w:p w14:paraId="356BD902" w14:textId="61D7A2B9" w:rsidR="00C4634A" w:rsidRPr="0054775B" w:rsidRDefault="00C4634A" w:rsidP="00C4634A">
            <w:pPr>
              <w:pStyle w:val="2024TABLETEXT"/>
              <w:framePr w:hSpace="0" w:wrap="auto" w:vAnchor="margin" w:yAlign="inline"/>
              <w:ind w:left="648"/>
              <w:suppressOverlap w:val="0"/>
            </w:pPr>
            <w:r w:rsidRPr="0054775B">
              <w:rPr>
                <w:b/>
                <w:bCs/>
              </w:rPr>
              <w:t xml:space="preserve">Follow-up: </w:t>
            </w:r>
            <w:r w:rsidRPr="0054775B">
              <w:t>6 months</w:t>
            </w:r>
          </w:p>
        </w:tc>
        <w:tc>
          <w:tcPr>
            <w:tcW w:w="455" w:type="pct"/>
            <w:tcBorders>
              <w:top w:val="single" w:sz="6" w:space="0" w:color="000000"/>
              <w:left w:val="nil"/>
              <w:bottom w:val="single" w:sz="6" w:space="0" w:color="000000"/>
              <w:right w:val="nil"/>
            </w:tcBorders>
            <w:vAlign w:val="center"/>
          </w:tcPr>
          <w:p w14:paraId="0570ECE3" w14:textId="6132BA7D" w:rsidR="00C4634A" w:rsidRPr="0054775B" w:rsidRDefault="00C4634A" w:rsidP="00C4634A">
            <w:pPr>
              <w:pStyle w:val="2024TABLETEXT"/>
              <w:framePr w:hSpace="0" w:wrap="auto" w:vAnchor="margin" w:yAlign="inline"/>
              <w:suppressOverlap w:val="0"/>
            </w:pPr>
            <w:r w:rsidRPr="0054775B">
              <w:t>Gulani 2014</w:t>
            </w:r>
          </w:p>
        </w:tc>
        <w:tc>
          <w:tcPr>
            <w:tcW w:w="758" w:type="pct"/>
            <w:tcBorders>
              <w:top w:val="single" w:sz="6" w:space="0" w:color="000000"/>
              <w:left w:val="nil"/>
              <w:bottom w:val="single" w:sz="6" w:space="0" w:color="000000"/>
              <w:right w:val="nil"/>
            </w:tcBorders>
            <w:shd w:val="clear" w:color="auto" w:fill="auto"/>
            <w:vAlign w:val="center"/>
          </w:tcPr>
          <w:p w14:paraId="583C6BB3" w14:textId="737904BD" w:rsidR="00C4634A" w:rsidRPr="0054775B" w:rsidRDefault="00C4634A" w:rsidP="00C4634A">
            <w:pPr>
              <w:pStyle w:val="2024TABLETEXT"/>
              <w:framePr w:hSpace="0" w:wrap="auto" w:vAnchor="margin" w:yAlign="inline"/>
              <w:suppressOverlap w:val="0"/>
            </w:pPr>
            <w:r w:rsidRPr="0054775B">
              <w:t>R</w:t>
            </w:r>
            <w:r w:rsidR="007B0C97">
              <w:t>isk ratio</w:t>
            </w:r>
            <w:r w:rsidRPr="0054775B">
              <w:t xml:space="preserve"> = 1.05 </w:t>
            </w:r>
            <w:r w:rsidR="00E10694" w:rsidRPr="0054775B">
              <w:t>(</w:t>
            </w:r>
            <w:r w:rsidRPr="0054775B">
              <w:t>0.82, 1.36</w:t>
            </w:r>
            <w:r w:rsidR="00E10694" w:rsidRPr="0054775B">
              <w:t>)</w:t>
            </w:r>
            <w:r w:rsidR="008373B7">
              <w:t>#</w:t>
            </w:r>
          </w:p>
        </w:tc>
        <w:tc>
          <w:tcPr>
            <w:tcW w:w="455" w:type="pct"/>
            <w:tcBorders>
              <w:top w:val="single" w:sz="6" w:space="0" w:color="000000"/>
              <w:left w:val="nil"/>
              <w:bottom w:val="single" w:sz="6" w:space="0" w:color="000000"/>
              <w:right w:val="nil"/>
            </w:tcBorders>
            <w:vAlign w:val="center"/>
          </w:tcPr>
          <w:p w14:paraId="20FC8473" w14:textId="0FD0FBD2" w:rsidR="00C4634A" w:rsidRPr="0054775B" w:rsidRDefault="00C4634A" w:rsidP="00C4634A">
            <w:pPr>
              <w:pStyle w:val="2024TABLETEXT"/>
              <w:framePr w:hSpace="0" w:wrap="auto" w:vAnchor="margin" w:yAlign="inline"/>
              <w:suppressOverlap w:val="0"/>
            </w:pPr>
            <w:r w:rsidRPr="0054775B">
              <w:t>3191 (2)</w:t>
            </w:r>
          </w:p>
        </w:tc>
        <w:tc>
          <w:tcPr>
            <w:tcW w:w="454" w:type="pct"/>
            <w:tcBorders>
              <w:top w:val="single" w:sz="6" w:space="0" w:color="000000"/>
              <w:left w:val="nil"/>
              <w:bottom w:val="single" w:sz="6" w:space="0" w:color="000000"/>
              <w:right w:val="nil"/>
            </w:tcBorders>
            <w:vAlign w:val="center"/>
          </w:tcPr>
          <w:p w14:paraId="1940BC14" w14:textId="723060B4" w:rsidR="005874BF" w:rsidRDefault="00C4634A" w:rsidP="00C4634A">
            <w:pPr>
              <w:pStyle w:val="2024TABLETEXT"/>
              <w:framePr w:hSpace="0" w:wrap="auto" w:vAnchor="margin" w:yAlign="inline"/>
              <w:suppressOverlap w:val="0"/>
              <w:rPr>
                <w:rFonts w:ascii="Segoe UI Symbol" w:hAnsi="Segoe UI Symbol" w:cs="Segoe UI Symbol"/>
              </w:rPr>
            </w:pPr>
            <w:r w:rsidRPr="00306BF6">
              <w:rPr>
                <w:rFonts w:ascii="Cambria Math" w:hAnsi="Cambria Math" w:cs="Cambria Math"/>
                <w:sz w:val="22"/>
                <w:szCs w:val="22"/>
              </w:rPr>
              <w:t>⨁⨁</w:t>
            </w:r>
            <w:r w:rsidR="005874BF" w:rsidRPr="0054775B">
              <w:rPr>
                <w:rFonts w:ascii="Segoe UI Symbol" w:hAnsi="Segoe UI Symbol" w:cs="Segoe UI Symbol"/>
              </w:rPr>
              <w:t>◯</w:t>
            </w:r>
            <w:r w:rsidRPr="0054775B">
              <w:rPr>
                <w:rFonts w:ascii="Segoe UI Symbol" w:hAnsi="Segoe UI Symbol" w:cs="Segoe UI Symbol"/>
              </w:rPr>
              <w:t>◯</w:t>
            </w:r>
          </w:p>
          <w:p w14:paraId="12720220" w14:textId="4C61B07B" w:rsidR="00C4634A" w:rsidRPr="0054775B" w:rsidRDefault="005874BF" w:rsidP="00C4634A">
            <w:pPr>
              <w:pStyle w:val="2024TABLETEXT"/>
              <w:framePr w:hSpace="0" w:wrap="auto" w:vAnchor="margin" w:yAlign="inline"/>
              <w:suppressOverlap w:val="0"/>
              <w:rPr>
                <w:rFonts w:cs="Cambria Math"/>
                <w:color w:val="000000" w:themeColor="text1"/>
                <w:sz w:val="20"/>
                <w:szCs w:val="20"/>
              </w:rPr>
            </w:pPr>
            <w:r>
              <w:t>LOW</w:t>
            </w:r>
            <w:r w:rsidR="00C4634A" w:rsidRPr="0054775B">
              <w:rPr>
                <w:vertAlign w:val="superscript"/>
              </w:rPr>
              <w:t>a</w:t>
            </w:r>
          </w:p>
        </w:tc>
        <w:tc>
          <w:tcPr>
            <w:tcW w:w="959" w:type="pct"/>
            <w:tcBorders>
              <w:top w:val="single" w:sz="6" w:space="0" w:color="000000"/>
              <w:left w:val="nil"/>
              <w:bottom w:val="single" w:sz="6" w:space="0" w:color="000000"/>
              <w:right w:val="nil"/>
            </w:tcBorders>
            <w:vAlign w:val="center"/>
          </w:tcPr>
          <w:p w14:paraId="3AC85101" w14:textId="0E019CFA" w:rsidR="00C4634A" w:rsidRPr="0054775B" w:rsidRDefault="00AB1B5D" w:rsidP="00FC3540">
            <w:pPr>
              <w:pStyle w:val="2024TABLETEXT"/>
              <w:framePr w:hSpace="0" w:wrap="auto" w:vAnchor="margin" w:yAlign="inline"/>
              <w:suppressOverlap w:val="0"/>
            </w:pPr>
            <w:r w:rsidRPr="005874BF">
              <w:t xml:space="preserve">Zinc </w:t>
            </w:r>
            <w:r w:rsidR="005874BF" w:rsidRPr="001428E8">
              <w:t>may</w:t>
            </w:r>
            <w:r w:rsidRPr="005874BF">
              <w:t xml:space="preserve"> not </w:t>
            </w:r>
            <w:r w:rsidR="00D65A94">
              <w:t>reduce the n</w:t>
            </w:r>
            <w:r w:rsidR="00D65A94" w:rsidRPr="001428E8">
              <w:t xml:space="preserve">umber of </w:t>
            </w:r>
            <w:r w:rsidR="00A11CBA">
              <w:t xml:space="preserve">children </w:t>
            </w:r>
            <w:r w:rsidR="00D65A94" w:rsidRPr="001428E8">
              <w:t>with at least one episode of definite infection during follow-up</w:t>
            </w:r>
            <w:r w:rsidR="00D65A94">
              <w:t xml:space="preserve"> for </w:t>
            </w:r>
            <w:r w:rsidR="00971106">
              <w:t xml:space="preserve">children </w:t>
            </w:r>
            <w:r w:rsidR="00D65A94">
              <w:t>with recurrent infection (otitis media).</w:t>
            </w:r>
          </w:p>
        </w:tc>
      </w:tr>
      <w:tr w:rsidR="00FD6150" w:rsidRPr="0054775B" w14:paraId="774A4708" w14:textId="77777777" w:rsidTr="00555107">
        <w:trPr>
          <w:cantSplit/>
          <w:trHeight w:val="38"/>
        </w:trPr>
        <w:tc>
          <w:tcPr>
            <w:tcW w:w="303" w:type="pct"/>
            <w:vMerge/>
            <w:tcBorders>
              <w:left w:val="nil"/>
              <w:right w:val="nil"/>
            </w:tcBorders>
            <w:vAlign w:val="center"/>
          </w:tcPr>
          <w:p w14:paraId="69A5F60E" w14:textId="77777777" w:rsidR="00C4634A" w:rsidRPr="0054775B" w:rsidRDefault="00C4634A" w:rsidP="00C4634A">
            <w:pPr>
              <w:pStyle w:val="2024TABLETEXT"/>
              <w:framePr w:hSpace="0" w:wrap="auto" w:vAnchor="margin" w:yAlign="inline"/>
              <w:suppressOverlap w:val="0"/>
            </w:pPr>
          </w:p>
        </w:tc>
        <w:tc>
          <w:tcPr>
            <w:tcW w:w="1616" w:type="pct"/>
            <w:tcBorders>
              <w:top w:val="single" w:sz="6" w:space="0" w:color="000000"/>
              <w:left w:val="nil"/>
              <w:bottom w:val="single" w:sz="6" w:space="0" w:color="000000"/>
              <w:right w:val="nil"/>
            </w:tcBorders>
            <w:vAlign w:val="center"/>
          </w:tcPr>
          <w:p w14:paraId="75ED0177" w14:textId="12E232FF" w:rsidR="00C4634A" w:rsidRPr="0054775B" w:rsidRDefault="00C4634A" w:rsidP="00C4634A">
            <w:pPr>
              <w:pStyle w:val="2024TABLETEXT"/>
              <w:framePr w:hSpace="0" w:wrap="auto" w:vAnchor="margin" w:yAlign="inline"/>
              <w:ind w:left="364"/>
              <w:suppressOverlap w:val="0"/>
              <w:rPr>
                <w:b/>
                <w:bCs/>
              </w:rPr>
            </w:pPr>
            <w:r w:rsidRPr="0054775B">
              <w:rPr>
                <w:b/>
                <w:bCs/>
              </w:rPr>
              <w:t xml:space="preserve">Number of episodes of definite </w:t>
            </w:r>
            <w:r w:rsidR="00FC0C11">
              <w:rPr>
                <w:b/>
                <w:bCs/>
              </w:rPr>
              <w:t>a</w:t>
            </w:r>
            <w:r w:rsidR="00E23991">
              <w:rPr>
                <w:b/>
                <w:bCs/>
              </w:rPr>
              <w:t>cute otitis media</w:t>
            </w:r>
            <w:r w:rsidR="00FC0C11" w:rsidRPr="0054775B">
              <w:rPr>
                <w:b/>
                <w:bCs/>
              </w:rPr>
              <w:t xml:space="preserve"> </w:t>
            </w:r>
            <w:r w:rsidRPr="0054775B">
              <w:rPr>
                <w:b/>
                <w:bCs/>
              </w:rPr>
              <w:t>per participant per year of follow-up</w:t>
            </w:r>
          </w:p>
          <w:p w14:paraId="5900E69D" w14:textId="77777777" w:rsidR="00C4634A" w:rsidRPr="0054775B" w:rsidRDefault="00C4634A" w:rsidP="00C4634A">
            <w:pPr>
              <w:pStyle w:val="2024TABLETEXT"/>
              <w:framePr w:hSpace="0" w:wrap="auto" w:vAnchor="margin" w:yAlign="inline"/>
              <w:ind w:left="648"/>
              <w:suppressOverlap w:val="0"/>
              <w:rPr>
                <w:b/>
                <w:bCs/>
              </w:rPr>
            </w:pPr>
          </w:p>
          <w:p w14:paraId="3D3D5F9A" w14:textId="205E3416" w:rsidR="00C4634A" w:rsidRPr="0054775B" w:rsidRDefault="00C4634A" w:rsidP="00C4634A">
            <w:pPr>
              <w:pStyle w:val="2024TABLETEXT"/>
              <w:framePr w:hSpace="0" w:wrap="auto" w:vAnchor="margin" w:yAlign="inline"/>
              <w:ind w:left="648"/>
              <w:suppressOverlap w:val="0"/>
            </w:pPr>
            <w:r w:rsidRPr="0054775B">
              <w:rPr>
                <w:b/>
                <w:bCs/>
              </w:rPr>
              <w:t>Condition:</w:t>
            </w:r>
            <w:r w:rsidRPr="0054775B">
              <w:t xml:space="preserve"> Otitis media</w:t>
            </w:r>
          </w:p>
          <w:p w14:paraId="76897E1E" w14:textId="1EA6DFE1" w:rsidR="00C4634A" w:rsidRPr="0054775B" w:rsidRDefault="00C4634A" w:rsidP="00C4634A">
            <w:pPr>
              <w:pStyle w:val="2024TABLETEXT"/>
              <w:framePr w:hSpace="0" w:wrap="auto" w:vAnchor="margin" w:yAlign="inline"/>
              <w:ind w:left="648"/>
              <w:suppressOverlap w:val="0"/>
            </w:pPr>
            <w:r w:rsidRPr="0054775B">
              <w:rPr>
                <w:b/>
                <w:bCs/>
              </w:rPr>
              <w:t>Population:</w:t>
            </w:r>
            <w:r w:rsidRPr="0054775B">
              <w:t xml:space="preserve"> Children aged </w:t>
            </w:r>
            <w:r w:rsidR="00B818A7">
              <w:t>2</w:t>
            </w:r>
            <w:r w:rsidRPr="0054775B">
              <w:t xml:space="preserve"> to </w:t>
            </w:r>
            <w:r w:rsidR="00B818A7">
              <w:t>12</w:t>
            </w:r>
            <w:r w:rsidRPr="0054775B">
              <w:t xml:space="preserve"> months</w:t>
            </w:r>
          </w:p>
          <w:p w14:paraId="1235DBD5" w14:textId="5511051C" w:rsidR="00C4634A" w:rsidRPr="0054775B" w:rsidRDefault="00C4634A" w:rsidP="00C4634A">
            <w:pPr>
              <w:pStyle w:val="2024TABLETEXT"/>
              <w:framePr w:hSpace="0" w:wrap="auto" w:vAnchor="margin" w:yAlign="inline"/>
              <w:ind w:left="648"/>
              <w:suppressOverlap w:val="0"/>
            </w:pPr>
            <w:r w:rsidRPr="0054775B">
              <w:rPr>
                <w:b/>
                <w:bCs/>
              </w:rPr>
              <w:t>Dose:</w:t>
            </w:r>
            <w:r w:rsidRPr="0054775B">
              <w:t xml:space="preserve"> </w:t>
            </w:r>
            <w:r w:rsidR="00B818A7">
              <w:t>Z</w:t>
            </w:r>
            <w:r w:rsidR="00B818A7" w:rsidRPr="00B818A7">
              <w:t>inc acetate 70 mg once weekly for 12 months</w:t>
            </w:r>
          </w:p>
          <w:p w14:paraId="1EDD5499" w14:textId="373F483B" w:rsidR="00C4634A" w:rsidRPr="0054775B" w:rsidRDefault="00C4634A" w:rsidP="00C4634A">
            <w:pPr>
              <w:pStyle w:val="2024TABLETEXT"/>
              <w:framePr w:hSpace="0" w:wrap="auto" w:vAnchor="margin" w:yAlign="inline"/>
              <w:ind w:left="648"/>
              <w:suppressOverlap w:val="0"/>
              <w:rPr>
                <w:b/>
                <w:bCs/>
              </w:rPr>
            </w:pPr>
            <w:r w:rsidRPr="0054775B">
              <w:rPr>
                <w:b/>
                <w:bCs/>
              </w:rPr>
              <w:t xml:space="preserve">Follow-up: </w:t>
            </w:r>
            <w:r w:rsidRPr="0054775B">
              <w:t>6 months</w:t>
            </w:r>
          </w:p>
        </w:tc>
        <w:tc>
          <w:tcPr>
            <w:tcW w:w="455" w:type="pct"/>
            <w:tcBorders>
              <w:top w:val="single" w:sz="6" w:space="0" w:color="000000"/>
              <w:left w:val="nil"/>
              <w:bottom w:val="single" w:sz="6" w:space="0" w:color="000000"/>
              <w:right w:val="nil"/>
            </w:tcBorders>
            <w:vAlign w:val="center"/>
          </w:tcPr>
          <w:p w14:paraId="2C033F6F" w14:textId="526B2F9B" w:rsidR="00C4634A" w:rsidRPr="0054775B" w:rsidRDefault="00C4634A" w:rsidP="00C4634A">
            <w:pPr>
              <w:pStyle w:val="2024TABLETEXT"/>
              <w:framePr w:hSpace="0" w:wrap="auto" w:vAnchor="margin" w:yAlign="inline"/>
              <w:suppressOverlap w:val="0"/>
            </w:pPr>
            <w:r w:rsidRPr="0054775B">
              <w:t>Gulani 2014</w:t>
            </w:r>
          </w:p>
        </w:tc>
        <w:tc>
          <w:tcPr>
            <w:tcW w:w="758" w:type="pct"/>
            <w:tcBorders>
              <w:top w:val="single" w:sz="6" w:space="0" w:color="000000"/>
              <w:left w:val="nil"/>
              <w:bottom w:val="single" w:sz="6" w:space="0" w:color="000000"/>
              <w:right w:val="nil"/>
            </w:tcBorders>
            <w:shd w:val="clear" w:color="auto" w:fill="auto"/>
            <w:vAlign w:val="center"/>
          </w:tcPr>
          <w:p w14:paraId="13A5549A" w14:textId="3446570C" w:rsidR="00C4634A" w:rsidRPr="001428E8" w:rsidRDefault="00743F76" w:rsidP="00696DD0">
            <w:pPr>
              <w:pStyle w:val="2024TABLETEXT"/>
              <w:framePr w:hSpace="0" w:wrap="auto" w:vAnchor="margin" w:yAlign="inline"/>
              <w:suppressOverlap w:val="0"/>
              <w:rPr>
                <w:color w:val="000000" w:themeColor="text1"/>
              </w:rPr>
            </w:pPr>
            <w:r w:rsidRPr="001428E8">
              <w:rPr>
                <w:rFonts w:eastAsiaTheme="minorHAnsi"/>
                <w:color w:val="000000" w:themeColor="text1"/>
              </w:rPr>
              <w:t>Rate ratio</w:t>
            </w:r>
            <w:r w:rsidR="00E5225A">
              <w:rPr>
                <w:rFonts w:eastAsiaTheme="minorHAnsi"/>
                <w:color w:val="000000" w:themeColor="text1"/>
              </w:rPr>
              <w:t xml:space="preserve"> =</w:t>
            </w:r>
            <w:r w:rsidRPr="001428E8">
              <w:rPr>
                <w:rFonts w:eastAsiaTheme="minorHAnsi"/>
                <w:color w:val="000000" w:themeColor="text1"/>
              </w:rPr>
              <w:t xml:space="preserve"> 0.69 (95%</w:t>
            </w:r>
            <w:r w:rsidR="002A40B4">
              <w:rPr>
                <w:rFonts w:eastAsiaTheme="minorHAnsi"/>
                <w:color w:val="000000" w:themeColor="text1"/>
              </w:rPr>
              <w:t xml:space="preserve"> </w:t>
            </w:r>
            <w:r w:rsidRPr="001428E8">
              <w:rPr>
                <w:rFonts w:eastAsiaTheme="minorHAnsi"/>
                <w:color w:val="000000" w:themeColor="text1"/>
              </w:rPr>
              <w:t>CI: 0.61 to 0.79)</w:t>
            </w:r>
            <w:r w:rsidR="008373B7" w:rsidRPr="001428E8">
              <w:rPr>
                <w:color w:val="000000" w:themeColor="text1"/>
              </w:rPr>
              <w:t>^</w:t>
            </w:r>
          </w:p>
        </w:tc>
        <w:tc>
          <w:tcPr>
            <w:tcW w:w="455" w:type="pct"/>
            <w:tcBorders>
              <w:top w:val="single" w:sz="6" w:space="0" w:color="000000"/>
              <w:left w:val="nil"/>
              <w:bottom w:val="single" w:sz="6" w:space="0" w:color="000000"/>
              <w:right w:val="nil"/>
            </w:tcBorders>
            <w:vAlign w:val="center"/>
          </w:tcPr>
          <w:p w14:paraId="48AB522A" w14:textId="0A3188AB" w:rsidR="00C4634A" w:rsidRPr="001428E8" w:rsidRDefault="006B387A" w:rsidP="00C4634A">
            <w:pPr>
              <w:pStyle w:val="2024TABLETEXT"/>
              <w:framePr w:hSpace="0" w:wrap="auto" w:vAnchor="margin" w:yAlign="inline"/>
              <w:suppressOverlap w:val="0"/>
              <w:rPr>
                <w:color w:val="000000" w:themeColor="text1"/>
              </w:rPr>
            </w:pPr>
            <w:r w:rsidRPr="001428E8">
              <w:rPr>
                <w:color w:val="000000" w:themeColor="text1"/>
              </w:rPr>
              <w:t>1621</w:t>
            </w:r>
            <w:r w:rsidR="00B76475" w:rsidRPr="001428E8">
              <w:rPr>
                <w:color w:val="000000" w:themeColor="text1"/>
              </w:rPr>
              <w:t xml:space="preserve"> </w:t>
            </w:r>
            <w:r w:rsidR="00C4634A" w:rsidRPr="001428E8">
              <w:rPr>
                <w:color w:val="000000" w:themeColor="text1"/>
              </w:rPr>
              <w:t>(1)</w:t>
            </w:r>
          </w:p>
        </w:tc>
        <w:tc>
          <w:tcPr>
            <w:tcW w:w="454" w:type="pct"/>
            <w:tcBorders>
              <w:top w:val="single" w:sz="6" w:space="0" w:color="000000"/>
              <w:left w:val="nil"/>
              <w:bottom w:val="single" w:sz="6" w:space="0" w:color="000000"/>
              <w:right w:val="nil"/>
            </w:tcBorders>
            <w:vAlign w:val="center"/>
          </w:tcPr>
          <w:p w14:paraId="6F7BF444" w14:textId="60939D09" w:rsidR="00C4634A" w:rsidRPr="006350C3" w:rsidRDefault="00C4634A" w:rsidP="00C4634A">
            <w:pPr>
              <w:pStyle w:val="2024TABLETEXT"/>
              <w:framePr w:hSpace="0" w:wrap="auto" w:vAnchor="margin" w:yAlign="inline"/>
              <w:suppressOverlap w:val="0"/>
              <w:rPr>
                <w:rFonts w:cs="Cambria Math"/>
                <w:color w:val="000000" w:themeColor="text1"/>
                <w:sz w:val="20"/>
                <w:szCs w:val="20"/>
              </w:rPr>
            </w:pPr>
            <w:r w:rsidRPr="00306BF6">
              <w:rPr>
                <w:rFonts w:ascii="Cambria Math" w:hAnsi="Cambria Math" w:cs="Cambria Math"/>
                <w:color w:val="000000" w:themeColor="text1"/>
                <w:sz w:val="22"/>
                <w:szCs w:val="22"/>
              </w:rPr>
              <w:t>⨁⨁⨁</w:t>
            </w:r>
            <w:r w:rsidRPr="001428E8">
              <w:rPr>
                <w:rFonts w:ascii="Segoe UI Symbol" w:hAnsi="Segoe UI Symbol" w:cs="Segoe UI Symbol"/>
                <w:color w:val="000000" w:themeColor="text1"/>
              </w:rPr>
              <w:t>◯</w:t>
            </w:r>
            <w:r w:rsidRPr="001428E8">
              <w:rPr>
                <w:color w:val="000000" w:themeColor="text1"/>
              </w:rPr>
              <w:br/>
              <w:t>MODERATE</w:t>
            </w:r>
            <w:r w:rsidR="00301A7E" w:rsidRPr="001428E8">
              <w:rPr>
                <w:color w:val="000000" w:themeColor="text1"/>
                <w:vertAlign w:val="superscript"/>
              </w:rPr>
              <w:t>b</w:t>
            </w:r>
          </w:p>
        </w:tc>
        <w:tc>
          <w:tcPr>
            <w:tcW w:w="959" w:type="pct"/>
            <w:tcBorders>
              <w:top w:val="single" w:sz="6" w:space="0" w:color="000000"/>
              <w:left w:val="nil"/>
              <w:bottom w:val="single" w:sz="6" w:space="0" w:color="000000"/>
              <w:right w:val="nil"/>
            </w:tcBorders>
            <w:vAlign w:val="center"/>
          </w:tcPr>
          <w:p w14:paraId="0156BAD6" w14:textId="1468358F" w:rsidR="00C4634A" w:rsidRPr="001428E8" w:rsidRDefault="00AB1B5D" w:rsidP="00AB1B5D">
            <w:pPr>
              <w:pStyle w:val="2024TABLETEXT"/>
              <w:framePr w:hSpace="0" w:wrap="auto" w:vAnchor="margin" w:yAlign="inline"/>
              <w:suppressOverlap w:val="0"/>
              <w:rPr>
                <w:color w:val="000000" w:themeColor="text1"/>
              </w:rPr>
            </w:pPr>
            <w:r w:rsidRPr="001428E8">
              <w:rPr>
                <w:color w:val="000000" w:themeColor="text1"/>
              </w:rPr>
              <w:t xml:space="preserve">Zinc </w:t>
            </w:r>
            <w:r w:rsidRPr="001428E8" w:rsidDel="00301A7E">
              <w:rPr>
                <w:color w:val="000000" w:themeColor="text1"/>
              </w:rPr>
              <w:t xml:space="preserve">probably </w:t>
            </w:r>
            <w:r w:rsidR="00290AF6">
              <w:rPr>
                <w:color w:val="000000" w:themeColor="text1"/>
              </w:rPr>
              <w:t>results</w:t>
            </w:r>
            <w:r w:rsidRPr="001428E8">
              <w:rPr>
                <w:color w:val="000000" w:themeColor="text1"/>
              </w:rPr>
              <w:t xml:space="preserve"> in </w:t>
            </w:r>
            <w:r w:rsidR="006350C3">
              <w:rPr>
                <w:color w:val="000000" w:themeColor="text1"/>
              </w:rPr>
              <w:t xml:space="preserve">a reduction in the number of </w:t>
            </w:r>
            <w:r w:rsidRPr="001428E8">
              <w:rPr>
                <w:color w:val="000000" w:themeColor="text1"/>
              </w:rPr>
              <w:t xml:space="preserve">episodes of </w:t>
            </w:r>
            <w:r w:rsidR="00D65A94" w:rsidRPr="001428E8">
              <w:rPr>
                <w:color w:val="000000" w:themeColor="text1"/>
              </w:rPr>
              <w:t>definite infection</w:t>
            </w:r>
            <w:r w:rsidRPr="001428E8">
              <w:rPr>
                <w:color w:val="000000" w:themeColor="text1"/>
              </w:rPr>
              <w:t xml:space="preserve"> per </w:t>
            </w:r>
            <w:r w:rsidR="00D65A94" w:rsidRPr="001428E8">
              <w:rPr>
                <w:color w:val="000000" w:themeColor="text1"/>
              </w:rPr>
              <w:t xml:space="preserve">person </w:t>
            </w:r>
            <w:r w:rsidRPr="001428E8">
              <w:rPr>
                <w:color w:val="000000" w:themeColor="text1"/>
              </w:rPr>
              <w:t xml:space="preserve">per year </w:t>
            </w:r>
            <w:r w:rsidR="00D65A94" w:rsidRPr="001428E8">
              <w:rPr>
                <w:color w:val="000000" w:themeColor="text1"/>
              </w:rPr>
              <w:t xml:space="preserve">for </w:t>
            </w:r>
            <w:r w:rsidR="00A11CBA">
              <w:rPr>
                <w:color w:val="000000" w:themeColor="text1"/>
              </w:rPr>
              <w:t>children</w:t>
            </w:r>
            <w:r w:rsidR="00D65A94" w:rsidRPr="001428E8">
              <w:rPr>
                <w:color w:val="000000" w:themeColor="text1"/>
              </w:rPr>
              <w:t xml:space="preserve"> with recurrent infection (otitis media).</w:t>
            </w:r>
          </w:p>
        </w:tc>
      </w:tr>
      <w:tr w:rsidR="00FD6150" w:rsidRPr="0054775B" w14:paraId="5D624D75" w14:textId="77777777" w:rsidTr="00555107">
        <w:trPr>
          <w:cantSplit/>
          <w:trHeight w:val="38"/>
        </w:trPr>
        <w:tc>
          <w:tcPr>
            <w:tcW w:w="303" w:type="pct"/>
            <w:vMerge/>
            <w:tcBorders>
              <w:left w:val="nil"/>
              <w:right w:val="nil"/>
            </w:tcBorders>
            <w:vAlign w:val="center"/>
          </w:tcPr>
          <w:p w14:paraId="55558769" w14:textId="77777777" w:rsidR="00C84455" w:rsidRPr="0054775B" w:rsidRDefault="00C84455" w:rsidP="00C84455">
            <w:pPr>
              <w:pStyle w:val="2024TABLETEXT"/>
              <w:framePr w:hSpace="0" w:wrap="auto" w:vAnchor="margin" w:yAlign="inline"/>
              <w:suppressOverlap w:val="0"/>
            </w:pPr>
          </w:p>
        </w:tc>
        <w:tc>
          <w:tcPr>
            <w:tcW w:w="1616" w:type="pct"/>
            <w:tcBorders>
              <w:top w:val="single" w:sz="6" w:space="0" w:color="000000"/>
              <w:left w:val="nil"/>
              <w:bottom w:val="single" w:sz="6" w:space="0" w:color="000000"/>
              <w:right w:val="nil"/>
            </w:tcBorders>
            <w:vAlign w:val="center"/>
          </w:tcPr>
          <w:p w14:paraId="21C1F130" w14:textId="0C51F4B9" w:rsidR="00C84455" w:rsidRPr="0054775B" w:rsidRDefault="00C84455" w:rsidP="00C84455">
            <w:pPr>
              <w:pStyle w:val="2024TABLETEXT"/>
              <w:framePr w:hSpace="0" w:wrap="auto" w:vAnchor="margin" w:yAlign="inline"/>
              <w:spacing w:after="120"/>
              <w:ind w:left="364"/>
              <w:suppressOverlap w:val="0"/>
              <w:rPr>
                <w:b/>
                <w:bCs/>
              </w:rPr>
            </w:pPr>
            <w:r w:rsidRPr="0054775B">
              <w:rPr>
                <w:b/>
                <w:bCs/>
              </w:rPr>
              <w:t xml:space="preserve">Number of </w:t>
            </w:r>
            <w:r w:rsidR="00D65A94">
              <w:rPr>
                <w:b/>
                <w:bCs/>
              </w:rPr>
              <w:t>people</w:t>
            </w:r>
            <w:r w:rsidR="00D65A94" w:rsidRPr="0054775B">
              <w:rPr>
                <w:b/>
                <w:bCs/>
              </w:rPr>
              <w:t xml:space="preserve"> </w:t>
            </w:r>
            <w:r w:rsidRPr="0054775B">
              <w:rPr>
                <w:b/>
                <w:bCs/>
              </w:rPr>
              <w:t xml:space="preserve">with </w:t>
            </w:r>
            <w:r w:rsidR="00292D7F">
              <w:rPr>
                <w:b/>
                <w:bCs/>
              </w:rPr>
              <w:t>URTI</w:t>
            </w:r>
          </w:p>
          <w:p w14:paraId="30D61EC5" w14:textId="5BDE5C9F" w:rsidR="00C84455" w:rsidRPr="0054775B" w:rsidRDefault="00C84455" w:rsidP="00C84455">
            <w:pPr>
              <w:pStyle w:val="2024TABLETEXT"/>
              <w:framePr w:hSpace="0" w:wrap="auto" w:vAnchor="margin" w:yAlign="inline"/>
              <w:ind w:left="648"/>
              <w:suppressOverlap w:val="0"/>
            </w:pPr>
            <w:r w:rsidRPr="0054775B">
              <w:rPr>
                <w:b/>
                <w:bCs/>
              </w:rPr>
              <w:t>Condition:</w:t>
            </w:r>
            <w:r w:rsidRPr="0054775B">
              <w:t xml:space="preserve"> </w:t>
            </w:r>
            <w:r w:rsidR="00292D7F">
              <w:t>URTI</w:t>
            </w:r>
          </w:p>
          <w:p w14:paraId="2167329A" w14:textId="627E7C66" w:rsidR="00C84455" w:rsidRPr="0054775B" w:rsidRDefault="00C84455" w:rsidP="00C84455">
            <w:pPr>
              <w:pStyle w:val="2024TABLETEXT"/>
              <w:framePr w:hSpace="0" w:wrap="auto" w:vAnchor="margin" w:yAlign="inline"/>
              <w:ind w:left="648"/>
              <w:suppressOverlap w:val="0"/>
            </w:pPr>
            <w:r w:rsidRPr="0054775B">
              <w:rPr>
                <w:b/>
                <w:bCs/>
              </w:rPr>
              <w:t>Population:</w:t>
            </w:r>
            <w:r w:rsidRPr="0054775B">
              <w:t xml:space="preserve"> Children with Down’s syndrome</w:t>
            </w:r>
            <w:r w:rsidR="00292D7F">
              <w:t xml:space="preserve"> aged 1 to 19 years</w:t>
            </w:r>
          </w:p>
          <w:p w14:paraId="3586EF7F" w14:textId="3FF1FCBA" w:rsidR="00C84455" w:rsidRPr="0054775B" w:rsidRDefault="00C84455" w:rsidP="00C84455">
            <w:pPr>
              <w:pStyle w:val="2024TABLETEXT"/>
              <w:framePr w:hSpace="0" w:wrap="auto" w:vAnchor="margin" w:yAlign="inline"/>
              <w:ind w:left="648"/>
              <w:suppressOverlap w:val="0"/>
            </w:pPr>
            <w:r w:rsidRPr="0054775B">
              <w:rPr>
                <w:b/>
                <w:bCs/>
              </w:rPr>
              <w:t>Dose:</w:t>
            </w:r>
            <w:r w:rsidRPr="0054775B">
              <w:t xml:space="preserve">  Zinc sulfate supplements 25mg/d for 1–9 y</w:t>
            </w:r>
            <w:r w:rsidR="0004743F">
              <w:t>ea</w:t>
            </w:r>
            <w:r w:rsidRPr="0054775B">
              <w:t>r and 50 mg/d for older children</w:t>
            </w:r>
          </w:p>
          <w:p w14:paraId="0F70C1A3" w14:textId="6D696332" w:rsidR="00C84455" w:rsidRPr="0054775B" w:rsidRDefault="00C84455" w:rsidP="00C84455">
            <w:pPr>
              <w:pStyle w:val="2024TABLETEXT"/>
              <w:framePr w:hSpace="0" w:wrap="auto" w:vAnchor="margin" w:yAlign="inline"/>
              <w:ind w:left="648"/>
              <w:suppressOverlap w:val="0"/>
            </w:pPr>
            <w:r w:rsidRPr="0054775B">
              <w:rPr>
                <w:b/>
                <w:bCs/>
              </w:rPr>
              <w:t xml:space="preserve">Follow-up: </w:t>
            </w:r>
            <w:r w:rsidRPr="0054775B">
              <w:t>6 months</w:t>
            </w:r>
          </w:p>
        </w:tc>
        <w:tc>
          <w:tcPr>
            <w:tcW w:w="455" w:type="pct"/>
            <w:tcBorders>
              <w:top w:val="single" w:sz="6" w:space="0" w:color="000000"/>
              <w:left w:val="nil"/>
              <w:bottom w:val="single" w:sz="6" w:space="0" w:color="000000"/>
              <w:right w:val="nil"/>
            </w:tcBorders>
            <w:vAlign w:val="center"/>
          </w:tcPr>
          <w:p w14:paraId="73C1493A" w14:textId="6F40B2F1" w:rsidR="00C84455" w:rsidRPr="0054775B" w:rsidRDefault="00C84455" w:rsidP="00C84455">
            <w:pPr>
              <w:pStyle w:val="2024TABLETEXT"/>
              <w:framePr w:hSpace="0" w:wrap="auto" w:vAnchor="margin" w:yAlign="inline"/>
              <w:suppressOverlap w:val="0"/>
            </w:pPr>
            <w:r w:rsidRPr="0054775B">
              <w:t>Manikam 2016</w:t>
            </w:r>
          </w:p>
        </w:tc>
        <w:tc>
          <w:tcPr>
            <w:tcW w:w="758" w:type="pct"/>
            <w:tcBorders>
              <w:top w:val="single" w:sz="6" w:space="0" w:color="000000"/>
              <w:left w:val="nil"/>
              <w:bottom w:val="single" w:sz="6" w:space="0" w:color="000000"/>
              <w:right w:val="nil"/>
            </w:tcBorders>
            <w:shd w:val="clear" w:color="auto" w:fill="auto"/>
            <w:vAlign w:val="center"/>
          </w:tcPr>
          <w:p w14:paraId="59232D0E" w14:textId="7D258A15" w:rsidR="00C84455" w:rsidRPr="0054775B" w:rsidRDefault="00C84455" w:rsidP="00C84455">
            <w:pPr>
              <w:pStyle w:val="2024TABLETEXT"/>
              <w:framePr w:hSpace="0" w:wrap="auto" w:vAnchor="margin" w:yAlign="inline"/>
              <w:suppressOverlap w:val="0"/>
            </w:pPr>
            <w:r w:rsidRPr="0054775B">
              <w:t>Effect sizes NR.</w:t>
            </w:r>
          </w:p>
        </w:tc>
        <w:tc>
          <w:tcPr>
            <w:tcW w:w="455" w:type="pct"/>
            <w:tcBorders>
              <w:top w:val="single" w:sz="6" w:space="0" w:color="000000"/>
              <w:left w:val="nil"/>
              <w:bottom w:val="single" w:sz="6" w:space="0" w:color="000000"/>
              <w:right w:val="nil"/>
            </w:tcBorders>
            <w:vAlign w:val="center"/>
          </w:tcPr>
          <w:p w14:paraId="35845D02" w14:textId="618A7AF3" w:rsidR="00C84455" w:rsidRPr="0054775B" w:rsidRDefault="00C84455" w:rsidP="00C84455">
            <w:pPr>
              <w:pStyle w:val="2024TABLETEXT"/>
              <w:framePr w:hSpace="0" w:wrap="auto" w:vAnchor="margin" w:yAlign="inline"/>
              <w:suppressOverlap w:val="0"/>
            </w:pPr>
            <w:r w:rsidRPr="0054775B">
              <w:t>64 (1)</w:t>
            </w:r>
          </w:p>
        </w:tc>
        <w:tc>
          <w:tcPr>
            <w:tcW w:w="454" w:type="pct"/>
            <w:tcBorders>
              <w:top w:val="single" w:sz="6" w:space="0" w:color="000000"/>
              <w:left w:val="nil"/>
              <w:bottom w:val="single" w:sz="6" w:space="0" w:color="000000"/>
              <w:right w:val="nil"/>
            </w:tcBorders>
            <w:vAlign w:val="center"/>
          </w:tcPr>
          <w:p w14:paraId="31F0F749" w14:textId="1EE0DE3D" w:rsidR="00C84455" w:rsidRPr="0054775B" w:rsidRDefault="00C84455" w:rsidP="00C84455">
            <w:pPr>
              <w:pStyle w:val="2024TABLETEXT"/>
              <w:framePr w:hSpace="0" w:wrap="auto" w:vAnchor="margin" w:yAlign="inline"/>
              <w:suppressOverlap w:val="0"/>
              <w:rPr>
                <w:rFonts w:cs="Cambria Math"/>
                <w:color w:val="000000" w:themeColor="text1"/>
                <w:sz w:val="20"/>
                <w:szCs w:val="20"/>
              </w:rPr>
            </w:pPr>
            <w:r w:rsidRPr="00306BF6">
              <w:rPr>
                <w:rFonts w:ascii="Cambria Math" w:hAnsi="Cambria Math" w:cs="Cambria Math"/>
                <w:sz w:val="22"/>
                <w:szCs w:val="22"/>
              </w:rPr>
              <w:t>⨁</w:t>
            </w:r>
            <w:r w:rsidRPr="0054775B">
              <w:rPr>
                <w:rFonts w:ascii="Segoe UI Symbol" w:hAnsi="Segoe UI Symbol" w:cs="Segoe UI Symbol"/>
              </w:rPr>
              <w:t>◯◯◯</w:t>
            </w:r>
            <w:r w:rsidRPr="0054775B">
              <w:br/>
              <w:t>VERY LOW</w:t>
            </w:r>
            <w:r w:rsidR="00397C89" w:rsidRPr="004915EF">
              <w:rPr>
                <w:vertAlign w:val="superscript"/>
              </w:rPr>
              <w:t>c</w:t>
            </w:r>
          </w:p>
        </w:tc>
        <w:tc>
          <w:tcPr>
            <w:tcW w:w="959" w:type="pct"/>
            <w:tcBorders>
              <w:top w:val="single" w:sz="6" w:space="0" w:color="000000"/>
              <w:left w:val="nil"/>
              <w:bottom w:val="single" w:sz="6" w:space="0" w:color="000000"/>
              <w:right w:val="nil"/>
            </w:tcBorders>
            <w:vAlign w:val="center"/>
          </w:tcPr>
          <w:p w14:paraId="044B7208" w14:textId="23225EBF" w:rsidR="00C84455" w:rsidRPr="001428E8" w:rsidRDefault="00C84455" w:rsidP="00C84455">
            <w:pPr>
              <w:pStyle w:val="2024TABLETEXT"/>
              <w:framePr w:hSpace="0" w:wrap="auto" w:vAnchor="margin" w:yAlign="inline"/>
              <w:suppressOverlap w:val="0"/>
              <w:rPr>
                <w:color w:val="FF0000"/>
              </w:rPr>
            </w:pPr>
            <w:r w:rsidRPr="00D65A94">
              <w:t xml:space="preserve">The evidence is very uncertain about the effect of zinc on the number of </w:t>
            </w:r>
            <w:r w:rsidR="00CB0288">
              <w:t xml:space="preserve">children with Down’s syndrome who have </w:t>
            </w:r>
            <w:r w:rsidR="00D65A94">
              <w:t>recurrent  URTI</w:t>
            </w:r>
            <w:r w:rsidRPr="00D65A94">
              <w:t>.</w:t>
            </w:r>
          </w:p>
        </w:tc>
      </w:tr>
      <w:tr w:rsidR="002B69D4" w:rsidRPr="0054775B" w14:paraId="70576A3C" w14:textId="77777777" w:rsidTr="00555107">
        <w:trPr>
          <w:cantSplit/>
        </w:trPr>
        <w:tc>
          <w:tcPr>
            <w:tcW w:w="303" w:type="pct"/>
            <w:vMerge w:val="restart"/>
            <w:tcBorders>
              <w:top w:val="single" w:sz="6" w:space="0" w:color="000000"/>
              <w:left w:val="nil"/>
              <w:right w:val="nil"/>
            </w:tcBorders>
            <w:vAlign w:val="center"/>
          </w:tcPr>
          <w:p w14:paraId="41A71F31" w14:textId="327B62E4" w:rsidR="00C84455" w:rsidRPr="0054775B" w:rsidRDefault="006D0F00" w:rsidP="00C84455">
            <w:pPr>
              <w:pStyle w:val="2024TABLETEXT"/>
              <w:framePr w:hSpace="0" w:wrap="auto" w:vAnchor="margin" w:yAlign="inline"/>
              <w:suppressOverlap w:val="0"/>
            </w:pPr>
            <w:r w:rsidRPr="0054775B">
              <w:t>9</w:t>
            </w:r>
          </w:p>
        </w:tc>
        <w:tc>
          <w:tcPr>
            <w:tcW w:w="1616" w:type="pct"/>
            <w:tcBorders>
              <w:top w:val="single" w:sz="6" w:space="0" w:color="000000"/>
              <w:left w:val="nil"/>
              <w:bottom w:val="single" w:sz="6" w:space="0" w:color="000000"/>
              <w:right w:val="nil"/>
            </w:tcBorders>
            <w:vAlign w:val="center"/>
          </w:tcPr>
          <w:p w14:paraId="43646BCC" w14:textId="2B8DBC50" w:rsidR="00C84455" w:rsidRPr="0054775B" w:rsidRDefault="00C84455" w:rsidP="00C84455">
            <w:pPr>
              <w:pStyle w:val="2024TABLETEXT"/>
              <w:framePr w:hSpace="0" w:wrap="auto" w:vAnchor="margin" w:yAlign="inline"/>
              <w:suppressOverlap w:val="0"/>
              <w:rPr>
                <w:b/>
                <w:bCs/>
              </w:rPr>
            </w:pPr>
            <w:r w:rsidRPr="0054775B">
              <w:rPr>
                <w:b/>
                <w:bCs/>
              </w:rPr>
              <w:t>Overall severity of symptoms</w:t>
            </w:r>
          </w:p>
        </w:tc>
        <w:tc>
          <w:tcPr>
            <w:tcW w:w="455" w:type="pct"/>
            <w:tcBorders>
              <w:top w:val="single" w:sz="6" w:space="0" w:color="000000"/>
              <w:left w:val="nil"/>
              <w:bottom w:val="single" w:sz="6" w:space="0" w:color="000000"/>
              <w:right w:val="nil"/>
            </w:tcBorders>
            <w:vAlign w:val="center"/>
          </w:tcPr>
          <w:p w14:paraId="7E885882" w14:textId="70C009F8" w:rsidR="00C84455" w:rsidRPr="0054775B" w:rsidRDefault="00C84455" w:rsidP="00C84455">
            <w:pPr>
              <w:pStyle w:val="2024TABLETEXT"/>
              <w:framePr w:hSpace="0" w:wrap="auto" w:vAnchor="margin" w:yAlign="inline"/>
              <w:suppressOverlap w:val="0"/>
            </w:pPr>
          </w:p>
        </w:tc>
        <w:tc>
          <w:tcPr>
            <w:tcW w:w="758" w:type="pct"/>
            <w:tcBorders>
              <w:top w:val="single" w:sz="6" w:space="0" w:color="000000"/>
              <w:left w:val="nil"/>
              <w:bottom w:val="single" w:sz="6" w:space="0" w:color="000000"/>
              <w:right w:val="nil"/>
            </w:tcBorders>
            <w:shd w:val="clear" w:color="auto" w:fill="auto"/>
            <w:vAlign w:val="center"/>
          </w:tcPr>
          <w:p w14:paraId="4FB8668A" w14:textId="73C53CF2" w:rsidR="00C84455" w:rsidRPr="0054775B" w:rsidRDefault="00C84455" w:rsidP="00C84455">
            <w:pPr>
              <w:pStyle w:val="2024TABLETEXT"/>
              <w:framePr w:hSpace="0" w:wrap="auto" w:vAnchor="margin" w:yAlign="inline"/>
              <w:suppressOverlap w:val="0"/>
            </w:pPr>
          </w:p>
        </w:tc>
        <w:tc>
          <w:tcPr>
            <w:tcW w:w="455" w:type="pct"/>
            <w:tcBorders>
              <w:top w:val="single" w:sz="6" w:space="0" w:color="000000"/>
              <w:left w:val="nil"/>
              <w:bottom w:val="single" w:sz="6" w:space="0" w:color="000000"/>
              <w:right w:val="nil"/>
            </w:tcBorders>
            <w:vAlign w:val="center"/>
          </w:tcPr>
          <w:p w14:paraId="7042AAF3" w14:textId="7B0E6F00" w:rsidR="00C84455" w:rsidRPr="0054775B" w:rsidRDefault="00C84455" w:rsidP="00C84455">
            <w:pPr>
              <w:pStyle w:val="2024TABLETEXT"/>
              <w:framePr w:hSpace="0" w:wrap="auto" w:vAnchor="margin" w:yAlign="inline"/>
              <w:suppressOverlap w:val="0"/>
            </w:pPr>
          </w:p>
        </w:tc>
        <w:tc>
          <w:tcPr>
            <w:tcW w:w="454" w:type="pct"/>
            <w:tcBorders>
              <w:top w:val="single" w:sz="6" w:space="0" w:color="000000"/>
              <w:left w:val="nil"/>
              <w:bottom w:val="single" w:sz="6" w:space="0" w:color="000000"/>
              <w:right w:val="nil"/>
            </w:tcBorders>
            <w:vAlign w:val="center"/>
          </w:tcPr>
          <w:p w14:paraId="48A51EEB" w14:textId="3A95660B" w:rsidR="00C84455" w:rsidRPr="0054775B" w:rsidRDefault="00C84455" w:rsidP="00C84455">
            <w:pPr>
              <w:pStyle w:val="2024TABLETEXT"/>
              <w:framePr w:hSpace="0" w:wrap="auto" w:vAnchor="margin" w:yAlign="inline"/>
              <w:suppressOverlap w:val="0"/>
            </w:pPr>
          </w:p>
        </w:tc>
        <w:tc>
          <w:tcPr>
            <w:tcW w:w="959" w:type="pct"/>
            <w:tcBorders>
              <w:top w:val="single" w:sz="6" w:space="0" w:color="000000"/>
              <w:left w:val="nil"/>
              <w:bottom w:val="single" w:sz="6" w:space="0" w:color="000000"/>
              <w:right w:val="nil"/>
            </w:tcBorders>
            <w:vAlign w:val="center"/>
          </w:tcPr>
          <w:p w14:paraId="019FF3C4" w14:textId="777E126A" w:rsidR="00C84455" w:rsidRPr="0054775B" w:rsidRDefault="00C84455" w:rsidP="00C84455">
            <w:pPr>
              <w:pStyle w:val="2024TABLETEXT"/>
              <w:framePr w:hSpace="0" w:wrap="auto" w:vAnchor="margin" w:yAlign="inline"/>
              <w:suppressOverlap w:val="0"/>
            </w:pPr>
          </w:p>
        </w:tc>
      </w:tr>
      <w:tr w:rsidR="002B69D4" w:rsidRPr="0054775B" w14:paraId="1FBC33CF" w14:textId="77777777" w:rsidTr="00555107">
        <w:trPr>
          <w:cantSplit/>
          <w:trHeight w:val="559"/>
        </w:trPr>
        <w:tc>
          <w:tcPr>
            <w:tcW w:w="303" w:type="pct"/>
            <w:vMerge/>
            <w:tcBorders>
              <w:left w:val="nil"/>
              <w:bottom w:val="single" w:sz="6" w:space="0" w:color="000000"/>
              <w:right w:val="nil"/>
            </w:tcBorders>
            <w:vAlign w:val="center"/>
          </w:tcPr>
          <w:p w14:paraId="64937D4D" w14:textId="48CC0857" w:rsidR="00896998" w:rsidRPr="0054775B" w:rsidRDefault="00896998" w:rsidP="00896998">
            <w:pPr>
              <w:pStyle w:val="2024TABLETEXT"/>
              <w:framePr w:hSpace="0" w:wrap="auto" w:vAnchor="margin" w:yAlign="inline"/>
              <w:suppressOverlap w:val="0"/>
            </w:pPr>
          </w:p>
        </w:tc>
        <w:tc>
          <w:tcPr>
            <w:tcW w:w="1616" w:type="pct"/>
            <w:tcBorders>
              <w:top w:val="single" w:sz="6" w:space="0" w:color="000000"/>
              <w:left w:val="nil"/>
              <w:bottom w:val="single" w:sz="6" w:space="0" w:color="000000"/>
              <w:right w:val="nil"/>
            </w:tcBorders>
            <w:vAlign w:val="center"/>
          </w:tcPr>
          <w:p w14:paraId="10BDD107" w14:textId="6F65C78C" w:rsidR="00896998" w:rsidRPr="0054775B" w:rsidRDefault="00896998" w:rsidP="00896998">
            <w:pPr>
              <w:pStyle w:val="2024TABLETEXT"/>
              <w:framePr w:hSpace="0" w:wrap="auto" w:vAnchor="margin" w:yAlign="inline"/>
              <w:spacing w:after="120"/>
              <w:ind w:left="364"/>
              <w:suppressOverlap w:val="0"/>
              <w:rPr>
                <w:b/>
                <w:bCs/>
              </w:rPr>
            </w:pPr>
            <w:r w:rsidRPr="0054775B">
              <w:rPr>
                <w:b/>
                <w:bCs/>
              </w:rPr>
              <w:t>Per cent (%) predicted forced expiratory volume in one second (FEV1)</w:t>
            </w:r>
          </w:p>
          <w:p w14:paraId="53739B40" w14:textId="02299821" w:rsidR="00896998" w:rsidRPr="0054775B" w:rsidRDefault="00896998" w:rsidP="00896998">
            <w:pPr>
              <w:pStyle w:val="2024TABLETEXT"/>
              <w:framePr w:hSpace="0" w:wrap="auto" w:vAnchor="margin" w:yAlign="inline"/>
              <w:ind w:left="648"/>
              <w:suppressOverlap w:val="0"/>
            </w:pPr>
            <w:r w:rsidRPr="0054775B">
              <w:rPr>
                <w:b/>
                <w:bCs/>
              </w:rPr>
              <w:t>Condition:</w:t>
            </w:r>
            <w:r w:rsidRPr="0054775B">
              <w:t xml:space="preserve"> Pulmonary infection</w:t>
            </w:r>
          </w:p>
          <w:p w14:paraId="1517C723" w14:textId="70EAA141" w:rsidR="00896998" w:rsidRPr="0054775B" w:rsidRDefault="00896998" w:rsidP="00896998">
            <w:pPr>
              <w:pStyle w:val="2024TABLETEXT"/>
              <w:framePr w:hSpace="0" w:wrap="auto" w:vAnchor="margin" w:yAlign="inline"/>
              <w:ind w:left="648"/>
              <w:suppressOverlap w:val="0"/>
            </w:pPr>
            <w:r w:rsidRPr="0054775B">
              <w:rPr>
                <w:b/>
                <w:bCs/>
              </w:rPr>
              <w:t>Population:</w:t>
            </w:r>
            <w:r w:rsidRPr="0054775B">
              <w:t xml:space="preserve"> Children with cystic fibrosis</w:t>
            </w:r>
          </w:p>
          <w:p w14:paraId="75F4E841" w14:textId="2FFA70CB" w:rsidR="00896998" w:rsidRPr="0054775B" w:rsidRDefault="00896998" w:rsidP="00896998">
            <w:pPr>
              <w:pStyle w:val="2024TABLETEXT"/>
              <w:framePr w:hSpace="0" w:wrap="auto" w:vAnchor="margin" w:yAlign="inline"/>
              <w:ind w:left="648"/>
              <w:suppressOverlap w:val="0"/>
            </w:pPr>
            <w:r w:rsidRPr="0054775B">
              <w:rPr>
                <w:b/>
                <w:bCs/>
              </w:rPr>
              <w:lastRenderedPageBreak/>
              <w:t>Dose:</w:t>
            </w:r>
            <w:r w:rsidRPr="0054775B">
              <w:t xml:space="preserve"> 30mg zinc per day </w:t>
            </w:r>
          </w:p>
          <w:p w14:paraId="093AE1CC" w14:textId="4F7EF28F" w:rsidR="00896998" w:rsidRPr="0054775B" w:rsidRDefault="00896998" w:rsidP="00896998">
            <w:pPr>
              <w:pStyle w:val="2024TABLETEXT"/>
              <w:framePr w:hSpace="0" w:wrap="auto" w:vAnchor="margin" w:yAlign="inline"/>
              <w:ind w:left="648"/>
              <w:suppressOverlap w:val="0"/>
            </w:pPr>
            <w:r w:rsidRPr="0054775B">
              <w:rPr>
                <w:b/>
                <w:bCs/>
              </w:rPr>
              <w:t xml:space="preserve">Follow-up: </w:t>
            </w:r>
            <w:r w:rsidRPr="0054775B">
              <w:t>24 months</w:t>
            </w:r>
          </w:p>
        </w:tc>
        <w:tc>
          <w:tcPr>
            <w:tcW w:w="455" w:type="pct"/>
            <w:tcBorders>
              <w:top w:val="single" w:sz="6" w:space="0" w:color="000000"/>
              <w:left w:val="nil"/>
              <w:bottom w:val="single" w:sz="6" w:space="0" w:color="000000"/>
              <w:right w:val="nil"/>
            </w:tcBorders>
            <w:vAlign w:val="center"/>
          </w:tcPr>
          <w:p w14:paraId="32F4F506" w14:textId="292EE292" w:rsidR="00896998" w:rsidRPr="0054775B" w:rsidRDefault="00896998" w:rsidP="00896998">
            <w:pPr>
              <w:pStyle w:val="2024TABLETEXT"/>
              <w:framePr w:hSpace="0" w:wrap="auto" w:vAnchor="margin" w:yAlign="inline"/>
              <w:suppressOverlap w:val="0"/>
            </w:pPr>
            <w:r w:rsidRPr="0054775B">
              <w:lastRenderedPageBreak/>
              <w:t>Hurley 2020</w:t>
            </w:r>
          </w:p>
        </w:tc>
        <w:tc>
          <w:tcPr>
            <w:tcW w:w="758" w:type="pct"/>
            <w:tcBorders>
              <w:top w:val="single" w:sz="6" w:space="0" w:color="000000"/>
              <w:left w:val="nil"/>
              <w:bottom w:val="single" w:sz="6" w:space="0" w:color="000000"/>
              <w:right w:val="nil"/>
            </w:tcBorders>
            <w:shd w:val="clear" w:color="auto" w:fill="auto"/>
            <w:vAlign w:val="center"/>
          </w:tcPr>
          <w:p w14:paraId="1736CB25" w14:textId="767EE711" w:rsidR="001979BC" w:rsidRPr="0054775B" w:rsidRDefault="001979BC" w:rsidP="00B47431">
            <w:pPr>
              <w:pStyle w:val="2024TABLETEXT"/>
              <w:framePr w:hSpace="0" w:wrap="auto" w:vAnchor="margin" w:yAlign="inline"/>
              <w:suppressOverlap w:val="0"/>
            </w:pPr>
            <w:r>
              <w:t>Study 1</w:t>
            </w:r>
            <w:r w:rsidR="00B50A68">
              <w:t>:</w:t>
            </w:r>
            <w:r w:rsidR="00B47431" w:rsidRPr="0054775B">
              <w:t xml:space="preserve"> MD </w:t>
            </w:r>
            <w:r w:rsidR="00B47431">
              <w:t xml:space="preserve">= </w:t>
            </w:r>
            <w:r w:rsidR="00B47431" w:rsidRPr="0054775B">
              <w:t xml:space="preserve">−5.46 </w:t>
            </w:r>
            <w:r w:rsidR="00896998" w:rsidRPr="0054775B">
              <w:t>(</w:t>
            </w:r>
            <w:r w:rsidR="00EC791A" w:rsidRPr="0054775B">
              <w:t>−</w:t>
            </w:r>
            <w:r w:rsidR="00896998" w:rsidRPr="0054775B">
              <w:t>19.44</w:t>
            </w:r>
            <w:r w:rsidR="00DB33BE">
              <w:t>,</w:t>
            </w:r>
            <w:r w:rsidR="00896998" w:rsidRPr="0054775B">
              <w:t xml:space="preserve"> 8.52)</w:t>
            </w:r>
            <w:r w:rsidR="007F1333">
              <w:t>§</w:t>
            </w:r>
          </w:p>
          <w:p w14:paraId="0B12F3A7" w14:textId="77777777" w:rsidR="00555107" w:rsidRDefault="00555107" w:rsidP="00896998">
            <w:pPr>
              <w:pStyle w:val="2024TABLETEXT"/>
              <w:framePr w:hSpace="0" w:wrap="auto" w:vAnchor="margin" w:yAlign="inline"/>
              <w:suppressOverlap w:val="0"/>
            </w:pPr>
          </w:p>
          <w:p w14:paraId="7A68BD92" w14:textId="47776857" w:rsidR="00896998" w:rsidRPr="0054775B" w:rsidRDefault="001979BC" w:rsidP="00896998">
            <w:pPr>
              <w:pStyle w:val="2024TABLETEXT"/>
              <w:framePr w:hSpace="0" w:wrap="auto" w:vAnchor="margin" w:yAlign="inline"/>
              <w:suppressOverlap w:val="0"/>
            </w:pPr>
            <w:r>
              <w:lastRenderedPageBreak/>
              <w:t>Study 2</w:t>
            </w:r>
            <w:r w:rsidR="00B50A68">
              <w:t xml:space="preserve">: </w:t>
            </w:r>
            <w:r w:rsidR="000D12B1">
              <w:t>M</w:t>
            </w:r>
            <w:r w:rsidR="00896998" w:rsidRPr="0054775B">
              <w:t xml:space="preserve">edian (IQR) </w:t>
            </w:r>
            <w:r w:rsidR="000D12B1" w:rsidRPr="0054775B">
              <w:t>predicted</w:t>
            </w:r>
            <w:r w:rsidR="00896998" w:rsidRPr="0054775B">
              <w:t xml:space="preserve"> FEV1 % </w:t>
            </w:r>
            <w:r w:rsidR="00CE29AC">
              <w:t>=</w:t>
            </w:r>
            <w:r w:rsidR="00896998" w:rsidRPr="0054775B" w:rsidDel="00B50A68">
              <w:t xml:space="preserve"> </w:t>
            </w:r>
            <w:r w:rsidR="00896998" w:rsidRPr="0054775B">
              <w:t xml:space="preserve">8.97% </w:t>
            </w:r>
            <w:r w:rsidR="00DB33BE">
              <w:t>(</w:t>
            </w:r>
            <w:r w:rsidR="00DB33BE" w:rsidRPr="0054775B">
              <w:t>−</w:t>
            </w:r>
            <w:r w:rsidR="00896998" w:rsidRPr="0054775B">
              <w:t>18.23%</w:t>
            </w:r>
            <w:r w:rsidR="00DB33BE">
              <w:t>,</w:t>
            </w:r>
            <w:r w:rsidR="00896998" w:rsidRPr="0054775B">
              <w:t xml:space="preserve"> 0.33%) lower than baseline in the zinc group</w:t>
            </w:r>
            <w:r w:rsidR="00555107">
              <w:t xml:space="preserve">; </w:t>
            </w:r>
            <w:r w:rsidR="00896998" w:rsidRPr="0054775B">
              <w:t>9.55% (</w:t>
            </w:r>
            <w:r w:rsidR="00DB33BE" w:rsidRPr="0054775B">
              <w:t>−</w:t>
            </w:r>
            <w:r w:rsidR="00896998" w:rsidRPr="0054775B">
              <w:t>9.59%</w:t>
            </w:r>
            <w:r w:rsidR="00DB33BE">
              <w:t>,</w:t>
            </w:r>
            <w:r w:rsidR="00896998" w:rsidRPr="0054775B">
              <w:t xml:space="preserve"> 12.88%) higher in the placebo group</w:t>
            </w:r>
            <w:r w:rsidR="007F1333">
              <w:t>§</w:t>
            </w:r>
          </w:p>
        </w:tc>
        <w:tc>
          <w:tcPr>
            <w:tcW w:w="455" w:type="pct"/>
            <w:tcBorders>
              <w:top w:val="single" w:sz="6" w:space="0" w:color="000000"/>
              <w:left w:val="nil"/>
              <w:bottom w:val="single" w:sz="6" w:space="0" w:color="000000"/>
              <w:right w:val="nil"/>
            </w:tcBorders>
            <w:vAlign w:val="center"/>
          </w:tcPr>
          <w:p w14:paraId="1F3D7471" w14:textId="6DBE15DC" w:rsidR="00896998" w:rsidRPr="0054775B" w:rsidRDefault="00896998" w:rsidP="00896998">
            <w:pPr>
              <w:pStyle w:val="2024TABLETEXT"/>
              <w:framePr w:hSpace="0" w:wrap="auto" w:vAnchor="margin" w:yAlign="inline"/>
              <w:suppressOverlap w:val="0"/>
            </w:pPr>
            <w:r w:rsidRPr="0054775B">
              <w:lastRenderedPageBreak/>
              <w:t>62 (2)</w:t>
            </w:r>
          </w:p>
        </w:tc>
        <w:tc>
          <w:tcPr>
            <w:tcW w:w="454" w:type="pct"/>
            <w:tcBorders>
              <w:top w:val="single" w:sz="6" w:space="0" w:color="000000"/>
              <w:left w:val="nil"/>
              <w:bottom w:val="single" w:sz="6" w:space="0" w:color="000000"/>
              <w:right w:val="nil"/>
            </w:tcBorders>
            <w:vAlign w:val="center"/>
          </w:tcPr>
          <w:p w14:paraId="13A8C3D5" w14:textId="1409D21F" w:rsidR="00896998" w:rsidRPr="0054775B" w:rsidRDefault="00896998" w:rsidP="00896998">
            <w:pPr>
              <w:pStyle w:val="2024TABLETEXT"/>
              <w:framePr w:hSpace="0" w:wrap="auto" w:vAnchor="margin" w:yAlign="inline"/>
              <w:suppressOverlap w:val="0"/>
            </w:pPr>
            <w:r w:rsidRPr="00306BF6">
              <w:rPr>
                <w:rFonts w:ascii="Cambria Math" w:hAnsi="Cambria Math" w:cs="Cambria Math"/>
                <w:sz w:val="22"/>
                <w:szCs w:val="22"/>
              </w:rPr>
              <w:t>⨁</w:t>
            </w:r>
            <w:r w:rsidRPr="0054775B">
              <w:rPr>
                <w:rFonts w:ascii="Segoe UI Symbol" w:hAnsi="Segoe UI Symbol" w:cs="Segoe UI Symbol"/>
              </w:rPr>
              <w:t>◯◯◯</w:t>
            </w:r>
            <w:r w:rsidRPr="0054775B">
              <w:br/>
              <w:t>VERY LOW</w:t>
            </w:r>
            <w:r w:rsidR="00397C89">
              <w:rPr>
                <w:vertAlign w:val="superscript"/>
              </w:rPr>
              <w:t>d</w:t>
            </w:r>
          </w:p>
        </w:tc>
        <w:tc>
          <w:tcPr>
            <w:tcW w:w="959" w:type="pct"/>
            <w:tcBorders>
              <w:top w:val="single" w:sz="6" w:space="0" w:color="000000"/>
              <w:left w:val="nil"/>
              <w:bottom w:val="single" w:sz="6" w:space="0" w:color="000000"/>
              <w:right w:val="nil"/>
            </w:tcBorders>
            <w:vAlign w:val="center"/>
          </w:tcPr>
          <w:p w14:paraId="4C6D7F5F" w14:textId="3918137E" w:rsidR="00896998" w:rsidRPr="00D65A94" w:rsidRDefault="00896998" w:rsidP="00896998">
            <w:pPr>
              <w:pStyle w:val="2024TABLETEXT"/>
              <w:framePr w:hSpace="0" w:wrap="auto" w:vAnchor="margin" w:yAlign="inline"/>
              <w:suppressOverlap w:val="0"/>
            </w:pPr>
            <w:r w:rsidRPr="00D65A94">
              <w:t xml:space="preserve">The evidence is very uncertain about the effect of zinc on </w:t>
            </w:r>
            <w:r w:rsidR="00D65A94" w:rsidRPr="001428E8">
              <w:t xml:space="preserve">per cent (%) predicted forced expiratory volume in one </w:t>
            </w:r>
            <w:r w:rsidR="00D65A94" w:rsidRPr="001428E8">
              <w:lastRenderedPageBreak/>
              <w:t xml:space="preserve">second (FEV1) </w:t>
            </w:r>
            <w:r w:rsidR="00CB0288">
              <w:t>in children with cystic fibrosis and r</w:t>
            </w:r>
            <w:r w:rsidR="00D65A94" w:rsidRPr="001428E8">
              <w:t xml:space="preserve">ecurrent </w:t>
            </w:r>
            <w:r w:rsidRPr="00D65A94">
              <w:t>pulmonary infection.</w:t>
            </w:r>
          </w:p>
        </w:tc>
      </w:tr>
      <w:tr w:rsidR="002B69D4" w:rsidRPr="0054775B" w14:paraId="7308065A" w14:textId="77777777" w:rsidTr="00555107">
        <w:trPr>
          <w:cantSplit/>
          <w:trHeight w:val="559"/>
        </w:trPr>
        <w:tc>
          <w:tcPr>
            <w:tcW w:w="303" w:type="pct"/>
            <w:tcBorders>
              <w:left w:val="nil"/>
              <w:bottom w:val="single" w:sz="6" w:space="0" w:color="000000"/>
              <w:right w:val="nil"/>
            </w:tcBorders>
            <w:vAlign w:val="center"/>
          </w:tcPr>
          <w:p w14:paraId="7A3BCB90" w14:textId="77777777" w:rsidR="00D65A94" w:rsidRPr="0054775B" w:rsidRDefault="00D65A94" w:rsidP="00D65A94">
            <w:pPr>
              <w:pStyle w:val="2024TABLETEXT"/>
              <w:framePr w:hSpace="0" w:wrap="auto" w:vAnchor="margin" w:yAlign="inline"/>
              <w:suppressOverlap w:val="0"/>
            </w:pPr>
          </w:p>
        </w:tc>
        <w:tc>
          <w:tcPr>
            <w:tcW w:w="1616" w:type="pct"/>
            <w:tcBorders>
              <w:top w:val="single" w:sz="6" w:space="0" w:color="000000"/>
              <w:left w:val="nil"/>
              <w:bottom w:val="single" w:sz="6" w:space="0" w:color="000000"/>
              <w:right w:val="nil"/>
            </w:tcBorders>
            <w:vAlign w:val="center"/>
          </w:tcPr>
          <w:p w14:paraId="0D24AB74" w14:textId="0D76581A" w:rsidR="00D65A94" w:rsidRPr="0054775B" w:rsidRDefault="00D65A94" w:rsidP="00D65A94">
            <w:pPr>
              <w:pStyle w:val="2024TABLETEXT"/>
              <w:framePr w:hSpace="0" w:wrap="auto" w:vAnchor="margin" w:yAlign="inline"/>
              <w:spacing w:after="120"/>
              <w:ind w:left="364"/>
              <w:suppressOverlap w:val="0"/>
              <w:rPr>
                <w:b/>
                <w:bCs/>
              </w:rPr>
            </w:pPr>
            <w:r w:rsidRPr="0054775B">
              <w:rPr>
                <w:b/>
                <w:bCs/>
              </w:rPr>
              <w:t>Per cent (%) predicted forced vital capacity (FVC)</w:t>
            </w:r>
          </w:p>
          <w:p w14:paraId="52D241CE" w14:textId="77777777" w:rsidR="00D65A94" w:rsidRPr="0054775B" w:rsidRDefault="00D65A94" w:rsidP="00D65A94">
            <w:pPr>
              <w:pStyle w:val="2024TABLETEXT"/>
              <w:framePr w:hSpace="0" w:wrap="auto" w:vAnchor="margin" w:yAlign="inline"/>
              <w:ind w:left="648"/>
              <w:suppressOverlap w:val="0"/>
            </w:pPr>
            <w:r w:rsidRPr="0054775B">
              <w:rPr>
                <w:b/>
                <w:bCs/>
              </w:rPr>
              <w:t>Condition:</w:t>
            </w:r>
            <w:r w:rsidRPr="0054775B">
              <w:t xml:space="preserve"> Pulmonary infection</w:t>
            </w:r>
          </w:p>
          <w:p w14:paraId="67334C4F" w14:textId="77777777" w:rsidR="00D65A94" w:rsidRPr="0054775B" w:rsidRDefault="00D65A94" w:rsidP="00D65A94">
            <w:pPr>
              <w:pStyle w:val="2024TABLETEXT"/>
              <w:framePr w:hSpace="0" w:wrap="auto" w:vAnchor="margin" w:yAlign="inline"/>
              <w:ind w:left="648"/>
              <w:suppressOverlap w:val="0"/>
            </w:pPr>
            <w:r w:rsidRPr="0054775B">
              <w:rPr>
                <w:b/>
                <w:bCs/>
              </w:rPr>
              <w:t>Population:</w:t>
            </w:r>
            <w:r w:rsidRPr="0054775B">
              <w:t xml:space="preserve"> Children with cystic fibrosis</w:t>
            </w:r>
          </w:p>
          <w:p w14:paraId="36034FB0" w14:textId="77777777" w:rsidR="00D65A94" w:rsidRPr="0054775B" w:rsidRDefault="00D65A94" w:rsidP="00D65A94">
            <w:pPr>
              <w:pStyle w:val="2024TABLETEXT"/>
              <w:framePr w:hSpace="0" w:wrap="auto" w:vAnchor="margin" w:yAlign="inline"/>
              <w:ind w:left="648"/>
              <w:suppressOverlap w:val="0"/>
            </w:pPr>
            <w:r w:rsidRPr="0054775B">
              <w:rPr>
                <w:b/>
                <w:bCs/>
              </w:rPr>
              <w:t>Dose:</w:t>
            </w:r>
            <w:r w:rsidRPr="0054775B">
              <w:t xml:space="preserve"> 30mg zinc per day </w:t>
            </w:r>
          </w:p>
          <w:p w14:paraId="62FD3F35" w14:textId="3814D660" w:rsidR="00D65A94" w:rsidRPr="0054775B" w:rsidRDefault="00D65A94" w:rsidP="00D65A94">
            <w:pPr>
              <w:pStyle w:val="2024TABLETEXT"/>
              <w:framePr w:hSpace="0" w:wrap="auto" w:vAnchor="margin" w:yAlign="inline"/>
              <w:ind w:left="648"/>
              <w:suppressOverlap w:val="0"/>
              <w:rPr>
                <w:b/>
                <w:bCs/>
              </w:rPr>
            </w:pPr>
            <w:r w:rsidRPr="0054775B">
              <w:rPr>
                <w:b/>
                <w:bCs/>
              </w:rPr>
              <w:t xml:space="preserve">Follow-up: </w:t>
            </w:r>
            <w:r w:rsidRPr="0054775B">
              <w:t xml:space="preserve">24 </w:t>
            </w:r>
            <w:r w:rsidRPr="0054775B">
              <w:rPr>
                <w:b/>
                <w:bCs/>
              </w:rPr>
              <w:t>months</w:t>
            </w:r>
          </w:p>
        </w:tc>
        <w:tc>
          <w:tcPr>
            <w:tcW w:w="455" w:type="pct"/>
            <w:tcBorders>
              <w:top w:val="single" w:sz="6" w:space="0" w:color="000000"/>
              <w:left w:val="nil"/>
              <w:bottom w:val="single" w:sz="6" w:space="0" w:color="000000"/>
              <w:right w:val="nil"/>
            </w:tcBorders>
            <w:vAlign w:val="center"/>
          </w:tcPr>
          <w:p w14:paraId="286EC3AD" w14:textId="3749C46F" w:rsidR="00D65A94" w:rsidRPr="0054775B" w:rsidRDefault="00D65A94" w:rsidP="00D65A94">
            <w:pPr>
              <w:pStyle w:val="2024TABLETEXT"/>
              <w:framePr w:hSpace="0" w:wrap="auto" w:vAnchor="margin" w:yAlign="inline"/>
              <w:suppressOverlap w:val="0"/>
            </w:pPr>
            <w:r w:rsidRPr="0054775B">
              <w:t>Hurley 2020</w:t>
            </w:r>
          </w:p>
        </w:tc>
        <w:tc>
          <w:tcPr>
            <w:tcW w:w="758" w:type="pct"/>
            <w:tcBorders>
              <w:top w:val="single" w:sz="6" w:space="0" w:color="000000"/>
              <w:left w:val="nil"/>
              <w:bottom w:val="single" w:sz="6" w:space="0" w:color="000000"/>
              <w:right w:val="nil"/>
            </w:tcBorders>
            <w:shd w:val="clear" w:color="auto" w:fill="auto"/>
            <w:vAlign w:val="center"/>
          </w:tcPr>
          <w:p w14:paraId="3C557B25" w14:textId="2FC60199" w:rsidR="00D65A94" w:rsidRPr="0054775B" w:rsidRDefault="00D65A94" w:rsidP="00D65A94">
            <w:pPr>
              <w:pStyle w:val="2024TABLETEXT"/>
              <w:framePr w:hSpace="0" w:wrap="auto" w:vAnchor="margin" w:yAlign="inline"/>
              <w:suppressOverlap w:val="0"/>
            </w:pPr>
            <w:r w:rsidRPr="0054775B">
              <w:t>MD = −1.75 (−13.09</w:t>
            </w:r>
            <w:r>
              <w:t xml:space="preserve">, </w:t>
            </w:r>
            <w:r w:rsidRPr="0054775B">
              <w:t>9.59)</w:t>
            </w:r>
            <w:r w:rsidR="00826D29">
              <w:t>†</w:t>
            </w:r>
            <w:r w:rsidRPr="0054775B">
              <w:t xml:space="preserve"> </w:t>
            </w:r>
          </w:p>
        </w:tc>
        <w:tc>
          <w:tcPr>
            <w:tcW w:w="455" w:type="pct"/>
            <w:tcBorders>
              <w:top w:val="single" w:sz="6" w:space="0" w:color="000000"/>
              <w:left w:val="nil"/>
              <w:bottom w:val="single" w:sz="6" w:space="0" w:color="000000"/>
              <w:right w:val="nil"/>
            </w:tcBorders>
            <w:vAlign w:val="center"/>
          </w:tcPr>
          <w:p w14:paraId="3662163B" w14:textId="605ABC80" w:rsidR="00D65A94" w:rsidRPr="0054775B" w:rsidRDefault="00D65A94" w:rsidP="00D65A94">
            <w:pPr>
              <w:pStyle w:val="2024TABLETEXT"/>
              <w:framePr w:hSpace="0" w:wrap="auto" w:vAnchor="margin" w:yAlign="inline"/>
              <w:suppressOverlap w:val="0"/>
            </w:pPr>
            <w:r w:rsidRPr="0054775B">
              <w:t>25 (1)</w:t>
            </w:r>
          </w:p>
        </w:tc>
        <w:tc>
          <w:tcPr>
            <w:tcW w:w="454" w:type="pct"/>
            <w:tcBorders>
              <w:top w:val="single" w:sz="6" w:space="0" w:color="000000"/>
              <w:left w:val="nil"/>
              <w:bottom w:val="single" w:sz="6" w:space="0" w:color="000000"/>
              <w:right w:val="nil"/>
            </w:tcBorders>
            <w:vAlign w:val="center"/>
          </w:tcPr>
          <w:p w14:paraId="6BFB9C77" w14:textId="0FAEEB29" w:rsidR="00D65A94" w:rsidRPr="0054775B" w:rsidRDefault="00D65A94" w:rsidP="00D65A94">
            <w:pPr>
              <w:pStyle w:val="2024TABLETEXT"/>
              <w:framePr w:hSpace="0" w:wrap="auto" w:vAnchor="margin" w:yAlign="inline"/>
              <w:suppressOverlap w:val="0"/>
              <w:rPr>
                <w:rFonts w:cs="Cambria Math"/>
                <w:sz w:val="24"/>
                <w:szCs w:val="24"/>
              </w:rPr>
            </w:pPr>
            <w:r w:rsidRPr="00306BF6">
              <w:rPr>
                <w:rFonts w:ascii="Cambria Math" w:hAnsi="Cambria Math" w:cs="Cambria Math"/>
                <w:sz w:val="22"/>
                <w:szCs w:val="22"/>
              </w:rPr>
              <w:t>⨁</w:t>
            </w:r>
            <w:r w:rsidRPr="0054775B">
              <w:rPr>
                <w:rFonts w:ascii="Segoe UI Symbol" w:hAnsi="Segoe UI Symbol" w:cs="Segoe UI Symbol"/>
              </w:rPr>
              <w:t>◯◯◯</w:t>
            </w:r>
            <w:r w:rsidRPr="0054775B">
              <w:br/>
              <w:t>VERY LOW</w:t>
            </w:r>
            <w:r w:rsidRPr="004915EF">
              <w:rPr>
                <w:vertAlign w:val="superscript"/>
              </w:rPr>
              <w:t>e</w:t>
            </w:r>
          </w:p>
        </w:tc>
        <w:tc>
          <w:tcPr>
            <w:tcW w:w="959" w:type="pct"/>
            <w:tcBorders>
              <w:top w:val="single" w:sz="6" w:space="0" w:color="000000"/>
              <w:left w:val="nil"/>
              <w:bottom w:val="single" w:sz="6" w:space="0" w:color="000000"/>
              <w:right w:val="nil"/>
            </w:tcBorders>
            <w:vAlign w:val="center"/>
          </w:tcPr>
          <w:p w14:paraId="2EAE6290" w14:textId="61831E52" w:rsidR="00D65A94" w:rsidRPr="001428E8" w:rsidRDefault="00D65A94" w:rsidP="00D65A94">
            <w:pPr>
              <w:pStyle w:val="2024TABLETEXT"/>
              <w:framePr w:hSpace="0" w:wrap="auto" w:vAnchor="margin" w:yAlign="inline"/>
              <w:suppressOverlap w:val="0"/>
              <w:rPr>
                <w:color w:val="FF0000"/>
                <w:highlight w:val="yellow"/>
              </w:rPr>
            </w:pPr>
            <w:r w:rsidRPr="00D65A94">
              <w:t xml:space="preserve">The evidence is very uncertain about the effect of zinc on </w:t>
            </w:r>
            <w:r w:rsidRPr="004A5FBB">
              <w:t xml:space="preserve">per cent (%) predicted forced </w:t>
            </w:r>
            <w:r>
              <w:t>vital capacity</w:t>
            </w:r>
            <w:r w:rsidRPr="004A5FBB">
              <w:t xml:space="preserve"> (F</w:t>
            </w:r>
            <w:r>
              <w:t>VC</w:t>
            </w:r>
            <w:r w:rsidRPr="004A5FBB">
              <w:t xml:space="preserve">) </w:t>
            </w:r>
            <w:r w:rsidR="00CB0288">
              <w:t xml:space="preserve"> in children with cystic fibrosis and r</w:t>
            </w:r>
            <w:r w:rsidR="00CB0288" w:rsidRPr="001428E8">
              <w:t xml:space="preserve">ecurrent </w:t>
            </w:r>
            <w:r w:rsidR="00CB0288" w:rsidRPr="00D65A94">
              <w:t>pulmonary infection.</w:t>
            </w:r>
          </w:p>
        </w:tc>
      </w:tr>
      <w:tr w:rsidR="00FD6150" w:rsidRPr="0054775B" w14:paraId="2F8CD831" w14:textId="77777777" w:rsidTr="00555107">
        <w:trPr>
          <w:cantSplit/>
        </w:trPr>
        <w:tc>
          <w:tcPr>
            <w:tcW w:w="303" w:type="pct"/>
            <w:tcBorders>
              <w:top w:val="single" w:sz="6" w:space="0" w:color="000000"/>
              <w:left w:val="nil"/>
              <w:bottom w:val="single" w:sz="6" w:space="0" w:color="000000"/>
              <w:right w:val="nil"/>
            </w:tcBorders>
            <w:vAlign w:val="center"/>
          </w:tcPr>
          <w:p w14:paraId="45853B89" w14:textId="428D92C1" w:rsidR="00896998" w:rsidRPr="0054775B" w:rsidRDefault="00896998" w:rsidP="00896998">
            <w:pPr>
              <w:pStyle w:val="2024TABLETEXT"/>
              <w:framePr w:hSpace="0" w:wrap="auto" w:vAnchor="margin" w:yAlign="inline"/>
              <w:suppressOverlap w:val="0"/>
            </w:pPr>
            <w:r w:rsidRPr="0054775B">
              <w:t>8</w:t>
            </w:r>
          </w:p>
        </w:tc>
        <w:tc>
          <w:tcPr>
            <w:tcW w:w="1616" w:type="pct"/>
            <w:tcBorders>
              <w:top w:val="single" w:sz="6" w:space="0" w:color="000000"/>
              <w:left w:val="nil"/>
              <w:bottom w:val="single" w:sz="6" w:space="0" w:color="000000"/>
              <w:right w:val="nil"/>
            </w:tcBorders>
            <w:vAlign w:val="center"/>
          </w:tcPr>
          <w:p w14:paraId="2349C931" w14:textId="00EC378C" w:rsidR="00896998" w:rsidRPr="0054775B" w:rsidRDefault="00896998" w:rsidP="00896998">
            <w:pPr>
              <w:pStyle w:val="2024TABLETEXT"/>
              <w:framePr w:hSpace="0" w:wrap="auto" w:vAnchor="margin" w:yAlign="inline"/>
              <w:suppressOverlap w:val="0"/>
              <w:rPr>
                <w:b/>
                <w:bCs/>
              </w:rPr>
            </w:pPr>
            <w:r w:rsidRPr="0054775B">
              <w:rPr>
                <w:b/>
                <w:bCs/>
              </w:rPr>
              <w:t>Time (days) from initiation of treatment to resolution of symptoms</w:t>
            </w:r>
          </w:p>
        </w:tc>
        <w:tc>
          <w:tcPr>
            <w:tcW w:w="455" w:type="pct"/>
            <w:tcBorders>
              <w:top w:val="single" w:sz="6" w:space="0" w:color="000000"/>
              <w:left w:val="nil"/>
              <w:bottom w:val="single" w:sz="6" w:space="0" w:color="000000"/>
              <w:right w:val="nil"/>
            </w:tcBorders>
            <w:vAlign w:val="center"/>
          </w:tcPr>
          <w:p w14:paraId="60B82F25" w14:textId="41FDBAD2" w:rsidR="00896998" w:rsidRPr="0054775B" w:rsidRDefault="00896998" w:rsidP="00896998">
            <w:pPr>
              <w:pStyle w:val="2024TABLETEXT"/>
              <w:framePr w:hSpace="0" w:wrap="auto" w:vAnchor="margin" w:yAlign="inline"/>
              <w:suppressOverlap w:val="0"/>
            </w:pPr>
            <w:r w:rsidRPr="0054775B">
              <w:t>-</w:t>
            </w:r>
          </w:p>
        </w:tc>
        <w:tc>
          <w:tcPr>
            <w:tcW w:w="758" w:type="pct"/>
            <w:tcBorders>
              <w:top w:val="single" w:sz="6" w:space="0" w:color="000000"/>
              <w:left w:val="nil"/>
              <w:bottom w:val="single" w:sz="6" w:space="0" w:color="000000"/>
              <w:right w:val="nil"/>
            </w:tcBorders>
            <w:shd w:val="clear" w:color="auto" w:fill="auto"/>
            <w:vAlign w:val="center"/>
          </w:tcPr>
          <w:p w14:paraId="14F5902F" w14:textId="743A362E" w:rsidR="00896998" w:rsidRPr="0054775B" w:rsidRDefault="00896998" w:rsidP="00896998">
            <w:pPr>
              <w:pStyle w:val="2024TABLETEXT"/>
              <w:framePr w:hSpace="0" w:wrap="auto" w:vAnchor="margin" w:yAlign="inline"/>
              <w:suppressOverlap w:val="0"/>
            </w:pPr>
            <w:r w:rsidRPr="0054775B">
              <w:t>-</w:t>
            </w:r>
          </w:p>
        </w:tc>
        <w:tc>
          <w:tcPr>
            <w:tcW w:w="455" w:type="pct"/>
            <w:tcBorders>
              <w:top w:val="single" w:sz="6" w:space="0" w:color="000000"/>
              <w:left w:val="nil"/>
              <w:bottom w:val="single" w:sz="6" w:space="0" w:color="000000"/>
              <w:right w:val="nil"/>
            </w:tcBorders>
            <w:vAlign w:val="center"/>
          </w:tcPr>
          <w:p w14:paraId="2BA92A93" w14:textId="67088877" w:rsidR="00896998" w:rsidRPr="0054775B" w:rsidRDefault="00896998" w:rsidP="00896998">
            <w:pPr>
              <w:pStyle w:val="2024TABLETEXT"/>
              <w:framePr w:hSpace="0" w:wrap="auto" w:vAnchor="margin" w:yAlign="inline"/>
              <w:suppressOverlap w:val="0"/>
            </w:pPr>
            <w:r w:rsidRPr="0054775B">
              <w:t>-</w:t>
            </w:r>
          </w:p>
        </w:tc>
        <w:tc>
          <w:tcPr>
            <w:tcW w:w="454" w:type="pct"/>
            <w:tcBorders>
              <w:top w:val="single" w:sz="6" w:space="0" w:color="000000"/>
              <w:left w:val="nil"/>
              <w:bottom w:val="single" w:sz="6" w:space="0" w:color="000000"/>
              <w:right w:val="nil"/>
            </w:tcBorders>
            <w:vAlign w:val="center"/>
          </w:tcPr>
          <w:p w14:paraId="13D31888" w14:textId="7DAEB51B" w:rsidR="00896998" w:rsidRPr="0054775B" w:rsidRDefault="00896998" w:rsidP="00896998">
            <w:pPr>
              <w:pStyle w:val="2024TABLETEXT"/>
              <w:framePr w:hSpace="0" w:wrap="auto" w:vAnchor="margin" w:yAlign="inline"/>
              <w:suppressOverlap w:val="0"/>
            </w:pPr>
            <w:r w:rsidRPr="0054775B">
              <w:t>-</w:t>
            </w:r>
          </w:p>
        </w:tc>
        <w:tc>
          <w:tcPr>
            <w:tcW w:w="959" w:type="pct"/>
            <w:tcBorders>
              <w:top w:val="single" w:sz="6" w:space="0" w:color="000000"/>
              <w:left w:val="nil"/>
              <w:bottom w:val="single" w:sz="6" w:space="0" w:color="000000"/>
              <w:right w:val="nil"/>
            </w:tcBorders>
            <w:vAlign w:val="center"/>
          </w:tcPr>
          <w:p w14:paraId="2460C5B1" w14:textId="608B2665" w:rsidR="00896998" w:rsidRPr="0054775B" w:rsidRDefault="00896998" w:rsidP="00896998">
            <w:pPr>
              <w:pStyle w:val="2024TABLETEXT"/>
              <w:framePr w:hSpace="0" w:wrap="auto" w:vAnchor="margin" w:yAlign="inline"/>
              <w:suppressOverlap w:val="0"/>
            </w:pPr>
            <w:r w:rsidRPr="0054775B">
              <w:t xml:space="preserve">No </w:t>
            </w:r>
            <w:r w:rsidR="00BC0B3C">
              <w:t>reviews</w:t>
            </w:r>
            <w:r w:rsidR="00BC0B3C" w:rsidRPr="0054775B">
              <w:t xml:space="preserve"> </w:t>
            </w:r>
            <w:r w:rsidRPr="0054775B">
              <w:t>found. The effect of zinc on time (days) from initiation of treatment to resolution of symptoms in recurrent infections is unknown.</w:t>
            </w:r>
          </w:p>
        </w:tc>
      </w:tr>
      <w:tr w:rsidR="00FD6150" w:rsidRPr="0054775B" w14:paraId="31D16AA8" w14:textId="77777777" w:rsidTr="00555107">
        <w:trPr>
          <w:cantSplit/>
        </w:trPr>
        <w:tc>
          <w:tcPr>
            <w:tcW w:w="303" w:type="pct"/>
            <w:tcBorders>
              <w:top w:val="single" w:sz="6" w:space="0" w:color="000000"/>
              <w:left w:val="nil"/>
              <w:bottom w:val="single" w:sz="6" w:space="0" w:color="000000"/>
              <w:right w:val="nil"/>
            </w:tcBorders>
            <w:vAlign w:val="center"/>
          </w:tcPr>
          <w:p w14:paraId="52562018" w14:textId="4C43CC5B" w:rsidR="00896998" w:rsidRPr="0054775B" w:rsidRDefault="00896998" w:rsidP="00896998">
            <w:pPr>
              <w:pStyle w:val="2024TABLETEXT"/>
              <w:framePr w:hSpace="0" w:wrap="auto" w:vAnchor="margin" w:yAlign="inline"/>
              <w:suppressOverlap w:val="0"/>
            </w:pPr>
            <w:r w:rsidRPr="0054775B">
              <w:t>8</w:t>
            </w:r>
          </w:p>
        </w:tc>
        <w:tc>
          <w:tcPr>
            <w:tcW w:w="1616" w:type="pct"/>
            <w:tcBorders>
              <w:top w:val="single" w:sz="6" w:space="0" w:color="000000"/>
              <w:left w:val="nil"/>
              <w:bottom w:val="single" w:sz="6" w:space="0" w:color="000000"/>
              <w:right w:val="nil"/>
            </w:tcBorders>
            <w:vAlign w:val="center"/>
          </w:tcPr>
          <w:p w14:paraId="4D1A2344" w14:textId="76DE864B" w:rsidR="00896998" w:rsidRPr="0054775B" w:rsidRDefault="00896998" w:rsidP="00896998">
            <w:pPr>
              <w:pStyle w:val="2024TABLETEXT"/>
              <w:framePr w:hSpace="0" w:wrap="auto" w:vAnchor="margin" w:yAlign="inline"/>
              <w:suppressOverlap w:val="0"/>
              <w:rPr>
                <w:b/>
                <w:bCs/>
              </w:rPr>
            </w:pPr>
            <w:r w:rsidRPr="0054775B">
              <w:rPr>
                <w:b/>
                <w:bCs/>
              </w:rPr>
              <w:t>HRQoL</w:t>
            </w:r>
          </w:p>
        </w:tc>
        <w:tc>
          <w:tcPr>
            <w:tcW w:w="455" w:type="pct"/>
            <w:tcBorders>
              <w:top w:val="single" w:sz="6" w:space="0" w:color="000000"/>
              <w:left w:val="nil"/>
              <w:bottom w:val="single" w:sz="6" w:space="0" w:color="000000"/>
              <w:right w:val="nil"/>
            </w:tcBorders>
            <w:vAlign w:val="center"/>
          </w:tcPr>
          <w:p w14:paraId="7EC7CCC7" w14:textId="3DF4D272" w:rsidR="00896998" w:rsidRPr="0054775B" w:rsidRDefault="00896998" w:rsidP="00896998">
            <w:pPr>
              <w:pStyle w:val="2024TABLETEXT"/>
              <w:framePr w:hSpace="0" w:wrap="auto" w:vAnchor="margin" w:yAlign="inline"/>
              <w:suppressOverlap w:val="0"/>
            </w:pPr>
            <w:r w:rsidRPr="0054775B">
              <w:t>-</w:t>
            </w:r>
          </w:p>
        </w:tc>
        <w:tc>
          <w:tcPr>
            <w:tcW w:w="758" w:type="pct"/>
            <w:tcBorders>
              <w:top w:val="single" w:sz="6" w:space="0" w:color="000000"/>
              <w:left w:val="nil"/>
              <w:bottom w:val="single" w:sz="6" w:space="0" w:color="000000"/>
              <w:right w:val="nil"/>
            </w:tcBorders>
            <w:shd w:val="clear" w:color="auto" w:fill="auto"/>
            <w:vAlign w:val="center"/>
          </w:tcPr>
          <w:p w14:paraId="5207EFC5" w14:textId="783D6996" w:rsidR="00896998" w:rsidRPr="0054775B" w:rsidRDefault="00896998" w:rsidP="00896998">
            <w:pPr>
              <w:pStyle w:val="2024TABLETEXT"/>
              <w:framePr w:hSpace="0" w:wrap="auto" w:vAnchor="margin" w:yAlign="inline"/>
              <w:suppressOverlap w:val="0"/>
            </w:pPr>
            <w:r w:rsidRPr="0054775B">
              <w:t>-</w:t>
            </w:r>
          </w:p>
        </w:tc>
        <w:tc>
          <w:tcPr>
            <w:tcW w:w="455" w:type="pct"/>
            <w:tcBorders>
              <w:top w:val="single" w:sz="6" w:space="0" w:color="000000"/>
              <w:left w:val="nil"/>
              <w:bottom w:val="single" w:sz="6" w:space="0" w:color="000000"/>
              <w:right w:val="nil"/>
            </w:tcBorders>
            <w:vAlign w:val="center"/>
          </w:tcPr>
          <w:p w14:paraId="15862D9D" w14:textId="4D682980" w:rsidR="00896998" w:rsidRPr="0054775B" w:rsidRDefault="00896998" w:rsidP="00896998">
            <w:pPr>
              <w:pStyle w:val="2024TABLETEXT"/>
              <w:framePr w:hSpace="0" w:wrap="auto" w:vAnchor="margin" w:yAlign="inline"/>
              <w:suppressOverlap w:val="0"/>
            </w:pPr>
            <w:r w:rsidRPr="0054775B">
              <w:t>-</w:t>
            </w:r>
          </w:p>
        </w:tc>
        <w:tc>
          <w:tcPr>
            <w:tcW w:w="454" w:type="pct"/>
            <w:tcBorders>
              <w:top w:val="single" w:sz="6" w:space="0" w:color="000000"/>
              <w:left w:val="nil"/>
              <w:bottom w:val="single" w:sz="6" w:space="0" w:color="000000"/>
              <w:right w:val="nil"/>
            </w:tcBorders>
            <w:vAlign w:val="center"/>
          </w:tcPr>
          <w:p w14:paraId="579099BB" w14:textId="3266D0D5" w:rsidR="00896998" w:rsidRPr="0054775B" w:rsidRDefault="00896998" w:rsidP="00896998">
            <w:pPr>
              <w:pStyle w:val="2024TABLETEXT"/>
              <w:framePr w:hSpace="0" w:wrap="auto" w:vAnchor="margin" w:yAlign="inline"/>
              <w:suppressOverlap w:val="0"/>
            </w:pPr>
            <w:r w:rsidRPr="0054775B">
              <w:t>-</w:t>
            </w:r>
          </w:p>
        </w:tc>
        <w:tc>
          <w:tcPr>
            <w:tcW w:w="959" w:type="pct"/>
            <w:tcBorders>
              <w:top w:val="single" w:sz="6" w:space="0" w:color="000000"/>
              <w:left w:val="nil"/>
              <w:bottom w:val="single" w:sz="6" w:space="0" w:color="000000"/>
              <w:right w:val="nil"/>
            </w:tcBorders>
            <w:vAlign w:val="center"/>
          </w:tcPr>
          <w:p w14:paraId="61666F87" w14:textId="0F06D812" w:rsidR="00896998" w:rsidRPr="0054775B" w:rsidRDefault="00896998" w:rsidP="00896998">
            <w:pPr>
              <w:pStyle w:val="2024TABLETEXT"/>
              <w:framePr w:hSpace="0" w:wrap="auto" w:vAnchor="margin" w:yAlign="inline"/>
              <w:suppressOverlap w:val="0"/>
            </w:pPr>
            <w:r w:rsidRPr="0054775B">
              <w:t>No</w:t>
            </w:r>
            <w:r w:rsidRPr="0054775B" w:rsidDel="00CE29AC">
              <w:t xml:space="preserve"> </w:t>
            </w:r>
            <w:r w:rsidR="00BC0B3C">
              <w:t>reviews</w:t>
            </w:r>
            <w:r w:rsidR="00BC0B3C" w:rsidRPr="0054775B">
              <w:t xml:space="preserve"> </w:t>
            </w:r>
            <w:r w:rsidRPr="0054775B">
              <w:t>found. The effect of zinc on HRQoL in recurrent infections is unknown.</w:t>
            </w:r>
          </w:p>
        </w:tc>
      </w:tr>
      <w:tr w:rsidR="00896998" w:rsidRPr="0054775B" w14:paraId="41BA52FD" w14:textId="77777777" w:rsidTr="00987999">
        <w:trPr>
          <w:cantSplit/>
        </w:trPr>
        <w:tc>
          <w:tcPr>
            <w:tcW w:w="303" w:type="pct"/>
            <w:vMerge w:val="restart"/>
            <w:tcBorders>
              <w:top w:val="single" w:sz="6" w:space="0" w:color="000000"/>
              <w:left w:val="nil"/>
              <w:right w:val="nil"/>
            </w:tcBorders>
            <w:vAlign w:val="center"/>
          </w:tcPr>
          <w:p w14:paraId="73630013" w14:textId="60039B85" w:rsidR="00896998" w:rsidRPr="0054775B" w:rsidRDefault="00896998" w:rsidP="00896998">
            <w:pPr>
              <w:pStyle w:val="2024TABLETEXT"/>
              <w:framePr w:hSpace="0" w:wrap="auto" w:vAnchor="margin" w:yAlign="inline"/>
              <w:suppressOverlap w:val="0"/>
            </w:pPr>
            <w:r w:rsidRPr="0054775B">
              <w:t>7</w:t>
            </w:r>
          </w:p>
        </w:tc>
        <w:tc>
          <w:tcPr>
            <w:tcW w:w="4697" w:type="pct"/>
            <w:gridSpan w:val="6"/>
            <w:tcBorders>
              <w:top w:val="single" w:sz="6" w:space="0" w:color="000000"/>
              <w:left w:val="nil"/>
              <w:bottom w:val="single" w:sz="6" w:space="0" w:color="000000"/>
              <w:right w:val="nil"/>
            </w:tcBorders>
            <w:vAlign w:val="center"/>
          </w:tcPr>
          <w:p w14:paraId="4D369336" w14:textId="35006BF6" w:rsidR="00896998" w:rsidRPr="0054775B" w:rsidRDefault="00896998" w:rsidP="00896998">
            <w:pPr>
              <w:pStyle w:val="2024TABLETEXT"/>
              <w:framePr w:hSpace="0" w:wrap="auto" w:vAnchor="margin" w:yAlign="inline"/>
              <w:suppressOverlap w:val="0"/>
            </w:pPr>
            <w:r w:rsidRPr="0054775B">
              <w:rPr>
                <w:b/>
                <w:bCs/>
              </w:rPr>
              <w:t>Use of acute and prophylactic antibiotics for conditions where antibiotics are indicated</w:t>
            </w:r>
          </w:p>
        </w:tc>
      </w:tr>
      <w:tr w:rsidR="00FD6150" w:rsidRPr="0054775B" w14:paraId="5F2FE21D" w14:textId="77777777" w:rsidTr="00555107">
        <w:trPr>
          <w:cantSplit/>
        </w:trPr>
        <w:tc>
          <w:tcPr>
            <w:tcW w:w="303" w:type="pct"/>
            <w:vMerge/>
            <w:tcBorders>
              <w:left w:val="nil"/>
              <w:right w:val="nil"/>
            </w:tcBorders>
            <w:vAlign w:val="center"/>
          </w:tcPr>
          <w:p w14:paraId="439A613B" w14:textId="77777777" w:rsidR="00C061F4" w:rsidRPr="0054775B" w:rsidRDefault="00C061F4" w:rsidP="00C061F4">
            <w:pPr>
              <w:pStyle w:val="2024TABLETEXT"/>
              <w:framePr w:hSpace="0" w:wrap="auto" w:vAnchor="margin" w:yAlign="inline"/>
              <w:suppressOverlap w:val="0"/>
            </w:pPr>
          </w:p>
        </w:tc>
        <w:tc>
          <w:tcPr>
            <w:tcW w:w="1616" w:type="pct"/>
            <w:tcBorders>
              <w:top w:val="single" w:sz="6" w:space="0" w:color="000000"/>
              <w:left w:val="nil"/>
              <w:bottom w:val="single" w:sz="6" w:space="0" w:color="000000"/>
              <w:right w:val="nil"/>
            </w:tcBorders>
            <w:vAlign w:val="center"/>
          </w:tcPr>
          <w:p w14:paraId="2E21FAE0" w14:textId="62E7BFE4" w:rsidR="00C061F4" w:rsidRPr="0054775B" w:rsidRDefault="00C061F4" w:rsidP="00C061F4">
            <w:pPr>
              <w:pStyle w:val="2024TABLETEXT"/>
              <w:framePr w:hSpace="0" w:wrap="auto" w:vAnchor="margin" w:yAlign="inline"/>
              <w:spacing w:after="120"/>
              <w:ind w:left="364"/>
              <w:suppressOverlap w:val="0"/>
              <w:rPr>
                <w:b/>
                <w:bCs/>
              </w:rPr>
            </w:pPr>
            <w:r>
              <w:rPr>
                <w:b/>
                <w:bCs/>
              </w:rPr>
              <w:t xml:space="preserve">Number of participants requiring </w:t>
            </w:r>
            <w:r w:rsidRPr="0054775B">
              <w:rPr>
                <w:b/>
                <w:bCs/>
              </w:rPr>
              <w:t xml:space="preserve">intravenous </w:t>
            </w:r>
            <w:r>
              <w:rPr>
                <w:b/>
                <w:bCs/>
              </w:rPr>
              <w:t>antibiotics</w:t>
            </w:r>
          </w:p>
          <w:p w14:paraId="68A241A2" w14:textId="77777777" w:rsidR="00C061F4" w:rsidRPr="0054775B" w:rsidRDefault="00C061F4" w:rsidP="00C061F4">
            <w:pPr>
              <w:pStyle w:val="2024TABLETEXT"/>
              <w:framePr w:hSpace="0" w:wrap="auto" w:vAnchor="margin" w:yAlign="inline"/>
              <w:ind w:left="648"/>
              <w:suppressOverlap w:val="0"/>
            </w:pPr>
            <w:r w:rsidRPr="0054775B">
              <w:rPr>
                <w:b/>
                <w:bCs/>
              </w:rPr>
              <w:t>Condition:</w:t>
            </w:r>
            <w:r w:rsidRPr="0054775B">
              <w:t xml:space="preserve"> Pulmonary infection</w:t>
            </w:r>
          </w:p>
          <w:p w14:paraId="33BCD106" w14:textId="77777777" w:rsidR="00C061F4" w:rsidRPr="0054775B" w:rsidRDefault="00C061F4" w:rsidP="00C061F4">
            <w:pPr>
              <w:pStyle w:val="2024TABLETEXT"/>
              <w:framePr w:hSpace="0" w:wrap="auto" w:vAnchor="margin" w:yAlign="inline"/>
              <w:ind w:left="648"/>
              <w:suppressOverlap w:val="0"/>
            </w:pPr>
            <w:r w:rsidRPr="0054775B">
              <w:rPr>
                <w:b/>
                <w:bCs/>
              </w:rPr>
              <w:t>Population:</w:t>
            </w:r>
            <w:r w:rsidRPr="0054775B">
              <w:t xml:space="preserve"> Children with cystic fibrosis</w:t>
            </w:r>
          </w:p>
          <w:p w14:paraId="6DAB9F9B" w14:textId="77777777" w:rsidR="00C061F4" w:rsidRPr="0054775B" w:rsidRDefault="00C061F4" w:rsidP="00C061F4">
            <w:pPr>
              <w:pStyle w:val="2024TABLETEXT"/>
              <w:framePr w:hSpace="0" w:wrap="auto" w:vAnchor="margin" w:yAlign="inline"/>
              <w:ind w:left="648"/>
              <w:suppressOverlap w:val="0"/>
            </w:pPr>
            <w:r w:rsidRPr="0054775B">
              <w:rPr>
                <w:b/>
                <w:bCs/>
              </w:rPr>
              <w:t>Dose:</w:t>
            </w:r>
            <w:r w:rsidRPr="0054775B">
              <w:t xml:space="preserve"> 30mg Zinc once daily</w:t>
            </w:r>
          </w:p>
          <w:p w14:paraId="1490E8F5" w14:textId="6C16E1A3" w:rsidR="00C061F4" w:rsidRPr="0054775B" w:rsidRDefault="00C061F4" w:rsidP="00C061F4">
            <w:pPr>
              <w:pStyle w:val="2024TABLETEXT"/>
              <w:framePr w:hSpace="0" w:wrap="auto" w:vAnchor="margin" w:yAlign="inline"/>
              <w:spacing w:after="120"/>
              <w:ind w:left="364"/>
              <w:suppressOverlap w:val="0"/>
              <w:rPr>
                <w:b/>
                <w:bCs/>
              </w:rPr>
            </w:pPr>
            <w:r w:rsidRPr="0054775B">
              <w:rPr>
                <w:b/>
                <w:bCs/>
              </w:rPr>
              <w:t xml:space="preserve">Follow-up: </w:t>
            </w:r>
            <w:r w:rsidRPr="0054775B">
              <w:t>24 months</w:t>
            </w:r>
          </w:p>
        </w:tc>
        <w:tc>
          <w:tcPr>
            <w:tcW w:w="455" w:type="pct"/>
            <w:tcBorders>
              <w:top w:val="single" w:sz="6" w:space="0" w:color="000000"/>
              <w:left w:val="nil"/>
              <w:bottom w:val="single" w:sz="6" w:space="0" w:color="000000"/>
              <w:right w:val="nil"/>
            </w:tcBorders>
            <w:vAlign w:val="center"/>
          </w:tcPr>
          <w:p w14:paraId="1645AE49" w14:textId="44DB0C72" w:rsidR="00C061F4" w:rsidRPr="0054775B" w:rsidRDefault="00C061F4" w:rsidP="00C061F4">
            <w:pPr>
              <w:pStyle w:val="2024TABLETEXT"/>
              <w:framePr w:hSpace="0" w:wrap="auto" w:vAnchor="margin" w:yAlign="inline"/>
              <w:suppressOverlap w:val="0"/>
            </w:pPr>
            <w:r w:rsidRPr="0054775B">
              <w:t>Hurley 2020</w:t>
            </w:r>
          </w:p>
        </w:tc>
        <w:tc>
          <w:tcPr>
            <w:tcW w:w="758" w:type="pct"/>
            <w:tcBorders>
              <w:top w:val="single" w:sz="6" w:space="0" w:color="000000"/>
              <w:left w:val="nil"/>
              <w:bottom w:val="single" w:sz="6" w:space="0" w:color="000000"/>
              <w:right w:val="nil"/>
            </w:tcBorders>
            <w:shd w:val="clear" w:color="auto" w:fill="auto"/>
            <w:vAlign w:val="center"/>
          </w:tcPr>
          <w:p w14:paraId="1496CAE6" w14:textId="32D82B41" w:rsidR="00C061F4" w:rsidRDefault="00293657" w:rsidP="00C061F4">
            <w:pPr>
              <w:pStyle w:val="2024TABLETEXT"/>
              <w:framePr w:hSpace="0" w:wrap="auto" w:vAnchor="margin" w:yAlign="inline"/>
              <w:suppressOverlap w:val="0"/>
            </w:pPr>
            <w:r>
              <w:t>1</w:t>
            </w:r>
            <w:r w:rsidR="000D12B1">
              <w:t>79</w:t>
            </w:r>
            <w:r>
              <w:t xml:space="preserve"> </w:t>
            </w:r>
            <w:r w:rsidR="00B0638D">
              <w:t xml:space="preserve">per 1000 </w:t>
            </w:r>
            <w:r w:rsidR="00D353DA">
              <w:t xml:space="preserve">more </w:t>
            </w:r>
            <w:r w:rsidR="00B0638D">
              <w:t>in the zinc grou</w:t>
            </w:r>
            <w:r w:rsidR="000D12B1">
              <w:t>p</w:t>
            </w:r>
            <w:r w:rsidR="00C061F4">
              <w:t>º</w:t>
            </w:r>
          </w:p>
          <w:p w14:paraId="3027716C" w14:textId="77777777" w:rsidR="00C061F4" w:rsidRDefault="00C061F4" w:rsidP="00C061F4">
            <w:pPr>
              <w:pStyle w:val="2024TABLETEXT"/>
              <w:framePr w:hSpace="0" w:wrap="auto" w:vAnchor="margin" w:yAlign="inline"/>
              <w:suppressOverlap w:val="0"/>
            </w:pPr>
          </w:p>
          <w:p w14:paraId="0A3BF19A" w14:textId="2BE0BA0D" w:rsidR="00C061F4" w:rsidRPr="0054775B" w:rsidRDefault="00C061F4" w:rsidP="00C061F4">
            <w:pPr>
              <w:pStyle w:val="2024TABLETEXT"/>
              <w:framePr w:hSpace="0" w:wrap="auto" w:vAnchor="margin" w:yAlign="inline"/>
              <w:suppressOverlap w:val="0"/>
            </w:pPr>
            <w:r w:rsidRPr="001428E8">
              <w:t xml:space="preserve">RR </w:t>
            </w:r>
            <w:r>
              <w:t xml:space="preserve">= </w:t>
            </w:r>
            <w:r w:rsidRPr="001428E8">
              <w:t>1.85 (0.65 to 5.26)</w:t>
            </w:r>
            <w:r>
              <w:t>º</w:t>
            </w:r>
            <w:r>
              <w:rPr>
                <w:rFonts w:ascii="SourceSansPro" w:hAnsi="SourceSansPro"/>
              </w:rPr>
              <w:t xml:space="preserve">   </w:t>
            </w:r>
          </w:p>
        </w:tc>
        <w:tc>
          <w:tcPr>
            <w:tcW w:w="455" w:type="pct"/>
            <w:tcBorders>
              <w:top w:val="single" w:sz="6" w:space="0" w:color="000000"/>
              <w:left w:val="nil"/>
              <w:bottom w:val="single" w:sz="6" w:space="0" w:color="000000"/>
              <w:right w:val="nil"/>
            </w:tcBorders>
            <w:vAlign w:val="center"/>
          </w:tcPr>
          <w:p w14:paraId="38B05492" w14:textId="0A2210C6" w:rsidR="00C061F4" w:rsidRPr="0054775B" w:rsidRDefault="00C061F4" w:rsidP="00C061F4">
            <w:pPr>
              <w:pStyle w:val="2024TABLETEXT"/>
              <w:framePr w:hSpace="0" w:wrap="auto" w:vAnchor="margin" w:yAlign="inline"/>
              <w:suppressOverlap w:val="0"/>
            </w:pPr>
            <w:r>
              <w:t>37 (1)</w:t>
            </w:r>
          </w:p>
        </w:tc>
        <w:tc>
          <w:tcPr>
            <w:tcW w:w="454" w:type="pct"/>
            <w:tcBorders>
              <w:top w:val="single" w:sz="6" w:space="0" w:color="000000"/>
              <w:left w:val="nil"/>
              <w:bottom w:val="single" w:sz="6" w:space="0" w:color="000000"/>
              <w:right w:val="nil"/>
            </w:tcBorders>
            <w:vAlign w:val="center"/>
          </w:tcPr>
          <w:p w14:paraId="5FA944A5" w14:textId="604226D3" w:rsidR="00C061F4" w:rsidRPr="0054775B" w:rsidRDefault="00C061F4" w:rsidP="00C061F4">
            <w:pPr>
              <w:pStyle w:val="2024TABLETEXT"/>
              <w:framePr w:hSpace="0" w:wrap="auto" w:vAnchor="margin" w:yAlign="inline"/>
              <w:suppressOverlap w:val="0"/>
              <w:rPr>
                <w:rFonts w:ascii="Cambria Math" w:hAnsi="Cambria Math" w:cs="Cambria Math"/>
                <w:sz w:val="24"/>
                <w:szCs w:val="24"/>
              </w:rPr>
            </w:pPr>
            <w:r w:rsidRPr="00306BF6">
              <w:rPr>
                <w:rFonts w:ascii="Cambria Math" w:hAnsi="Cambria Math" w:cs="Cambria Math"/>
                <w:sz w:val="22"/>
                <w:szCs w:val="22"/>
              </w:rPr>
              <w:t>⨁</w:t>
            </w:r>
            <w:r w:rsidRPr="0054775B">
              <w:rPr>
                <w:rFonts w:ascii="Segoe UI Symbol" w:hAnsi="Segoe UI Symbol" w:cs="Segoe UI Symbol"/>
              </w:rPr>
              <w:t>◯◯◯</w:t>
            </w:r>
            <w:r w:rsidRPr="0054775B">
              <w:br/>
              <w:t>VERY LOW</w:t>
            </w:r>
            <w:r w:rsidRPr="004915EF">
              <w:rPr>
                <w:vertAlign w:val="superscript"/>
              </w:rPr>
              <w:t>f</w:t>
            </w:r>
          </w:p>
        </w:tc>
        <w:tc>
          <w:tcPr>
            <w:tcW w:w="959" w:type="pct"/>
            <w:tcBorders>
              <w:top w:val="single" w:sz="6" w:space="0" w:color="000000"/>
              <w:left w:val="nil"/>
              <w:bottom w:val="single" w:sz="6" w:space="0" w:color="000000"/>
              <w:right w:val="nil"/>
            </w:tcBorders>
            <w:vAlign w:val="center"/>
          </w:tcPr>
          <w:p w14:paraId="7BBB6573" w14:textId="2DEBC163" w:rsidR="00C061F4" w:rsidRPr="0054775B" w:rsidRDefault="00C061F4" w:rsidP="00C061F4">
            <w:pPr>
              <w:pStyle w:val="2024TABLETEXT"/>
              <w:framePr w:hSpace="0" w:wrap="auto" w:vAnchor="margin" w:yAlign="inline"/>
              <w:suppressOverlap w:val="0"/>
            </w:pPr>
            <w:r w:rsidRPr="00D65A94">
              <w:t xml:space="preserve">The evidence is very uncertain about the effect of zinc on </w:t>
            </w:r>
            <w:r>
              <w:t xml:space="preserve">the number of people requiring intravenous antibiotics </w:t>
            </w:r>
            <w:r w:rsidR="00CB0288">
              <w:t xml:space="preserve"> in children with cystic fibrosis and r</w:t>
            </w:r>
            <w:r w:rsidR="00CB0288" w:rsidRPr="001428E8">
              <w:t xml:space="preserve">ecurrent </w:t>
            </w:r>
            <w:r w:rsidR="00CB0288" w:rsidRPr="00D65A94">
              <w:t>pulmonary infection.</w:t>
            </w:r>
          </w:p>
        </w:tc>
      </w:tr>
      <w:tr w:rsidR="00FD6150" w:rsidRPr="0054775B" w14:paraId="334D8ADB" w14:textId="77777777" w:rsidTr="00555107">
        <w:trPr>
          <w:cantSplit/>
        </w:trPr>
        <w:tc>
          <w:tcPr>
            <w:tcW w:w="303" w:type="pct"/>
            <w:vMerge/>
            <w:tcBorders>
              <w:left w:val="nil"/>
              <w:right w:val="nil"/>
            </w:tcBorders>
            <w:vAlign w:val="center"/>
          </w:tcPr>
          <w:p w14:paraId="780E96C3" w14:textId="77777777" w:rsidR="00C061F4" w:rsidRPr="0054775B" w:rsidRDefault="00C061F4" w:rsidP="00C061F4">
            <w:pPr>
              <w:pStyle w:val="2024TABLETEXT"/>
              <w:framePr w:hSpace="0" w:wrap="auto" w:vAnchor="margin" w:yAlign="inline"/>
              <w:suppressOverlap w:val="0"/>
            </w:pPr>
          </w:p>
        </w:tc>
        <w:tc>
          <w:tcPr>
            <w:tcW w:w="1616" w:type="pct"/>
            <w:tcBorders>
              <w:top w:val="single" w:sz="6" w:space="0" w:color="000000"/>
              <w:left w:val="nil"/>
              <w:bottom w:val="single" w:sz="6" w:space="0" w:color="000000"/>
              <w:right w:val="nil"/>
            </w:tcBorders>
            <w:vAlign w:val="center"/>
          </w:tcPr>
          <w:p w14:paraId="2D091BF7" w14:textId="75B6A2EF" w:rsidR="00C061F4" w:rsidRPr="0054775B" w:rsidRDefault="00C061F4" w:rsidP="00C061F4">
            <w:pPr>
              <w:pStyle w:val="2024TABLETEXT"/>
              <w:framePr w:hSpace="0" w:wrap="auto" w:vAnchor="margin" w:yAlign="inline"/>
              <w:spacing w:after="120"/>
              <w:ind w:left="364"/>
              <w:suppressOverlap w:val="0"/>
              <w:rPr>
                <w:b/>
                <w:bCs/>
              </w:rPr>
            </w:pPr>
            <w:r w:rsidRPr="0054775B">
              <w:rPr>
                <w:b/>
                <w:bCs/>
              </w:rPr>
              <w:t xml:space="preserve">Antibiotic </w:t>
            </w:r>
            <w:r>
              <w:rPr>
                <w:b/>
                <w:bCs/>
              </w:rPr>
              <w:t>use</w:t>
            </w:r>
          </w:p>
          <w:p w14:paraId="3B298E73" w14:textId="77777777" w:rsidR="00C061F4" w:rsidRPr="0054775B" w:rsidRDefault="00C061F4" w:rsidP="00C061F4">
            <w:pPr>
              <w:pStyle w:val="2024TABLETEXT"/>
              <w:framePr w:hSpace="0" w:wrap="auto" w:vAnchor="margin" w:yAlign="inline"/>
              <w:ind w:left="648"/>
              <w:suppressOverlap w:val="0"/>
            </w:pPr>
            <w:r w:rsidRPr="0054775B">
              <w:rPr>
                <w:b/>
                <w:bCs/>
              </w:rPr>
              <w:t>Condition:</w:t>
            </w:r>
            <w:r w:rsidRPr="0054775B">
              <w:t xml:space="preserve"> Pulmonary infection</w:t>
            </w:r>
          </w:p>
          <w:p w14:paraId="444A9CC8" w14:textId="77777777" w:rsidR="00C061F4" w:rsidRPr="0054775B" w:rsidRDefault="00C061F4" w:rsidP="00C061F4">
            <w:pPr>
              <w:pStyle w:val="2024TABLETEXT"/>
              <w:framePr w:hSpace="0" w:wrap="auto" w:vAnchor="margin" w:yAlign="inline"/>
              <w:ind w:left="648"/>
              <w:suppressOverlap w:val="0"/>
            </w:pPr>
            <w:r w:rsidRPr="0054775B">
              <w:rPr>
                <w:b/>
                <w:bCs/>
              </w:rPr>
              <w:t>Population:</w:t>
            </w:r>
            <w:r w:rsidRPr="0054775B">
              <w:t xml:space="preserve"> Children with cystic fibrosis</w:t>
            </w:r>
          </w:p>
          <w:p w14:paraId="7D6D77AC" w14:textId="7FB05308" w:rsidR="00C061F4" w:rsidRPr="0054775B" w:rsidRDefault="00C061F4" w:rsidP="00C061F4">
            <w:pPr>
              <w:pStyle w:val="2024TABLETEXT"/>
              <w:framePr w:hSpace="0" w:wrap="auto" w:vAnchor="margin" w:yAlign="inline"/>
              <w:ind w:left="648"/>
              <w:suppressOverlap w:val="0"/>
            </w:pPr>
            <w:r w:rsidRPr="0054775B">
              <w:rPr>
                <w:b/>
                <w:bCs/>
              </w:rPr>
              <w:t>Dose:</w:t>
            </w:r>
            <w:r w:rsidRPr="0054775B">
              <w:t xml:space="preserve"> 30mg Zinc once daily</w:t>
            </w:r>
          </w:p>
          <w:p w14:paraId="41623901" w14:textId="77777777" w:rsidR="00C061F4" w:rsidRDefault="00C061F4" w:rsidP="00C061F4">
            <w:pPr>
              <w:pStyle w:val="2024TABLETEXT"/>
              <w:framePr w:hSpace="0" w:wrap="auto" w:vAnchor="margin" w:yAlign="inline"/>
              <w:ind w:left="648"/>
              <w:suppressOverlap w:val="0"/>
            </w:pPr>
            <w:r w:rsidRPr="0054775B">
              <w:rPr>
                <w:b/>
                <w:bCs/>
              </w:rPr>
              <w:t xml:space="preserve">Follow-up: </w:t>
            </w:r>
            <w:r w:rsidRPr="0054775B">
              <w:t>24 months</w:t>
            </w:r>
          </w:p>
          <w:p w14:paraId="62BAAF19" w14:textId="266E40C9" w:rsidR="00C061F4" w:rsidRPr="0054775B" w:rsidRDefault="00C061F4" w:rsidP="00C061F4">
            <w:pPr>
              <w:pStyle w:val="2024TABLETEXT"/>
              <w:framePr w:hSpace="0" w:wrap="auto" w:vAnchor="margin" w:yAlign="inline"/>
              <w:ind w:left="648"/>
              <w:suppressOverlap w:val="0"/>
            </w:pPr>
            <w:r>
              <w:rPr>
                <w:b/>
                <w:bCs/>
              </w:rPr>
              <w:t>Measure:</w:t>
            </w:r>
            <w:r>
              <w:t xml:space="preserve">  </w:t>
            </w:r>
            <w:r w:rsidRPr="007E2448">
              <w:t>Number of days on intravenous or oral antibiotics</w:t>
            </w:r>
            <w:r>
              <w:t>; number of antibiotics needed</w:t>
            </w:r>
          </w:p>
        </w:tc>
        <w:tc>
          <w:tcPr>
            <w:tcW w:w="455" w:type="pct"/>
            <w:tcBorders>
              <w:top w:val="single" w:sz="6" w:space="0" w:color="000000"/>
              <w:left w:val="nil"/>
              <w:bottom w:val="single" w:sz="6" w:space="0" w:color="000000"/>
              <w:right w:val="nil"/>
            </w:tcBorders>
            <w:vAlign w:val="center"/>
          </w:tcPr>
          <w:p w14:paraId="2EDC4074" w14:textId="1E586320" w:rsidR="00C061F4" w:rsidRPr="0054775B" w:rsidRDefault="00C061F4" w:rsidP="00C061F4">
            <w:pPr>
              <w:pStyle w:val="2024TABLETEXT"/>
              <w:framePr w:hSpace="0" w:wrap="auto" w:vAnchor="margin" w:yAlign="inline"/>
              <w:suppressOverlap w:val="0"/>
            </w:pPr>
            <w:r w:rsidRPr="0054775B">
              <w:t>Hurley 2020</w:t>
            </w:r>
          </w:p>
        </w:tc>
        <w:tc>
          <w:tcPr>
            <w:tcW w:w="758" w:type="pct"/>
            <w:tcBorders>
              <w:top w:val="single" w:sz="6" w:space="0" w:color="000000"/>
              <w:left w:val="nil"/>
              <w:bottom w:val="single" w:sz="6" w:space="0" w:color="000000"/>
              <w:right w:val="nil"/>
            </w:tcBorders>
            <w:shd w:val="clear" w:color="auto" w:fill="auto"/>
            <w:vAlign w:val="center"/>
          </w:tcPr>
          <w:p w14:paraId="2328C761" w14:textId="43A41DC7" w:rsidR="00C061F4" w:rsidRPr="0054775B" w:rsidRDefault="00C061F4" w:rsidP="00C061F4">
            <w:pPr>
              <w:pStyle w:val="2024TABLETEXT"/>
              <w:framePr w:hSpace="0" w:wrap="auto" w:vAnchor="margin" w:yAlign="inline"/>
              <w:suppressOverlap w:val="0"/>
            </w:pPr>
            <w:r>
              <w:t>Study 1: F</w:t>
            </w:r>
            <w:r w:rsidRPr="0054775B">
              <w:t>ewer oral antibiotics needed by participants in the zinc group</w:t>
            </w:r>
            <w:r>
              <w:t xml:space="preserve">: </w:t>
            </w:r>
            <w:r w:rsidRPr="0054775B">
              <w:t xml:space="preserve">MD </w:t>
            </w:r>
            <w:r>
              <w:t xml:space="preserve">= </w:t>
            </w:r>
            <w:r w:rsidRPr="0054775B">
              <w:t>−17.74 (−26.98</w:t>
            </w:r>
            <w:r>
              <w:t>,</w:t>
            </w:r>
            <w:r w:rsidRPr="0054775B">
              <w:t xml:space="preserve"> −8.50); need for IV antibiotics</w:t>
            </w:r>
            <w:r>
              <w:t xml:space="preserve">: </w:t>
            </w:r>
            <w:r w:rsidRPr="0054775B">
              <w:t>MD</w:t>
            </w:r>
            <w:r>
              <w:t xml:space="preserve"> =</w:t>
            </w:r>
            <w:r w:rsidRPr="0054775B">
              <w:t xml:space="preserve"> 0.52 (−3.07</w:t>
            </w:r>
            <w:r>
              <w:t>,</w:t>
            </w:r>
            <w:r w:rsidRPr="0054775B">
              <w:t xml:space="preserve"> 4.11).</w:t>
            </w:r>
          </w:p>
          <w:p w14:paraId="4C3B51B4" w14:textId="77777777" w:rsidR="00C061F4" w:rsidRDefault="00C061F4" w:rsidP="00C061F4">
            <w:pPr>
              <w:pStyle w:val="2024TABLETEXT"/>
              <w:framePr w:hSpace="0" w:wrap="auto" w:vAnchor="margin" w:yAlign="inline"/>
              <w:suppressOverlap w:val="0"/>
            </w:pPr>
          </w:p>
          <w:p w14:paraId="52A16AF8" w14:textId="4E08937C" w:rsidR="00C061F4" w:rsidRPr="0054775B" w:rsidRDefault="00C061F4" w:rsidP="00C061F4">
            <w:pPr>
              <w:pStyle w:val="2024TABLETEXT"/>
              <w:framePr w:hSpace="0" w:wrap="auto" w:vAnchor="margin" w:yAlign="inline"/>
              <w:suppressOverlap w:val="0"/>
            </w:pPr>
            <w:r>
              <w:t>Study 2:</w:t>
            </w:r>
            <w:r w:rsidRPr="0054775B">
              <w:t xml:space="preserve"> </w:t>
            </w:r>
            <w:r>
              <w:t>Effect size NR</w:t>
            </w:r>
          </w:p>
        </w:tc>
        <w:tc>
          <w:tcPr>
            <w:tcW w:w="455" w:type="pct"/>
            <w:tcBorders>
              <w:top w:val="single" w:sz="6" w:space="0" w:color="000000"/>
              <w:left w:val="nil"/>
              <w:bottom w:val="single" w:sz="6" w:space="0" w:color="000000"/>
              <w:right w:val="nil"/>
            </w:tcBorders>
            <w:vAlign w:val="center"/>
          </w:tcPr>
          <w:p w14:paraId="15919B37" w14:textId="7A51C574" w:rsidR="00C061F4" w:rsidRPr="0054775B" w:rsidRDefault="00C061F4" w:rsidP="00C061F4">
            <w:pPr>
              <w:pStyle w:val="2024TABLETEXT"/>
              <w:framePr w:hSpace="0" w:wrap="auto" w:vAnchor="margin" w:yAlign="inline"/>
              <w:suppressOverlap w:val="0"/>
            </w:pPr>
            <w:r w:rsidRPr="0054775B">
              <w:t>62 (2)</w:t>
            </w:r>
          </w:p>
        </w:tc>
        <w:tc>
          <w:tcPr>
            <w:tcW w:w="454" w:type="pct"/>
            <w:tcBorders>
              <w:top w:val="single" w:sz="6" w:space="0" w:color="000000"/>
              <w:left w:val="nil"/>
              <w:bottom w:val="single" w:sz="6" w:space="0" w:color="000000"/>
              <w:right w:val="nil"/>
            </w:tcBorders>
            <w:vAlign w:val="center"/>
          </w:tcPr>
          <w:p w14:paraId="0DFC4EC5" w14:textId="24DD9B73" w:rsidR="00C061F4" w:rsidRPr="0054775B" w:rsidRDefault="00C061F4" w:rsidP="00C061F4">
            <w:pPr>
              <w:pStyle w:val="2024TABLETEXT"/>
              <w:framePr w:hSpace="0" w:wrap="auto" w:vAnchor="margin" w:yAlign="inline"/>
              <w:suppressOverlap w:val="0"/>
            </w:pPr>
            <w:r w:rsidRPr="00306BF6">
              <w:rPr>
                <w:rFonts w:ascii="Cambria Math" w:hAnsi="Cambria Math" w:cs="Cambria Math"/>
                <w:sz w:val="22"/>
                <w:szCs w:val="22"/>
              </w:rPr>
              <w:t>⨁</w:t>
            </w:r>
            <w:r w:rsidRPr="0054775B">
              <w:rPr>
                <w:rFonts w:ascii="Segoe UI Symbol" w:hAnsi="Segoe UI Symbol" w:cs="Segoe UI Symbol"/>
              </w:rPr>
              <w:t>◯◯◯</w:t>
            </w:r>
            <w:r w:rsidRPr="0054775B">
              <w:br/>
              <w:t>VERY LOW</w:t>
            </w:r>
            <w:r>
              <w:rPr>
                <w:vertAlign w:val="superscript"/>
              </w:rPr>
              <w:t>d</w:t>
            </w:r>
          </w:p>
        </w:tc>
        <w:tc>
          <w:tcPr>
            <w:tcW w:w="959" w:type="pct"/>
            <w:tcBorders>
              <w:top w:val="single" w:sz="6" w:space="0" w:color="000000"/>
              <w:left w:val="nil"/>
              <w:bottom w:val="single" w:sz="6" w:space="0" w:color="000000"/>
              <w:right w:val="nil"/>
            </w:tcBorders>
            <w:vAlign w:val="center"/>
          </w:tcPr>
          <w:p w14:paraId="2366A17A" w14:textId="74BE1F2D" w:rsidR="00C061F4" w:rsidRPr="0054775B" w:rsidRDefault="00C061F4" w:rsidP="00C061F4">
            <w:pPr>
              <w:pStyle w:val="2024TABLETEXT"/>
              <w:framePr w:hSpace="0" w:wrap="auto" w:vAnchor="margin" w:yAlign="inline"/>
              <w:suppressOverlap w:val="0"/>
            </w:pPr>
            <w:r w:rsidRPr="00D65A94">
              <w:t xml:space="preserve">The evidence is very uncertain about the effect of zinc on </w:t>
            </w:r>
            <w:r>
              <w:t xml:space="preserve">antibiotic </w:t>
            </w:r>
            <w:r w:rsidR="00CB0288">
              <w:t xml:space="preserve"> in children with cystic fibrosis and r</w:t>
            </w:r>
            <w:r w:rsidR="00CB0288" w:rsidRPr="001428E8">
              <w:t xml:space="preserve">ecurrent </w:t>
            </w:r>
            <w:r w:rsidR="00CB0288" w:rsidRPr="00D65A94">
              <w:t>pulmonary infection.</w:t>
            </w:r>
          </w:p>
        </w:tc>
      </w:tr>
      <w:tr w:rsidR="00CB0288" w:rsidRPr="0054775B" w14:paraId="5B79C813" w14:textId="77777777" w:rsidTr="00555107">
        <w:trPr>
          <w:cantSplit/>
        </w:trPr>
        <w:tc>
          <w:tcPr>
            <w:tcW w:w="303" w:type="pct"/>
            <w:vMerge/>
            <w:tcBorders>
              <w:left w:val="nil"/>
              <w:bottom w:val="single" w:sz="6" w:space="0" w:color="000000"/>
              <w:right w:val="nil"/>
            </w:tcBorders>
            <w:vAlign w:val="center"/>
          </w:tcPr>
          <w:p w14:paraId="5F1A513A" w14:textId="77777777" w:rsidR="00CB0288" w:rsidRPr="0054775B" w:rsidRDefault="00CB0288" w:rsidP="00CB0288">
            <w:pPr>
              <w:pStyle w:val="2024TABLETEXT"/>
              <w:framePr w:hSpace="0" w:wrap="auto" w:vAnchor="margin" w:yAlign="inline"/>
              <w:suppressOverlap w:val="0"/>
            </w:pPr>
          </w:p>
        </w:tc>
        <w:tc>
          <w:tcPr>
            <w:tcW w:w="1616" w:type="pct"/>
            <w:tcBorders>
              <w:top w:val="single" w:sz="6" w:space="0" w:color="000000"/>
              <w:left w:val="nil"/>
              <w:bottom w:val="single" w:sz="6" w:space="0" w:color="000000"/>
              <w:right w:val="nil"/>
            </w:tcBorders>
            <w:vAlign w:val="center"/>
          </w:tcPr>
          <w:p w14:paraId="2A4EFAAC" w14:textId="77777777" w:rsidR="00CB0288" w:rsidRPr="0054775B" w:rsidRDefault="00CB0288" w:rsidP="00CB0288">
            <w:pPr>
              <w:pStyle w:val="2024TABLETEXT"/>
              <w:framePr w:hSpace="0" w:wrap="auto" w:vAnchor="margin" w:yAlign="inline"/>
              <w:spacing w:after="120"/>
              <w:ind w:left="364"/>
              <w:suppressOverlap w:val="0"/>
              <w:rPr>
                <w:b/>
                <w:bCs/>
              </w:rPr>
            </w:pPr>
            <w:r w:rsidRPr="0054775B">
              <w:rPr>
                <w:b/>
                <w:bCs/>
              </w:rPr>
              <w:t xml:space="preserve">Antibiotic use </w:t>
            </w:r>
          </w:p>
          <w:p w14:paraId="0D61B8F7" w14:textId="3FB8A998" w:rsidR="00CB0288" w:rsidRPr="0054775B" w:rsidRDefault="00CB0288" w:rsidP="00CB0288">
            <w:pPr>
              <w:pStyle w:val="2024TABLETEXT"/>
              <w:framePr w:hSpace="0" w:wrap="auto" w:vAnchor="margin" w:yAlign="inline"/>
              <w:ind w:left="648"/>
              <w:suppressOverlap w:val="0"/>
            </w:pPr>
            <w:r w:rsidRPr="0054775B">
              <w:rPr>
                <w:b/>
                <w:bCs/>
              </w:rPr>
              <w:t>Condition:</w:t>
            </w:r>
            <w:r w:rsidRPr="0054775B">
              <w:t xml:space="preserve"> URTI</w:t>
            </w:r>
          </w:p>
          <w:p w14:paraId="790190DA" w14:textId="77777777" w:rsidR="00CB0288" w:rsidRPr="0054775B" w:rsidRDefault="00CB0288" w:rsidP="00CB0288">
            <w:pPr>
              <w:pStyle w:val="2024TABLETEXT"/>
              <w:framePr w:hSpace="0" w:wrap="auto" w:vAnchor="margin" w:yAlign="inline"/>
              <w:ind w:left="648"/>
              <w:suppressOverlap w:val="0"/>
            </w:pPr>
            <w:r w:rsidRPr="0054775B">
              <w:rPr>
                <w:b/>
                <w:bCs/>
              </w:rPr>
              <w:t>Population:</w:t>
            </w:r>
            <w:r w:rsidRPr="0054775B">
              <w:t xml:space="preserve"> Children with Down’s syndrome</w:t>
            </w:r>
          </w:p>
          <w:p w14:paraId="4C1EF315" w14:textId="77777777" w:rsidR="00CB0288" w:rsidRPr="0054775B" w:rsidRDefault="00CB0288" w:rsidP="00CB0288">
            <w:pPr>
              <w:pStyle w:val="2024TABLETEXT"/>
              <w:framePr w:hSpace="0" w:wrap="auto" w:vAnchor="margin" w:yAlign="inline"/>
              <w:ind w:left="648"/>
              <w:suppressOverlap w:val="0"/>
            </w:pPr>
            <w:r w:rsidRPr="0054775B">
              <w:rPr>
                <w:b/>
                <w:bCs/>
              </w:rPr>
              <w:lastRenderedPageBreak/>
              <w:t>Dose:</w:t>
            </w:r>
            <w:r w:rsidRPr="0054775B">
              <w:t xml:space="preserve">  Zinc sulfate supplements 25mg/d for 1–9 yr and 50 mg/d for older children</w:t>
            </w:r>
          </w:p>
          <w:p w14:paraId="0FAB1416" w14:textId="5A603815" w:rsidR="00CB0288" w:rsidRPr="0054775B" w:rsidRDefault="00CB0288" w:rsidP="00CB0288">
            <w:pPr>
              <w:pStyle w:val="2024TABLETEXT"/>
              <w:framePr w:hSpace="0" w:wrap="auto" w:vAnchor="margin" w:yAlign="inline"/>
              <w:ind w:left="648"/>
              <w:suppressOverlap w:val="0"/>
            </w:pPr>
            <w:r w:rsidRPr="0054775B">
              <w:rPr>
                <w:b/>
                <w:bCs/>
              </w:rPr>
              <w:t xml:space="preserve">Follow-up: </w:t>
            </w:r>
            <w:r w:rsidRPr="0054775B">
              <w:t>6 months</w:t>
            </w:r>
          </w:p>
        </w:tc>
        <w:tc>
          <w:tcPr>
            <w:tcW w:w="455" w:type="pct"/>
            <w:tcBorders>
              <w:top w:val="single" w:sz="6" w:space="0" w:color="000000"/>
              <w:left w:val="nil"/>
              <w:bottom w:val="single" w:sz="6" w:space="0" w:color="000000"/>
              <w:right w:val="nil"/>
            </w:tcBorders>
            <w:vAlign w:val="center"/>
          </w:tcPr>
          <w:p w14:paraId="312E46B1" w14:textId="406C70C0" w:rsidR="00CB0288" w:rsidRPr="0054775B" w:rsidRDefault="00CB0288" w:rsidP="00CB0288">
            <w:pPr>
              <w:pStyle w:val="2024TABLETEXT"/>
              <w:framePr w:hSpace="0" w:wrap="auto" w:vAnchor="margin" w:yAlign="inline"/>
              <w:suppressOverlap w:val="0"/>
            </w:pPr>
            <w:r w:rsidRPr="0054775B">
              <w:lastRenderedPageBreak/>
              <w:t>Manikam 2016</w:t>
            </w:r>
          </w:p>
        </w:tc>
        <w:tc>
          <w:tcPr>
            <w:tcW w:w="758" w:type="pct"/>
            <w:tcBorders>
              <w:top w:val="single" w:sz="6" w:space="0" w:color="000000"/>
              <w:left w:val="nil"/>
              <w:bottom w:val="single" w:sz="6" w:space="0" w:color="000000"/>
              <w:right w:val="nil"/>
            </w:tcBorders>
            <w:shd w:val="clear" w:color="auto" w:fill="auto"/>
            <w:vAlign w:val="center"/>
          </w:tcPr>
          <w:p w14:paraId="575ABEB4" w14:textId="3880C8D4" w:rsidR="00CB0288" w:rsidRPr="0054775B" w:rsidRDefault="00CB0288" w:rsidP="00CB0288">
            <w:pPr>
              <w:pStyle w:val="2024TABLETEXT"/>
              <w:framePr w:hSpace="0" w:wrap="auto" w:vAnchor="margin" w:yAlign="inline"/>
              <w:suppressOverlap w:val="0"/>
            </w:pPr>
            <w:r w:rsidRPr="0054775B">
              <w:t>Effect sizes NR</w:t>
            </w:r>
          </w:p>
        </w:tc>
        <w:tc>
          <w:tcPr>
            <w:tcW w:w="455" w:type="pct"/>
            <w:tcBorders>
              <w:top w:val="single" w:sz="6" w:space="0" w:color="000000"/>
              <w:left w:val="nil"/>
              <w:bottom w:val="single" w:sz="6" w:space="0" w:color="000000"/>
              <w:right w:val="nil"/>
            </w:tcBorders>
            <w:vAlign w:val="center"/>
          </w:tcPr>
          <w:p w14:paraId="4F52E764" w14:textId="24E6CE0A" w:rsidR="00CB0288" w:rsidRPr="0054775B" w:rsidRDefault="00CB0288" w:rsidP="00CB0288">
            <w:pPr>
              <w:pStyle w:val="2024TABLETEXT"/>
              <w:framePr w:hSpace="0" w:wrap="auto" w:vAnchor="margin" w:yAlign="inline"/>
              <w:suppressOverlap w:val="0"/>
            </w:pPr>
            <w:r w:rsidRPr="0054775B">
              <w:t>64 (1)</w:t>
            </w:r>
          </w:p>
        </w:tc>
        <w:tc>
          <w:tcPr>
            <w:tcW w:w="454" w:type="pct"/>
            <w:tcBorders>
              <w:top w:val="single" w:sz="6" w:space="0" w:color="000000"/>
              <w:left w:val="nil"/>
              <w:bottom w:val="single" w:sz="6" w:space="0" w:color="000000"/>
              <w:right w:val="nil"/>
            </w:tcBorders>
            <w:vAlign w:val="center"/>
          </w:tcPr>
          <w:p w14:paraId="3A83C5AA" w14:textId="5140077B" w:rsidR="00CB0288" w:rsidRPr="0054775B" w:rsidRDefault="00CB0288" w:rsidP="00CB0288">
            <w:pPr>
              <w:pStyle w:val="2024TABLETEXT"/>
              <w:framePr w:hSpace="0" w:wrap="auto" w:vAnchor="margin" w:yAlign="inline"/>
              <w:suppressOverlap w:val="0"/>
            </w:pPr>
            <w:r w:rsidRPr="00306BF6">
              <w:rPr>
                <w:rFonts w:ascii="Cambria Math" w:hAnsi="Cambria Math" w:cs="Cambria Math"/>
                <w:sz w:val="22"/>
                <w:szCs w:val="22"/>
              </w:rPr>
              <w:t>⨁</w:t>
            </w:r>
            <w:r w:rsidRPr="0054775B">
              <w:rPr>
                <w:rFonts w:ascii="Segoe UI Symbol" w:hAnsi="Segoe UI Symbol" w:cs="Segoe UI Symbol"/>
              </w:rPr>
              <w:t>◯◯◯</w:t>
            </w:r>
            <w:r w:rsidRPr="0054775B">
              <w:br/>
              <w:t>VERY LOW</w:t>
            </w:r>
            <w:r w:rsidRPr="004915EF">
              <w:rPr>
                <w:vertAlign w:val="superscript"/>
              </w:rPr>
              <w:t>c</w:t>
            </w:r>
          </w:p>
        </w:tc>
        <w:tc>
          <w:tcPr>
            <w:tcW w:w="959" w:type="pct"/>
            <w:tcBorders>
              <w:top w:val="single" w:sz="6" w:space="0" w:color="000000"/>
              <w:left w:val="nil"/>
              <w:bottom w:val="single" w:sz="6" w:space="0" w:color="000000"/>
              <w:right w:val="nil"/>
            </w:tcBorders>
            <w:vAlign w:val="center"/>
          </w:tcPr>
          <w:p w14:paraId="6C42D888" w14:textId="5ABECEE8" w:rsidR="00CB0288" w:rsidRPr="0054775B" w:rsidRDefault="00CB0288" w:rsidP="00CB0288">
            <w:pPr>
              <w:pStyle w:val="2024TABLETEXT"/>
              <w:framePr w:hSpace="0" w:wrap="auto" w:vAnchor="margin" w:yAlign="inline"/>
              <w:suppressOverlap w:val="0"/>
            </w:pPr>
            <w:r w:rsidRPr="00D65A94">
              <w:t xml:space="preserve">The evidence is very uncertain about the effect of zinc on the number of </w:t>
            </w:r>
            <w:r>
              <w:t xml:space="preserve">children with Down’s </w:t>
            </w:r>
            <w:r>
              <w:lastRenderedPageBreak/>
              <w:t>syndrome who have recurrent  URTI</w:t>
            </w:r>
            <w:r w:rsidRPr="00D65A94">
              <w:t>.</w:t>
            </w:r>
          </w:p>
        </w:tc>
      </w:tr>
      <w:tr w:rsidR="00CB0288" w:rsidRPr="0054775B" w14:paraId="3DD5ECFE" w14:textId="77777777" w:rsidTr="00555107">
        <w:trPr>
          <w:cantSplit/>
        </w:trPr>
        <w:tc>
          <w:tcPr>
            <w:tcW w:w="303" w:type="pct"/>
            <w:tcBorders>
              <w:top w:val="single" w:sz="6" w:space="0" w:color="000000"/>
              <w:left w:val="nil"/>
              <w:bottom w:val="single" w:sz="6" w:space="0" w:color="000000"/>
              <w:right w:val="nil"/>
            </w:tcBorders>
            <w:vAlign w:val="center"/>
          </w:tcPr>
          <w:p w14:paraId="32103200" w14:textId="05721CB4" w:rsidR="00CB0288" w:rsidRPr="0054775B" w:rsidRDefault="00CB0288" w:rsidP="00CB0288">
            <w:pPr>
              <w:pStyle w:val="2024TABLETEXT"/>
              <w:framePr w:hSpace="0" w:wrap="auto" w:vAnchor="margin" w:yAlign="inline"/>
              <w:suppressOverlap w:val="0"/>
              <w:rPr>
                <w:b/>
                <w:bCs/>
              </w:rPr>
            </w:pPr>
            <w:r w:rsidRPr="0054775B">
              <w:rPr>
                <w:b/>
                <w:bCs/>
              </w:rPr>
              <w:lastRenderedPageBreak/>
              <w:t>7</w:t>
            </w:r>
          </w:p>
        </w:tc>
        <w:tc>
          <w:tcPr>
            <w:tcW w:w="1616" w:type="pct"/>
            <w:tcBorders>
              <w:top w:val="single" w:sz="6" w:space="0" w:color="000000"/>
              <w:left w:val="nil"/>
              <w:bottom w:val="single" w:sz="6" w:space="0" w:color="000000"/>
              <w:right w:val="nil"/>
            </w:tcBorders>
            <w:vAlign w:val="center"/>
          </w:tcPr>
          <w:p w14:paraId="325AEEDC" w14:textId="58623E61" w:rsidR="00CB0288" w:rsidRPr="0054775B" w:rsidRDefault="00CB0288" w:rsidP="00CB0288">
            <w:pPr>
              <w:pStyle w:val="2024TABLETEXT"/>
              <w:framePr w:hSpace="0" w:wrap="auto" w:vAnchor="margin" w:yAlign="inline"/>
              <w:suppressOverlap w:val="0"/>
              <w:rPr>
                <w:b/>
                <w:bCs/>
              </w:rPr>
            </w:pPr>
            <w:r w:rsidRPr="0054775B">
              <w:rPr>
                <w:b/>
                <w:bCs/>
              </w:rPr>
              <w:t>Duration of hospital stay</w:t>
            </w:r>
          </w:p>
        </w:tc>
        <w:tc>
          <w:tcPr>
            <w:tcW w:w="455" w:type="pct"/>
            <w:tcBorders>
              <w:top w:val="single" w:sz="6" w:space="0" w:color="000000"/>
              <w:left w:val="nil"/>
              <w:bottom w:val="single" w:sz="6" w:space="0" w:color="000000"/>
              <w:right w:val="nil"/>
            </w:tcBorders>
            <w:vAlign w:val="center"/>
          </w:tcPr>
          <w:p w14:paraId="658A44FD" w14:textId="2E611BCE" w:rsidR="00CB0288" w:rsidRPr="0054775B" w:rsidRDefault="00CB0288" w:rsidP="00CB0288">
            <w:pPr>
              <w:pStyle w:val="2024TABLETEXT"/>
              <w:framePr w:hSpace="0" w:wrap="auto" w:vAnchor="margin" w:yAlign="inline"/>
              <w:suppressOverlap w:val="0"/>
            </w:pPr>
            <w:r w:rsidRPr="0054775B">
              <w:t>-</w:t>
            </w:r>
          </w:p>
        </w:tc>
        <w:tc>
          <w:tcPr>
            <w:tcW w:w="758" w:type="pct"/>
            <w:tcBorders>
              <w:top w:val="single" w:sz="6" w:space="0" w:color="000000"/>
              <w:left w:val="nil"/>
              <w:bottom w:val="single" w:sz="6" w:space="0" w:color="000000"/>
              <w:right w:val="nil"/>
            </w:tcBorders>
            <w:shd w:val="clear" w:color="auto" w:fill="auto"/>
            <w:vAlign w:val="center"/>
          </w:tcPr>
          <w:p w14:paraId="04857A4D" w14:textId="5E7473AB" w:rsidR="00CB0288" w:rsidRPr="0054775B" w:rsidRDefault="00CB0288" w:rsidP="00CB0288">
            <w:pPr>
              <w:pStyle w:val="2024TABLETEXT"/>
              <w:framePr w:hSpace="0" w:wrap="auto" w:vAnchor="margin" w:yAlign="inline"/>
              <w:suppressOverlap w:val="0"/>
            </w:pPr>
            <w:r w:rsidRPr="0054775B">
              <w:t>-</w:t>
            </w:r>
          </w:p>
        </w:tc>
        <w:tc>
          <w:tcPr>
            <w:tcW w:w="455" w:type="pct"/>
            <w:tcBorders>
              <w:top w:val="single" w:sz="6" w:space="0" w:color="000000"/>
              <w:left w:val="nil"/>
              <w:bottom w:val="single" w:sz="6" w:space="0" w:color="000000"/>
              <w:right w:val="nil"/>
            </w:tcBorders>
            <w:vAlign w:val="center"/>
          </w:tcPr>
          <w:p w14:paraId="0FB18E07" w14:textId="34864C0D" w:rsidR="00CB0288" w:rsidRPr="0054775B" w:rsidRDefault="00CB0288" w:rsidP="00CB0288">
            <w:pPr>
              <w:pStyle w:val="2024TABLETEXT"/>
              <w:framePr w:hSpace="0" w:wrap="auto" w:vAnchor="margin" w:yAlign="inline"/>
              <w:suppressOverlap w:val="0"/>
            </w:pPr>
            <w:r w:rsidRPr="0054775B">
              <w:t>-</w:t>
            </w:r>
          </w:p>
        </w:tc>
        <w:tc>
          <w:tcPr>
            <w:tcW w:w="454" w:type="pct"/>
            <w:tcBorders>
              <w:top w:val="single" w:sz="6" w:space="0" w:color="000000"/>
              <w:left w:val="nil"/>
              <w:bottom w:val="single" w:sz="6" w:space="0" w:color="000000"/>
              <w:right w:val="nil"/>
            </w:tcBorders>
            <w:vAlign w:val="center"/>
          </w:tcPr>
          <w:p w14:paraId="29A262E8" w14:textId="1F205BE7" w:rsidR="00CB0288" w:rsidRPr="0054775B" w:rsidRDefault="00CB0288" w:rsidP="00CB0288">
            <w:pPr>
              <w:pStyle w:val="2024TABLETEXT"/>
              <w:framePr w:hSpace="0" w:wrap="auto" w:vAnchor="margin" w:yAlign="inline"/>
              <w:suppressOverlap w:val="0"/>
            </w:pPr>
            <w:r w:rsidRPr="0054775B">
              <w:t>-</w:t>
            </w:r>
          </w:p>
        </w:tc>
        <w:tc>
          <w:tcPr>
            <w:tcW w:w="959" w:type="pct"/>
            <w:tcBorders>
              <w:top w:val="single" w:sz="6" w:space="0" w:color="000000"/>
              <w:left w:val="nil"/>
              <w:bottom w:val="single" w:sz="6" w:space="0" w:color="000000"/>
              <w:right w:val="nil"/>
            </w:tcBorders>
            <w:vAlign w:val="center"/>
          </w:tcPr>
          <w:p w14:paraId="55B9393E" w14:textId="27C315B6" w:rsidR="00CB0288" w:rsidRPr="0054775B" w:rsidRDefault="00CB0288" w:rsidP="00CB0288">
            <w:pPr>
              <w:pStyle w:val="2024TABLETEXT"/>
              <w:framePr w:hSpace="0" w:wrap="auto" w:vAnchor="margin" w:yAlign="inline"/>
              <w:suppressOverlap w:val="0"/>
            </w:pPr>
            <w:r w:rsidRPr="0054775B">
              <w:t xml:space="preserve">No </w:t>
            </w:r>
            <w:r>
              <w:t>reviews</w:t>
            </w:r>
            <w:r w:rsidRPr="0054775B">
              <w:t xml:space="preserve"> found. The effect of zinc on duration of hospital stay in recurrent infections is unknown.</w:t>
            </w:r>
          </w:p>
        </w:tc>
      </w:tr>
      <w:tr w:rsidR="00CB0288" w:rsidRPr="0054775B" w14:paraId="06B9BDC9" w14:textId="77777777">
        <w:trPr>
          <w:cantSplit/>
          <w:trHeight w:val="50"/>
        </w:trPr>
        <w:tc>
          <w:tcPr>
            <w:tcW w:w="5000" w:type="pct"/>
            <w:gridSpan w:val="7"/>
            <w:tcBorders>
              <w:top w:val="single" w:sz="6" w:space="0" w:color="000000"/>
              <w:left w:val="nil"/>
              <w:bottom w:val="single" w:sz="6" w:space="0" w:color="000000"/>
              <w:right w:val="nil"/>
            </w:tcBorders>
          </w:tcPr>
          <w:p w14:paraId="494E8ED1" w14:textId="6C486D2F" w:rsidR="00CB0288" w:rsidRPr="0054775B" w:rsidRDefault="00CB0288" w:rsidP="00CB0288">
            <w:pPr>
              <w:pStyle w:val="2024TABLEFOOTER"/>
            </w:pPr>
            <w:r w:rsidRPr="0054775B">
              <w:t>*Ratings 1-3 = of limited importance to decision making; 4-6 = important, but not critical, to decision making; 7-9 = critical for decision-making</w:t>
            </w:r>
          </w:p>
          <w:p w14:paraId="31422AA9" w14:textId="52EEE34C" w:rsidR="00CB0288" w:rsidRDefault="00CB0288" w:rsidP="00CB0288">
            <w:pPr>
              <w:pStyle w:val="2024TABLEFOOTER"/>
            </w:pPr>
            <w:r>
              <w:t>#</w:t>
            </w:r>
            <w:r w:rsidRPr="008373B7">
              <w:t xml:space="preserve">There are no published MCID estimations for </w:t>
            </w:r>
            <w:r>
              <w:t>n</w:t>
            </w:r>
            <w:r w:rsidRPr="008373B7">
              <w:t>umber of participants with at least one episode of definite infection during follow-up. A 20% relative risk difference (i.e., risk ratio ≤ 0.8 or ≥ 1.2) was therefore considered as a minimal clinically important difference (MCID) (27).</w:t>
            </w:r>
          </w:p>
          <w:p w14:paraId="654470E6" w14:textId="4F771D5F" w:rsidR="00CB0288" w:rsidRDefault="00CB0288" w:rsidP="00CB0288">
            <w:pPr>
              <w:pStyle w:val="2024TABLEFOOTER"/>
            </w:pPr>
            <w:r w:rsidRPr="0054775B">
              <w:t>^</w:t>
            </w:r>
            <w:r>
              <w:t>Unable to find published MCID estimations for n</w:t>
            </w:r>
            <w:r w:rsidRPr="008373B7">
              <w:t>umber of episodes of definite AOM per participant per year of follow-up</w:t>
            </w:r>
            <w:r>
              <w:t xml:space="preserve">, absolute risk differences unable to be calculated therefore a </w:t>
            </w:r>
            <w:r w:rsidRPr="008373B7">
              <w:t>20%</w:t>
            </w:r>
            <w:r>
              <w:t xml:space="preserve"> </w:t>
            </w:r>
            <w:r w:rsidRPr="008373B7">
              <w:t xml:space="preserve">relative </w:t>
            </w:r>
            <w:r>
              <w:t>difference in rate ratio was used.</w:t>
            </w:r>
          </w:p>
          <w:p w14:paraId="61B61DF2" w14:textId="516C8EEF" w:rsidR="00CB0288" w:rsidRDefault="00CB0288" w:rsidP="00CB0288">
            <w:pPr>
              <w:pStyle w:val="2024TABLEFOOTER"/>
            </w:pPr>
            <w:r>
              <w:t xml:space="preserve">§MCID for FEV1 = </w:t>
            </w:r>
            <w:r w:rsidRPr="001428E8">
              <w:t>100 m</w:t>
            </w:r>
            <w:r>
              <w:t xml:space="preserve">L, unable to find published MCID estimations for percentage change </w:t>
            </w:r>
            <w:r>
              <w:rPr>
                <w:noProof/>
              </w:rPr>
              <w:t>(198)</w:t>
            </w:r>
            <w:r w:rsidRPr="001428E8">
              <w:t>.</w:t>
            </w:r>
          </w:p>
          <w:p w14:paraId="1CF9E763" w14:textId="38C2DB35" w:rsidR="00CB0288" w:rsidRDefault="00CB0288" w:rsidP="00CB0288">
            <w:pPr>
              <w:pStyle w:val="2024TABLEFOOTER"/>
            </w:pPr>
            <w:r>
              <w:t xml:space="preserve">†MCID for FVC = </w:t>
            </w:r>
            <w:r w:rsidRPr="003438E6">
              <w:t>2–6%</w:t>
            </w:r>
            <w:r>
              <w:t xml:space="preserve"> </w:t>
            </w:r>
            <w:r>
              <w:rPr>
                <w:noProof/>
              </w:rPr>
              <w:t>(199)</w:t>
            </w:r>
            <w:r>
              <w:t>.</w:t>
            </w:r>
          </w:p>
          <w:p w14:paraId="645D6DC0" w14:textId="771ADC77" w:rsidR="00CB0288" w:rsidRPr="001428E8" w:rsidRDefault="00CB0288" w:rsidP="00CB0288">
            <w:pPr>
              <w:pStyle w:val="2024TABLEFOOTER"/>
            </w:pPr>
            <w:r>
              <w:t>ºUnable to find published MCID estimations for n</w:t>
            </w:r>
            <w:r w:rsidRPr="001428E8">
              <w:t>umber of participants requiring intravenous antibiotics</w:t>
            </w:r>
            <w:r>
              <w:t xml:space="preserve">. A 20% relative risk difference (i.e., risk ratio ≤ 0.8 or ≥ 1.2) was therefore considered as a minimal clinically important difference (MCID) </w:t>
            </w:r>
            <w:r>
              <w:rPr>
                <w:noProof/>
              </w:rPr>
              <w:t>(23)</w:t>
            </w:r>
            <w:r>
              <w:t xml:space="preserve">. </w:t>
            </w:r>
          </w:p>
          <w:p w14:paraId="529EE5B8" w14:textId="77777777" w:rsidR="00CB0288" w:rsidRDefault="00CB0288" w:rsidP="00CB0288">
            <w:pPr>
              <w:pStyle w:val="2024TABLEFOOTER"/>
            </w:pPr>
          </w:p>
          <w:p w14:paraId="65C9B88C" w14:textId="41436C4F" w:rsidR="00CB0288" w:rsidRPr="0054775B" w:rsidRDefault="00CB0288" w:rsidP="00CB0288">
            <w:pPr>
              <w:pStyle w:val="2024TABLEFOOTER"/>
            </w:pPr>
            <w:r w:rsidRPr="0054775B">
              <w:t xml:space="preserve">Abbreviations:  CI=Confidence interval, </w:t>
            </w:r>
            <w:r>
              <w:t xml:space="preserve">IV=intravenous, </w:t>
            </w:r>
            <w:r w:rsidRPr="0054775B">
              <w:t>MD=Mean difference, NR=Not reported, IQR=Interquartile range, FEV= forced expiratory volume</w:t>
            </w:r>
            <w:r>
              <w:t>, FVC=</w:t>
            </w:r>
            <w:r w:rsidRPr="00DB33BE">
              <w:t>forced vital capacity</w:t>
            </w:r>
            <w:r>
              <w:t xml:space="preserve">, </w:t>
            </w:r>
          </w:p>
        </w:tc>
      </w:tr>
      <w:tr w:rsidR="00CB0288" w:rsidRPr="0054775B" w14:paraId="41609B7D" w14:textId="77777777">
        <w:trPr>
          <w:cantSplit/>
          <w:trHeight w:val="236"/>
        </w:trPr>
        <w:tc>
          <w:tcPr>
            <w:tcW w:w="5000" w:type="pct"/>
            <w:gridSpan w:val="7"/>
            <w:tcBorders>
              <w:top w:val="single" w:sz="6" w:space="0" w:color="000000"/>
              <w:left w:val="nil"/>
              <w:bottom w:val="single" w:sz="6" w:space="0" w:color="000000"/>
              <w:right w:val="nil"/>
            </w:tcBorders>
          </w:tcPr>
          <w:p w14:paraId="1EB28337" w14:textId="77777777" w:rsidR="00CB0288" w:rsidRPr="0054775B" w:rsidRDefault="00CB0288" w:rsidP="00CB0288">
            <w:pPr>
              <w:pStyle w:val="2024TABLEFOOTER"/>
            </w:pPr>
            <w:r w:rsidRPr="0054775B">
              <w:t>GRADE Working Group grades of evidence</w:t>
            </w:r>
            <w:r w:rsidRPr="0054775B">
              <w:br/>
            </w:r>
            <w:r w:rsidRPr="0054775B">
              <w:rPr>
                <w:b/>
                <w:bCs/>
              </w:rPr>
              <w:t>High certainty:</w:t>
            </w:r>
            <w:r w:rsidRPr="0054775B">
              <w:t xml:space="preserve"> we are very confident that the true effect lies close to that of the estimate of the effect.</w:t>
            </w:r>
            <w:r w:rsidRPr="0054775B">
              <w:br/>
            </w:r>
            <w:r w:rsidRPr="0054775B">
              <w:rPr>
                <w:b/>
                <w:bCs/>
              </w:rPr>
              <w:t>Moderate certainty:</w:t>
            </w:r>
            <w:r w:rsidRPr="0054775B">
              <w:t xml:space="preserve"> we are moderately confident in the effect estimate: the true effect is likely to be close to the estimate of the effect, but there is a possibility that it is substantially different.</w:t>
            </w:r>
            <w:r w:rsidRPr="0054775B">
              <w:br/>
            </w:r>
            <w:r w:rsidRPr="0054775B">
              <w:rPr>
                <w:b/>
                <w:bCs/>
              </w:rPr>
              <w:t>Low certainty:</w:t>
            </w:r>
            <w:r w:rsidRPr="0054775B">
              <w:t xml:space="preserve"> our confidence in the effect estimate is limited: the true effect may be substantially different from the estimate of the effect.</w:t>
            </w:r>
            <w:r w:rsidRPr="0054775B">
              <w:br/>
            </w:r>
            <w:r w:rsidRPr="0054775B">
              <w:rPr>
                <w:b/>
                <w:bCs/>
              </w:rPr>
              <w:t>Very low certainty:</w:t>
            </w:r>
            <w:r w:rsidRPr="0054775B">
              <w:t xml:space="preserve"> we have very little confidence in the effect estimate: the true effect is likely to be substantially different from the estimate of effect.</w:t>
            </w:r>
          </w:p>
        </w:tc>
      </w:tr>
      <w:tr w:rsidR="00CB0288" w:rsidRPr="0054775B" w14:paraId="41D1E163" w14:textId="77777777">
        <w:trPr>
          <w:cantSplit/>
          <w:trHeight w:val="236"/>
        </w:trPr>
        <w:tc>
          <w:tcPr>
            <w:tcW w:w="5000" w:type="pct"/>
            <w:gridSpan w:val="7"/>
            <w:tcBorders>
              <w:top w:val="single" w:sz="6" w:space="0" w:color="000000"/>
              <w:left w:val="nil"/>
              <w:bottom w:val="single" w:sz="6" w:space="0" w:color="000000"/>
              <w:right w:val="nil"/>
            </w:tcBorders>
          </w:tcPr>
          <w:p w14:paraId="3239E154" w14:textId="77777777" w:rsidR="00CB0288" w:rsidRPr="0054775B" w:rsidRDefault="00CB0288" w:rsidP="00CB0288">
            <w:pPr>
              <w:pStyle w:val="2024TABLEFOOTER"/>
            </w:pPr>
            <w:r w:rsidRPr="0054775B">
              <w:t>Explanations</w:t>
            </w:r>
          </w:p>
          <w:p w14:paraId="0A9F5771" w14:textId="0FECAA49" w:rsidR="00CB0288" w:rsidRDefault="00CB0288" w:rsidP="00CB0288">
            <w:pPr>
              <w:pStyle w:val="2024TABLEFOOTER"/>
              <w:numPr>
                <w:ilvl w:val="0"/>
                <w:numId w:val="18"/>
              </w:numPr>
            </w:pPr>
            <w:r>
              <w:t xml:space="preserve">Low risk of bias assessed across most domains for most primary studies (no change for risk of bias). </w:t>
            </w:r>
            <w:r w:rsidRPr="0054775B">
              <w:t>Children aged up to 30 months only; only condition examined was otitis media (no other recurrent infections)</w:t>
            </w:r>
            <w:r>
              <w:t xml:space="preserve"> </w:t>
            </w:r>
            <w:r w:rsidRPr="0054775B">
              <w:t>(downgrade one for indirectness).</w:t>
            </w:r>
            <w:r>
              <w:t xml:space="preserve"> Low inconsistency supported by overlapping CIs, low I</w:t>
            </w:r>
            <w:r w:rsidRPr="005B28D0">
              <w:rPr>
                <w:vertAlign w:val="superscript"/>
              </w:rPr>
              <w:t>2</w:t>
            </w:r>
            <w:r>
              <w:t xml:space="preserve"> statistic and non-significant test of heterogeneity (no change for inconsistency). </w:t>
            </w:r>
            <w:r w:rsidRPr="001428E8">
              <w:t>CI boundaries suggest different inferences about the magnitude of benefit based on MCID (</w:t>
            </w:r>
            <w:r w:rsidRPr="001428E8" w:rsidDel="0097702E">
              <w:t xml:space="preserve">SMD </w:t>
            </w:r>
            <w:r w:rsidRPr="001428E8">
              <w:t xml:space="preserve">= 0.2), </w:t>
            </w:r>
            <w:r w:rsidRPr="0035575A">
              <w:t>but only just (RR = 20%)</w:t>
            </w:r>
            <w:r>
              <w:t xml:space="preserve"> </w:t>
            </w:r>
            <w:r w:rsidRPr="0035575A">
              <w:t>(</w:t>
            </w:r>
            <w:r>
              <w:t>downgraded one</w:t>
            </w:r>
            <w:r w:rsidRPr="0035575A">
              <w:t xml:space="preserve"> for imprecision).</w:t>
            </w:r>
            <w:r>
              <w:t xml:space="preserve"> Insufficient number of trials to assess publication bias (no change for publication bias).</w:t>
            </w:r>
          </w:p>
          <w:p w14:paraId="25362387" w14:textId="46C880E9" w:rsidR="00CB0288" w:rsidRDefault="00CB0288" w:rsidP="00CB0288">
            <w:pPr>
              <w:pStyle w:val="2024TABLEFOOTER"/>
              <w:numPr>
                <w:ilvl w:val="0"/>
                <w:numId w:val="18"/>
              </w:numPr>
            </w:pPr>
            <w:r w:rsidRPr="001428E8">
              <w:rPr>
                <w:color w:val="000000" w:themeColor="text1"/>
              </w:rPr>
              <w:t>Low risk of bias</w:t>
            </w:r>
            <w:r>
              <w:t xml:space="preserve"> assessed across most domains</w:t>
            </w:r>
            <w:r w:rsidRPr="001428E8">
              <w:rPr>
                <w:color w:val="000000" w:themeColor="text1"/>
              </w:rPr>
              <w:t xml:space="preserve"> for included study (no change for risk of bias). </w:t>
            </w:r>
            <w:r>
              <w:rPr>
                <w:color w:val="000000" w:themeColor="text1"/>
              </w:rPr>
              <w:t xml:space="preserve"> </w:t>
            </w:r>
            <w:r w:rsidRPr="001428E8">
              <w:rPr>
                <w:color w:val="000000" w:themeColor="text1"/>
              </w:rPr>
              <w:t xml:space="preserve">Children </w:t>
            </w:r>
            <w:r w:rsidRPr="0054775B">
              <w:t>aged up to 30 months only; only condition examined was otitis media (no other recurrent infections)</w:t>
            </w:r>
            <w:r>
              <w:t xml:space="preserve"> </w:t>
            </w:r>
            <w:r w:rsidRPr="0054775B">
              <w:t>(downgrade one for indirectness).</w:t>
            </w:r>
            <w:r>
              <w:t xml:space="preserve"> </w:t>
            </w:r>
            <w:r>
              <w:rPr>
                <w:color w:val="000000" w:themeColor="text1"/>
              </w:rPr>
              <w:t xml:space="preserve"> CIs infer similar appreciable effect (no change for imprecision). </w:t>
            </w:r>
            <w:r w:rsidRPr="001A4537">
              <w:t>No inconsistency due to singular study (no change for inconsistency).</w:t>
            </w:r>
            <w:r>
              <w:t xml:space="preserve"> Insufficient number of trials to assess publication bias (no change for publication bias).</w:t>
            </w:r>
          </w:p>
          <w:p w14:paraId="2D9F3C2E" w14:textId="40E813DD" w:rsidR="00CB0288" w:rsidRDefault="00CB0288" w:rsidP="00CB0288">
            <w:pPr>
              <w:pStyle w:val="2024TABLEFOOTER"/>
              <w:numPr>
                <w:ilvl w:val="0"/>
                <w:numId w:val="18"/>
              </w:numPr>
            </w:pPr>
            <w:r w:rsidRPr="0054775B">
              <w:t xml:space="preserve">Risks of bias </w:t>
            </w:r>
            <w:r>
              <w:t xml:space="preserve">identified </w:t>
            </w:r>
            <w:r w:rsidRPr="0054775B">
              <w:t>in included primary study (downgrade one for risk of bias). Population examined was children with Down’s Syndrome only; only condition examined was URTIs (no other recurrent infections) (downgrade one for indirectness)</w:t>
            </w:r>
            <w:r>
              <w:t>.</w:t>
            </w:r>
            <w:r w:rsidRPr="001428E8">
              <w:t xml:space="preserve"> Very </w:t>
            </w:r>
            <w:r>
              <w:t>sample size raising concerns about optimal information size, n</w:t>
            </w:r>
            <w:r w:rsidRPr="0054775B">
              <w:t xml:space="preserve">o effect estimates provided (downgrade </w:t>
            </w:r>
            <w:r>
              <w:t>3</w:t>
            </w:r>
            <w:r w:rsidRPr="0054775B">
              <w:t xml:space="preserve"> for</w:t>
            </w:r>
            <w:r>
              <w:t xml:space="preserve"> very serious</w:t>
            </w:r>
            <w:r w:rsidRPr="0054775B">
              <w:t xml:space="preserve"> imprecision).</w:t>
            </w:r>
            <w:r>
              <w:t xml:space="preserve"> </w:t>
            </w:r>
            <w:r w:rsidRPr="00E2342A">
              <w:rPr>
                <w:lang w:val="en-GB"/>
              </w:rPr>
              <w:t xml:space="preserve"> Publication bias not assessed </w:t>
            </w:r>
            <w:r>
              <w:rPr>
                <w:lang w:val="en-GB"/>
              </w:rPr>
              <w:t xml:space="preserve">likely </w:t>
            </w:r>
            <w:r w:rsidRPr="00E2342A">
              <w:rPr>
                <w:lang w:val="en-GB"/>
              </w:rPr>
              <w:t>due to insufficient number of studies (no change for publication bias).</w:t>
            </w:r>
          </w:p>
          <w:p w14:paraId="2813695E" w14:textId="71D5A624" w:rsidR="00CB0288" w:rsidRDefault="00CB0288" w:rsidP="00CB0288">
            <w:pPr>
              <w:pStyle w:val="2024TABLEFOOTER"/>
              <w:numPr>
                <w:ilvl w:val="0"/>
                <w:numId w:val="18"/>
              </w:numPr>
            </w:pPr>
            <w:r w:rsidRPr="0054775B">
              <w:t>Risks of bias in included primary studies (downgrade one for risk of bias). Population examined was children with cystic fibrosis only; only condition examined was pulmonary infection (no other recurrent infections) (downgrade one for indirectness)</w:t>
            </w:r>
            <w:r>
              <w:t>. No</w:t>
            </w:r>
            <w:r w:rsidRPr="003D53F5">
              <w:t xml:space="preserve"> </w:t>
            </w:r>
            <w:r>
              <w:t xml:space="preserve">pooled </w:t>
            </w:r>
            <w:r w:rsidRPr="003D53F5">
              <w:t>effect estimates provided</w:t>
            </w:r>
            <w:r>
              <w:t>, CI of individual studies’ mean differences suggest different inferences and directions of effect</w:t>
            </w:r>
            <w:r w:rsidRPr="003D53F5">
              <w:t xml:space="preserve"> (downgraded </w:t>
            </w:r>
            <w:r>
              <w:t>3</w:t>
            </w:r>
            <w:r w:rsidRPr="003D53F5">
              <w:t xml:space="preserve"> for</w:t>
            </w:r>
            <w:r>
              <w:t xml:space="preserve"> very serious</w:t>
            </w:r>
            <w:r w:rsidRPr="003D53F5">
              <w:t xml:space="preserve"> imprecision).</w:t>
            </w:r>
            <w:r>
              <w:t xml:space="preserve"> </w:t>
            </w:r>
            <w:r w:rsidRPr="00E2342A">
              <w:rPr>
                <w:lang w:val="en-GB"/>
              </w:rPr>
              <w:t xml:space="preserve">Publication bias not assessed </w:t>
            </w:r>
            <w:r>
              <w:rPr>
                <w:lang w:val="en-GB"/>
              </w:rPr>
              <w:t xml:space="preserve">likely </w:t>
            </w:r>
            <w:r w:rsidRPr="00E2342A">
              <w:rPr>
                <w:lang w:val="en-GB"/>
              </w:rPr>
              <w:t>due to insufficient number of studies (no change for publication bias).</w:t>
            </w:r>
          </w:p>
          <w:p w14:paraId="4C2DD583" w14:textId="3BCE7702" w:rsidR="00CB0288" w:rsidRPr="001428E8" w:rsidRDefault="00CB0288" w:rsidP="00CB0288">
            <w:pPr>
              <w:pStyle w:val="2024TABLEFOOTER"/>
              <w:numPr>
                <w:ilvl w:val="0"/>
                <w:numId w:val="18"/>
              </w:numPr>
            </w:pPr>
            <w:r w:rsidRPr="0054775B">
              <w:t>Risks of bias in included primary studies (downgrade one for risk of bias). Population examined was children with cystic fibrosis only; only condition examined was pulmonary infection (no other recurrent infections) (downgrade one for indirectness)</w:t>
            </w:r>
            <w:r>
              <w:t>. W</w:t>
            </w:r>
            <w:r w:rsidRPr="001428E8">
              <w:t>ide CI to where point estimate is uninterpretable; CI appreciably crosses the threshold(s) of interest (</w:t>
            </w:r>
            <w:r>
              <w:t>FVC</w:t>
            </w:r>
            <w:r w:rsidRPr="001428E8">
              <w:t xml:space="preserve"> = </w:t>
            </w:r>
            <w:r>
              <w:t>2-6%</w:t>
            </w:r>
            <w:r w:rsidRPr="001428E8">
              <w:t>) and direct</w:t>
            </w:r>
            <w:r>
              <w:t>ion</w:t>
            </w:r>
            <w:r w:rsidRPr="001428E8">
              <w:t xml:space="preserve"> of effect threshold (downgrade </w:t>
            </w:r>
            <w:r>
              <w:t>3</w:t>
            </w:r>
            <w:r w:rsidRPr="001428E8">
              <w:t xml:space="preserve"> for</w:t>
            </w:r>
            <w:r>
              <w:t xml:space="preserve"> very serious</w:t>
            </w:r>
            <w:r w:rsidRPr="001428E8">
              <w:t xml:space="preserve"> imprecision).</w:t>
            </w:r>
            <w:r>
              <w:rPr>
                <w:rFonts w:ascii="AppleSystemUIFont" w:eastAsiaTheme="minorHAnsi" w:hAnsi="AppleSystemUIFont" w:cs="AppleSystemUIFont"/>
                <w:sz w:val="26"/>
                <w:szCs w:val="26"/>
                <w:lang w:val="en-GB" w:eastAsia="en-US"/>
              </w:rPr>
              <w:t xml:space="preserve"> </w:t>
            </w:r>
            <w:r w:rsidRPr="00E2342A">
              <w:rPr>
                <w:lang w:val="en-GB"/>
              </w:rPr>
              <w:t xml:space="preserve">Publication bias not assessed </w:t>
            </w:r>
            <w:r>
              <w:rPr>
                <w:lang w:val="en-GB"/>
              </w:rPr>
              <w:t xml:space="preserve">likely </w:t>
            </w:r>
            <w:r w:rsidRPr="00E2342A">
              <w:rPr>
                <w:lang w:val="en-GB"/>
              </w:rPr>
              <w:t>due to insufficient number of studies (no change for publication bias).</w:t>
            </w:r>
          </w:p>
          <w:p w14:paraId="718621F6" w14:textId="19A44280" w:rsidR="00CB0288" w:rsidRPr="006E150D" w:rsidRDefault="00CB0288" w:rsidP="00CB0288">
            <w:pPr>
              <w:pStyle w:val="2024TABLEFOOTER"/>
              <w:numPr>
                <w:ilvl w:val="0"/>
                <w:numId w:val="18"/>
              </w:numPr>
              <w:rPr>
                <w:rStyle w:val="Strong"/>
                <w:b w:val="0"/>
                <w:bCs w:val="0"/>
              </w:rPr>
            </w:pPr>
            <w:r>
              <w:t xml:space="preserve">No risk of bias concerns identified </w:t>
            </w:r>
            <w:r w:rsidRPr="0054775B">
              <w:t>in included primary study (</w:t>
            </w:r>
            <w:r>
              <w:t>no change</w:t>
            </w:r>
            <w:r w:rsidRPr="0054775B">
              <w:t xml:space="preserve"> for risk of bias). Population examined was children with cystic fibrosis only; only condition examined was pulmonary infection (no other recurrent infections) (downgrade one for indirectness)</w:t>
            </w:r>
            <w:r>
              <w:t>. W</w:t>
            </w:r>
            <w:r w:rsidRPr="001428E8">
              <w:t xml:space="preserve">ide CI to where point estimate is uninterpretable; CI appreciably crosses the threshold(s) of interest (RR = 0.2) (downgraded </w:t>
            </w:r>
            <w:r>
              <w:t>3</w:t>
            </w:r>
            <w:r w:rsidRPr="001428E8">
              <w:t xml:space="preserve"> for </w:t>
            </w:r>
            <w:r>
              <w:t xml:space="preserve">very serious </w:t>
            </w:r>
            <w:r w:rsidRPr="001428E8">
              <w:t>imprecision).</w:t>
            </w:r>
            <w:r w:rsidRPr="00E2342A">
              <w:rPr>
                <w:lang w:val="en-GB"/>
              </w:rPr>
              <w:t xml:space="preserve"> Publication bias not assessed </w:t>
            </w:r>
            <w:r>
              <w:rPr>
                <w:lang w:val="en-GB"/>
              </w:rPr>
              <w:t xml:space="preserve">likely </w:t>
            </w:r>
            <w:r w:rsidRPr="00E2342A">
              <w:rPr>
                <w:lang w:val="en-GB"/>
              </w:rPr>
              <w:t>due to insufficient number of studies (no change for publication bias).</w:t>
            </w:r>
          </w:p>
        </w:tc>
      </w:tr>
    </w:tbl>
    <w:p w14:paraId="695B49C0" w14:textId="29587F25" w:rsidR="00B555BC" w:rsidRPr="0054775B" w:rsidRDefault="00B555BC">
      <w:pPr>
        <w:spacing w:before="0" w:after="160" w:line="259" w:lineRule="auto"/>
        <w:rPr>
          <w:b/>
          <w:bCs/>
          <w:color w:val="C00000"/>
          <w:spacing w:val="-2"/>
          <w:w w:val="105"/>
          <w:sz w:val="28"/>
          <w:szCs w:val="28"/>
        </w:rPr>
        <w:sectPr w:rsidR="00B555BC" w:rsidRPr="0054775B" w:rsidSect="006A72DC">
          <w:pgSz w:w="16840" w:h="11910" w:orient="landscape"/>
          <w:pgMar w:top="1340" w:right="278" w:bottom="1340" w:left="1356" w:header="720" w:footer="720" w:gutter="0"/>
          <w:cols w:space="720"/>
          <w:docGrid w:linePitch="299"/>
        </w:sectPr>
      </w:pPr>
      <w:r w:rsidRPr="0054775B">
        <w:rPr>
          <w:b/>
          <w:bCs/>
          <w:color w:val="C00000"/>
          <w:spacing w:val="-2"/>
          <w:w w:val="105"/>
          <w:sz w:val="28"/>
          <w:szCs w:val="28"/>
        </w:rPr>
        <w:br w:type="page"/>
      </w:r>
    </w:p>
    <w:p w14:paraId="742F7DEB" w14:textId="08D4BBD8" w:rsidR="00764746" w:rsidRPr="0054775B" w:rsidRDefault="00980972" w:rsidP="00F9201F">
      <w:pPr>
        <w:pStyle w:val="2024HEADER2"/>
      </w:pPr>
      <w:bookmarkStart w:id="135" w:name="_Toc179379630"/>
      <w:r w:rsidRPr="0054775B">
        <w:lastRenderedPageBreak/>
        <w:t xml:space="preserve">Diabetes (Type </w:t>
      </w:r>
      <w:r w:rsidR="00B84C75" w:rsidRPr="0054775B">
        <w:t>I</w:t>
      </w:r>
      <w:r w:rsidRPr="0054775B">
        <w:t xml:space="preserve">I) (including metabolic syndrome), </w:t>
      </w:r>
      <w:r w:rsidR="0012437F" w:rsidRPr="0054775B">
        <w:t>A</w:t>
      </w:r>
      <w:r w:rsidRPr="0054775B">
        <w:t xml:space="preserve">ntioxidants (specifically CoQ10 and </w:t>
      </w:r>
      <w:r w:rsidR="00B84C75" w:rsidRPr="0054775B">
        <w:t>ALA</w:t>
      </w:r>
      <w:r w:rsidRPr="0054775B">
        <w:t>)</w:t>
      </w:r>
      <w:bookmarkEnd w:id="135"/>
    </w:p>
    <w:p w14:paraId="65693CEE" w14:textId="77777777" w:rsidR="008308E9" w:rsidRPr="0054775B" w:rsidRDefault="008308E9" w:rsidP="009E6F7F">
      <w:pPr>
        <w:pStyle w:val="2024HEADER3"/>
        <w:rPr>
          <w:rFonts w:ascii="Aptos" w:hAnsi="Aptos"/>
        </w:rPr>
      </w:pPr>
      <w:r w:rsidRPr="0054775B">
        <w:rPr>
          <w:rFonts w:ascii="Aptos" w:hAnsi="Aptos"/>
        </w:rPr>
        <w:t>Description of condition</w:t>
      </w:r>
    </w:p>
    <w:p w14:paraId="3E3891C7" w14:textId="286AC3D1" w:rsidR="00363860" w:rsidRPr="0054775B" w:rsidRDefault="00D56874" w:rsidP="009E6F7F">
      <w:r w:rsidRPr="0054775B">
        <w:t>D</w:t>
      </w:r>
      <w:r w:rsidR="00240A76" w:rsidRPr="0054775B">
        <w:t xml:space="preserve">iabetes </w:t>
      </w:r>
      <w:r w:rsidRPr="0054775B">
        <w:t>M</w:t>
      </w:r>
      <w:r w:rsidR="00240A76" w:rsidRPr="0054775B">
        <w:t xml:space="preserve">ellitus </w:t>
      </w:r>
      <w:r w:rsidR="00C66F00" w:rsidRPr="0054775B">
        <w:t xml:space="preserve">(Type 2; T2DM) </w:t>
      </w:r>
      <w:r w:rsidR="00240A76" w:rsidRPr="0054775B">
        <w:t>is a chronic metabolic disorder characteri</w:t>
      </w:r>
      <w:r w:rsidR="00CA25E7" w:rsidRPr="0054775B">
        <w:t>s</w:t>
      </w:r>
      <w:r w:rsidR="00240A76" w:rsidRPr="0054775B">
        <w:t xml:space="preserve">ed by persistent </w:t>
      </w:r>
      <w:r w:rsidR="00CA25E7" w:rsidRPr="0054775B">
        <w:t>hyperglycaemia</w:t>
      </w:r>
      <w:r w:rsidR="00240A76" w:rsidRPr="0054775B">
        <w:t xml:space="preserve"> (elevated blood sugar). It arises from insulin resistance (diminished response to insulin) and progressive pancreatic beta-cell dysfunction, leading to insufficient insulin production</w:t>
      </w:r>
      <w:r w:rsidR="00BF0AEF" w:rsidRPr="0054775B">
        <w:t xml:space="preserve"> </w:t>
      </w:r>
      <w:r w:rsidR="00227084">
        <w:rPr>
          <w:noProof/>
        </w:rPr>
        <w:t>(200)</w:t>
      </w:r>
      <w:r w:rsidR="00BF0AEF" w:rsidRPr="0054775B">
        <w:t xml:space="preserve">. </w:t>
      </w:r>
      <w:r w:rsidR="00C66F00" w:rsidRPr="0054775B">
        <w:t xml:space="preserve">In its early stages, T2DM may present with subtle or no symptoms, however common symptoms can include increased thirst, frequent urination, fatigue, blurred vision, slow-healing wounds, and recurrent infections </w:t>
      </w:r>
      <w:r w:rsidR="00227084">
        <w:rPr>
          <w:noProof/>
        </w:rPr>
        <w:t>(200)</w:t>
      </w:r>
      <w:r w:rsidR="00DD593B" w:rsidRPr="0054775B">
        <w:t>.</w:t>
      </w:r>
      <w:r w:rsidR="0058364F" w:rsidRPr="0054775B">
        <w:t xml:space="preserve"> Diagnosis of T2DM relies on established diagnostic criteria that typically involve blood tests measuring glucose levels </w:t>
      </w:r>
      <w:r w:rsidR="00227084">
        <w:rPr>
          <w:noProof/>
        </w:rPr>
        <w:t>(200)</w:t>
      </w:r>
      <w:r w:rsidR="0058364F" w:rsidRPr="0054775B">
        <w:t xml:space="preserve">. </w:t>
      </w:r>
    </w:p>
    <w:p w14:paraId="6C98C060" w14:textId="7950D0E6" w:rsidR="00240A76" w:rsidRPr="0054775B" w:rsidRDefault="00315308" w:rsidP="009E6F7F">
      <w:r w:rsidRPr="0054775B">
        <w:t xml:space="preserve">Type 2 diabetes affects almost 4.6% of the Australian population, with higher rates in specific populations (e.g. Aboriginal and Torres Strait Islander peoples) and in areas of higher remoteness </w:t>
      </w:r>
      <w:r w:rsidR="00227084">
        <w:rPr>
          <w:noProof/>
        </w:rPr>
        <w:t>(201)</w:t>
      </w:r>
      <w:r w:rsidRPr="0054775B">
        <w:t xml:space="preserve">. In the previous two decades, the incidence of Type 2 diabetes in Australia increased almost 3-fold between, to </w:t>
      </w:r>
      <w:r w:rsidR="00B87AE0" w:rsidRPr="0054775B">
        <w:t>over</w:t>
      </w:r>
      <w:r w:rsidRPr="0054775B">
        <w:t xml:space="preserve"> 1.2 million</w:t>
      </w:r>
      <w:r w:rsidR="00B87AE0" w:rsidRPr="0054775B">
        <w:t xml:space="preserve"> people</w:t>
      </w:r>
      <w:r w:rsidRPr="0054775B">
        <w:t xml:space="preserve"> </w:t>
      </w:r>
      <w:r w:rsidR="00227084">
        <w:rPr>
          <w:noProof/>
        </w:rPr>
        <w:t>(201)</w:t>
      </w:r>
      <w:r w:rsidRPr="0054775B">
        <w:t xml:space="preserve">. Risk factors for Type 2 diabetes include age, sex, and family history, as well as biomedical factors (such as high blood pressure or obesity), and behavioural risk factors (such as smoking status, diet or physical activity) </w:t>
      </w:r>
      <w:r w:rsidR="00227084">
        <w:rPr>
          <w:noProof/>
        </w:rPr>
        <w:t>(201)</w:t>
      </w:r>
      <w:r w:rsidRPr="0054775B">
        <w:t>.</w:t>
      </w:r>
      <w:r w:rsidR="00D35D45" w:rsidRPr="0054775B">
        <w:t xml:space="preserve"> </w:t>
      </w:r>
      <w:r w:rsidR="00C66F00" w:rsidRPr="0054775B">
        <w:t>Unmanaged diabetes can lead to serious long-term complications, including cardiovascular disease, kidney failure, blindness, nerve damage, and lower limb amputations</w:t>
      </w:r>
      <w:r w:rsidR="000B5ECC" w:rsidRPr="0054775B">
        <w:t xml:space="preserve"> </w:t>
      </w:r>
      <w:r w:rsidR="00227084">
        <w:rPr>
          <w:noProof/>
        </w:rPr>
        <w:t>(202)</w:t>
      </w:r>
      <w:r w:rsidR="00D35D45" w:rsidRPr="0054775B">
        <w:t xml:space="preserve">, which can </w:t>
      </w:r>
      <w:r w:rsidR="00C66F00" w:rsidRPr="0054775B">
        <w:t>place a significant burden on individuals and healthcare systems.</w:t>
      </w:r>
    </w:p>
    <w:p w14:paraId="11535BFE" w14:textId="77777777" w:rsidR="008308E9" w:rsidRPr="0054775B" w:rsidRDefault="008308E9" w:rsidP="009E6F7F">
      <w:pPr>
        <w:pStyle w:val="2024HEADER3"/>
        <w:rPr>
          <w:rFonts w:ascii="Aptos" w:hAnsi="Aptos"/>
        </w:rPr>
      </w:pPr>
      <w:r w:rsidRPr="0054775B">
        <w:rPr>
          <w:rFonts w:ascii="Aptos" w:hAnsi="Aptos"/>
        </w:rPr>
        <w:t>Description of the intervention</w:t>
      </w:r>
    </w:p>
    <w:p w14:paraId="2A32605F" w14:textId="5C63A927" w:rsidR="00530CD8" w:rsidRPr="0054775B" w:rsidRDefault="00530CD8" w:rsidP="009E6F7F">
      <w:r w:rsidRPr="0054775B">
        <w:t xml:space="preserve">Oxidative stress is associated with cellular damage and an increased risk of chronic diseases like cardiovascular disease, cancer, and neurodegenerative disorders. Antioxidants are substances which can prevent or delay oxidations of cell components, thereby reducing oxidative stress </w:t>
      </w:r>
      <w:r w:rsidR="00F54937">
        <w:rPr>
          <w:noProof/>
        </w:rPr>
        <w:t>(140)</w:t>
      </w:r>
      <w:r w:rsidRPr="0054775B">
        <w:t xml:space="preserve">. Coenzyme Q10 (CoQ10) and alpha-lipoic acid (ALA) are two antioxidant molecules which are commonly taken to increase and support antioxidant levels in the body </w:t>
      </w:r>
      <w:r w:rsidR="00F54937">
        <w:rPr>
          <w:noProof/>
        </w:rPr>
        <w:t>(140)</w:t>
      </w:r>
      <w:r w:rsidRPr="0054775B">
        <w:t xml:space="preserve">. CoQ10, also called ubiquinone, is present in all human cells and is found in various foods like organ meats, oily fish, and whole grains </w:t>
      </w:r>
      <w:r w:rsidR="00F54937">
        <w:rPr>
          <w:noProof/>
        </w:rPr>
        <w:t>(142)</w:t>
      </w:r>
      <w:r w:rsidRPr="0054775B">
        <w:t xml:space="preserve">. ALA is an antioxidant made in small amounts by the human body and found in foods like red meat and certain vegetables (e.g. potatoes, beets, spinach and broccoli) </w:t>
      </w:r>
      <w:r w:rsidR="00F54937">
        <w:rPr>
          <w:noProof/>
        </w:rPr>
        <w:t>(143)</w:t>
      </w:r>
      <w:r w:rsidRPr="0054775B">
        <w:t>. Both CoQ10 and ALA are available as dietary supplement in capsules, tablets, and even liquid forms.</w:t>
      </w:r>
    </w:p>
    <w:p w14:paraId="446F8C24" w14:textId="592D512A" w:rsidR="00233334" w:rsidRPr="0054775B" w:rsidRDefault="00233334" w:rsidP="00233334">
      <w:r w:rsidRPr="0054775B">
        <w:t xml:space="preserve">Antioxidants may play a role in managing type 2 diabetes through mechanisms of </w:t>
      </w:r>
      <w:r w:rsidR="000302CE" w:rsidRPr="0054775B">
        <w:t xml:space="preserve">reducing oxidative stress, improving insulin sensitivity, protecting beta cells and their anti-inflammatory effects. </w:t>
      </w:r>
      <w:r w:rsidRPr="0054775B">
        <w:t>In diabetes, oxidative stress occurs due to an imbalance between free radicals and antioxidants</w:t>
      </w:r>
      <w:r w:rsidR="000302CE" w:rsidRPr="0054775B">
        <w:t>, the a</w:t>
      </w:r>
      <w:r w:rsidRPr="0054775B">
        <w:t>ntioxidants</w:t>
      </w:r>
      <w:r w:rsidR="000302CE" w:rsidRPr="0054775B">
        <w:t xml:space="preserve"> could work through </w:t>
      </w:r>
      <w:r w:rsidRPr="0054775B">
        <w:t>neutraliz</w:t>
      </w:r>
      <w:r w:rsidR="000302CE" w:rsidRPr="0054775B">
        <w:t>ing</w:t>
      </w:r>
      <w:r w:rsidRPr="0054775B">
        <w:t xml:space="preserve"> free radicals, preventing cellular damage and reducing the risk of diabetes-related complications.</w:t>
      </w:r>
      <w:r w:rsidR="000302CE" w:rsidRPr="0054775B">
        <w:t xml:space="preserve"> </w:t>
      </w:r>
      <w:r w:rsidR="00AB6C07" w:rsidRPr="0054775B">
        <w:t xml:space="preserve">Oxidative stress can also harm Beta cells in the pancreas (which produce insulin) </w:t>
      </w:r>
      <w:r w:rsidR="00412920" w:rsidRPr="0054775B">
        <w:t xml:space="preserve">so antioxidants may help protect beta cells. </w:t>
      </w:r>
      <w:r w:rsidRPr="0054775B">
        <w:t>Some antioxidants, such as alpha-lipoic acid</w:t>
      </w:r>
      <w:r w:rsidR="000302CE" w:rsidRPr="0054775B">
        <w:t xml:space="preserve"> are thought to </w:t>
      </w:r>
      <w:r w:rsidRPr="0054775B">
        <w:t>enhance insulin sensitivity</w:t>
      </w:r>
      <w:r w:rsidR="003D2E84" w:rsidRPr="0054775B">
        <w:t xml:space="preserve"> </w:t>
      </w:r>
      <w:r w:rsidR="00227084">
        <w:rPr>
          <w:noProof/>
        </w:rPr>
        <w:t>(203)</w:t>
      </w:r>
      <w:r w:rsidRPr="0054775B">
        <w:t>.</w:t>
      </w:r>
      <w:r w:rsidR="000302CE" w:rsidRPr="0054775B">
        <w:t xml:space="preserve"> </w:t>
      </w:r>
      <w:r w:rsidRPr="0054775B">
        <w:t xml:space="preserve">Improved insulin sensitivity helps regulate blood sugar levels and prevents </w:t>
      </w:r>
      <w:r w:rsidR="007F6FEB" w:rsidRPr="0054775B">
        <w:t>hyperglycaemia</w:t>
      </w:r>
      <w:r w:rsidRPr="0054775B">
        <w:t>.</w:t>
      </w:r>
      <w:r w:rsidR="00412920" w:rsidRPr="0054775B">
        <w:t xml:space="preserve"> </w:t>
      </w:r>
      <w:r w:rsidRPr="0054775B">
        <w:t>Chronic inflammation contributes to insulin resistance and diabetes</w:t>
      </w:r>
      <w:r w:rsidR="002D1F8C">
        <w:t>. A</w:t>
      </w:r>
      <w:r w:rsidRPr="0054775B">
        <w:t xml:space="preserve">ntioxidants </w:t>
      </w:r>
      <w:r w:rsidR="00412920" w:rsidRPr="0054775B">
        <w:t xml:space="preserve">may </w:t>
      </w:r>
      <w:r w:rsidRPr="0054775B">
        <w:t>reduce inflammation, promoting better glucose control.</w:t>
      </w:r>
    </w:p>
    <w:p w14:paraId="65FFD118" w14:textId="6FFD4402" w:rsidR="00184383" w:rsidRPr="0054775B" w:rsidRDefault="008308E9" w:rsidP="009E6F7F">
      <w:pPr>
        <w:pStyle w:val="2024HEADER3"/>
        <w:rPr>
          <w:rFonts w:ascii="Aptos" w:hAnsi="Aptos"/>
        </w:rPr>
      </w:pPr>
      <w:r w:rsidRPr="0054775B">
        <w:rPr>
          <w:rFonts w:ascii="Aptos" w:hAnsi="Aptos"/>
        </w:rPr>
        <w:t>Prioritised outcomes</w:t>
      </w:r>
    </w:p>
    <w:p w14:paraId="778E6A31" w14:textId="2AD5711F" w:rsidR="00184383" w:rsidRPr="0054775B" w:rsidRDefault="00184383" w:rsidP="009E6F7F">
      <w:r w:rsidRPr="0054775B">
        <w:lastRenderedPageBreak/>
        <w:t xml:space="preserve">Seven priority outcomes were </w:t>
      </w:r>
      <w:r w:rsidR="0061001C" w:rsidRPr="0054775B">
        <w:t xml:space="preserve">identified by NTWC as part of the Outcome Prioritisation Exercise. These are listed below by order of priority. </w:t>
      </w:r>
      <w:r w:rsidRPr="0054775B">
        <w:t>Outcomes were rated by their importance to decision-making, with those rated 7-9 being critical for decision-making.</w:t>
      </w:r>
    </w:p>
    <w:p w14:paraId="3DB2F965" w14:textId="4D7049AA" w:rsidR="00764746" w:rsidRPr="0054775B" w:rsidRDefault="00D35D45" w:rsidP="006F63D3">
      <w:pPr>
        <w:pStyle w:val="2024TABLECAPTION"/>
        <w:rPr>
          <w:rFonts w:ascii="Aptos" w:hAnsi="Aptos"/>
        </w:rPr>
      </w:pPr>
      <w:bookmarkStart w:id="136" w:name="_Toc185261628"/>
      <w:r w:rsidRPr="0054775B">
        <w:rPr>
          <w:rFonts w:ascii="Aptos" w:hAnsi="Aptos"/>
        </w:rPr>
        <w:t xml:space="preserve">Table </w:t>
      </w:r>
      <w:r w:rsidR="002F1F6C" w:rsidRPr="0054775B">
        <w:rPr>
          <w:rFonts w:ascii="Aptos" w:hAnsi="Aptos"/>
        </w:rPr>
        <w:fldChar w:fldCharType="begin"/>
      </w:r>
      <w:r w:rsidR="002F1F6C" w:rsidRPr="0054775B">
        <w:rPr>
          <w:rFonts w:ascii="Aptos" w:hAnsi="Aptos"/>
        </w:rPr>
        <w:instrText xml:space="preserve"> SEQ Table \* ARABIC </w:instrText>
      </w:r>
      <w:r w:rsidR="002F1F6C" w:rsidRPr="0054775B">
        <w:rPr>
          <w:rFonts w:ascii="Aptos" w:hAnsi="Aptos"/>
        </w:rPr>
        <w:fldChar w:fldCharType="separate"/>
      </w:r>
      <w:r w:rsidR="00651E04">
        <w:rPr>
          <w:rFonts w:ascii="Aptos" w:hAnsi="Aptos"/>
          <w:noProof/>
        </w:rPr>
        <w:t>50</w:t>
      </w:r>
      <w:r w:rsidR="002F1F6C" w:rsidRPr="0054775B">
        <w:rPr>
          <w:rFonts w:ascii="Aptos" w:hAnsi="Aptos"/>
          <w:noProof/>
        </w:rPr>
        <w:fldChar w:fldCharType="end"/>
      </w:r>
      <w:r w:rsidRPr="0054775B">
        <w:rPr>
          <w:rFonts w:ascii="Aptos" w:hAnsi="Aptos"/>
        </w:rPr>
        <w:t xml:space="preserve">. </w:t>
      </w:r>
      <w:r w:rsidR="00764746" w:rsidRPr="0054775B">
        <w:rPr>
          <w:rFonts w:ascii="Aptos" w:hAnsi="Aptos"/>
        </w:rPr>
        <w:t xml:space="preserve">List of prioritised outcomes – </w:t>
      </w:r>
      <w:r w:rsidR="0012437F" w:rsidRPr="0054775B">
        <w:rPr>
          <w:rFonts w:ascii="Aptos" w:hAnsi="Aptos"/>
        </w:rPr>
        <w:t xml:space="preserve">Diabetes (Type lI) (including metabolic syndrome), </w:t>
      </w:r>
      <w:r w:rsidR="00362896" w:rsidRPr="0054775B">
        <w:rPr>
          <w:rFonts w:ascii="Aptos" w:hAnsi="Aptos"/>
        </w:rPr>
        <w:t>a</w:t>
      </w:r>
      <w:r w:rsidR="0012437F" w:rsidRPr="0054775B">
        <w:rPr>
          <w:rFonts w:ascii="Aptos" w:hAnsi="Aptos"/>
        </w:rPr>
        <w:t xml:space="preserve">ntioxidants (specifically </w:t>
      </w:r>
      <w:r w:rsidR="00B84C75" w:rsidRPr="0054775B">
        <w:rPr>
          <w:rFonts w:ascii="Aptos" w:hAnsi="Aptos"/>
        </w:rPr>
        <w:t>CoQ10 and ALA</w:t>
      </w:r>
      <w:r w:rsidR="0012437F" w:rsidRPr="0054775B">
        <w:rPr>
          <w:rFonts w:ascii="Aptos" w:hAnsi="Aptos"/>
        </w:rPr>
        <w:t xml:space="preserve">) </w:t>
      </w:r>
      <w:r w:rsidR="00764746" w:rsidRPr="0054775B">
        <w:rPr>
          <w:rFonts w:ascii="Aptos" w:hAnsi="Aptos"/>
        </w:rPr>
        <w:t>(as assessed as part of the Outcome Prioritisation Exercise by NTWC).</w:t>
      </w:r>
      <w:bookmarkEnd w:id="136"/>
      <w:r w:rsidR="00764746" w:rsidRPr="0054775B">
        <w:rPr>
          <w:rFonts w:ascii="Aptos" w:hAnsi="Aptos"/>
        </w:rPr>
        <w:t> </w:t>
      </w:r>
    </w:p>
    <w:tbl>
      <w:tblPr>
        <w:tblpPr w:leftFromText="180" w:rightFromText="180" w:vertAnchor="text" w:tblpY="1"/>
        <w:tblOverlap w:val="never"/>
        <w:tblW w:w="9209" w:type="dxa"/>
        <w:tblCellMar>
          <w:top w:w="28" w:type="dxa"/>
          <w:left w:w="57" w:type="dxa"/>
          <w:bottom w:w="28" w:type="dxa"/>
          <w:right w:w="28" w:type="dxa"/>
        </w:tblCellMar>
        <w:tblLook w:val="04A0" w:firstRow="1" w:lastRow="0" w:firstColumn="1" w:lastColumn="0" w:noHBand="0" w:noVBand="1"/>
      </w:tblPr>
      <w:tblGrid>
        <w:gridCol w:w="391"/>
        <w:gridCol w:w="1090"/>
        <w:gridCol w:w="1194"/>
        <w:gridCol w:w="720"/>
        <w:gridCol w:w="5814"/>
      </w:tblGrid>
      <w:tr w:rsidR="00A70B1C" w:rsidRPr="0054775B" w14:paraId="5DD2488E" w14:textId="77777777" w:rsidTr="000F1694">
        <w:trPr>
          <w:trHeight w:val="95"/>
        </w:trPr>
        <w:tc>
          <w:tcPr>
            <w:tcW w:w="0" w:type="auto"/>
            <w:vMerge w:val="restart"/>
            <w:tcBorders>
              <w:top w:val="single" w:sz="4" w:space="0" w:color="auto"/>
              <w:left w:val="single" w:sz="4" w:space="0" w:color="auto"/>
              <w:right w:val="single" w:sz="4" w:space="0" w:color="auto"/>
            </w:tcBorders>
            <w:shd w:val="clear" w:color="auto" w:fill="D9D9D9" w:themeFill="background1" w:themeFillShade="D9"/>
            <w:vAlign w:val="center"/>
            <w:hideMark/>
          </w:tcPr>
          <w:p w14:paraId="161668C4" w14:textId="77777777" w:rsidR="000F1694" w:rsidRPr="0054775B" w:rsidRDefault="000F1694" w:rsidP="007B139A">
            <w:pPr>
              <w:pStyle w:val="2024TABLEHEADER"/>
            </w:pPr>
            <w:r w:rsidRPr="0054775B">
              <w:t> #</w:t>
            </w:r>
          </w:p>
        </w:tc>
        <w:tc>
          <w:tcPr>
            <w:tcW w:w="1090" w:type="dxa"/>
            <w:vMerge w:val="restart"/>
            <w:tcBorders>
              <w:top w:val="single" w:sz="4" w:space="0" w:color="auto"/>
              <w:left w:val="nil"/>
              <w:right w:val="single" w:sz="4" w:space="0" w:color="auto"/>
            </w:tcBorders>
            <w:shd w:val="clear" w:color="auto" w:fill="D9D9D9" w:themeFill="background1" w:themeFillShade="D9"/>
            <w:vAlign w:val="center"/>
            <w:hideMark/>
          </w:tcPr>
          <w:p w14:paraId="74BDEF35" w14:textId="77777777" w:rsidR="000F1694" w:rsidRPr="0054775B" w:rsidRDefault="000F1694" w:rsidP="007B139A">
            <w:pPr>
              <w:pStyle w:val="2024TABLEHEADER"/>
            </w:pPr>
            <w:r w:rsidRPr="0054775B">
              <w:t>Priority population</w:t>
            </w:r>
          </w:p>
        </w:tc>
        <w:tc>
          <w:tcPr>
            <w:tcW w:w="1194" w:type="dxa"/>
            <w:vMerge w:val="restart"/>
            <w:tcBorders>
              <w:top w:val="single" w:sz="4" w:space="0" w:color="auto"/>
              <w:left w:val="nil"/>
              <w:right w:val="single" w:sz="4" w:space="0" w:color="auto"/>
            </w:tcBorders>
            <w:shd w:val="clear" w:color="auto" w:fill="D9D9D9" w:themeFill="background1" w:themeFillShade="D9"/>
            <w:vAlign w:val="center"/>
            <w:hideMark/>
          </w:tcPr>
          <w:p w14:paraId="358EB373" w14:textId="77777777" w:rsidR="000F1694" w:rsidRPr="0054775B" w:rsidRDefault="000F1694" w:rsidP="007B139A">
            <w:pPr>
              <w:pStyle w:val="2024TABLEHEADER"/>
            </w:pPr>
            <w:r w:rsidRPr="0054775B">
              <w:t xml:space="preserve">Priority intervention </w:t>
            </w:r>
          </w:p>
        </w:tc>
        <w:tc>
          <w:tcPr>
            <w:tcW w:w="6534" w:type="dxa"/>
            <w:gridSpan w:val="2"/>
            <w:tcBorders>
              <w:top w:val="single" w:sz="4" w:space="0" w:color="auto"/>
              <w:left w:val="nil"/>
              <w:bottom w:val="single" w:sz="4" w:space="0" w:color="auto"/>
              <w:right w:val="single" w:sz="4" w:space="0" w:color="auto"/>
            </w:tcBorders>
            <w:shd w:val="clear" w:color="auto" w:fill="D9D9D9" w:themeFill="background1" w:themeFillShade="D9"/>
            <w:vAlign w:val="center"/>
          </w:tcPr>
          <w:p w14:paraId="5E804DC6" w14:textId="77777777" w:rsidR="000F1694" w:rsidRPr="0054775B" w:rsidRDefault="000F1694" w:rsidP="007B139A">
            <w:pPr>
              <w:pStyle w:val="2024TABLEHEADER"/>
            </w:pPr>
            <w:r w:rsidRPr="0054775B">
              <w:t>Priority outcomes</w:t>
            </w:r>
          </w:p>
        </w:tc>
      </w:tr>
      <w:tr w:rsidR="00FB247D" w:rsidRPr="0054775B" w14:paraId="235A69E3" w14:textId="77777777" w:rsidTr="000F1694">
        <w:trPr>
          <w:trHeight w:val="95"/>
        </w:trPr>
        <w:tc>
          <w:tcPr>
            <w:tcW w:w="0" w:type="auto"/>
            <w:vMerge/>
            <w:tcBorders>
              <w:left w:val="single" w:sz="4" w:space="0" w:color="auto"/>
              <w:bottom w:val="single" w:sz="4" w:space="0" w:color="auto"/>
              <w:right w:val="single" w:sz="4" w:space="0" w:color="auto"/>
            </w:tcBorders>
            <w:shd w:val="clear" w:color="auto" w:fill="D9D9D9" w:themeFill="background1" w:themeFillShade="D9"/>
            <w:vAlign w:val="center"/>
          </w:tcPr>
          <w:p w14:paraId="67365BDB" w14:textId="77777777" w:rsidR="000F1694" w:rsidRPr="0054775B" w:rsidRDefault="000F1694" w:rsidP="007B139A">
            <w:pPr>
              <w:pStyle w:val="2024TABLEHEADER"/>
            </w:pPr>
          </w:p>
        </w:tc>
        <w:tc>
          <w:tcPr>
            <w:tcW w:w="1090" w:type="dxa"/>
            <w:vMerge/>
            <w:tcBorders>
              <w:left w:val="nil"/>
              <w:bottom w:val="single" w:sz="4" w:space="0" w:color="auto"/>
              <w:right w:val="single" w:sz="4" w:space="0" w:color="auto"/>
            </w:tcBorders>
            <w:shd w:val="clear" w:color="auto" w:fill="D9D9D9" w:themeFill="background1" w:themeFillShade="D9"/>
            <w:vAlign w:val="center"/>
          </w:tcPr>
          <w:p w14:paraId="2B6ECC75" w14:textId="77777777" w:rsidR="000F1694" w:rsidRPr="0054775B" w:rsidRDefault="000F1694" w:rsidP="007B139A">
            <w:pPr>
              <w:pStyle w:val="2024TABLEHEADER"/>
            </w:pPr>
          </w:p>
        </w:tc>
        <w:tc>
          <w:tcPr>
            <w:tcW w:w="1194" w:type="dxa"/>
            <w:vMerge/>
            <w:tcBorders>
              <w:left w:val="nil"/>
              <w:bottom w:val="single" w:sz="4" w:space="0" w:color="auto"/>
              <w:right w:val="single" w:sz="4" w:space="0" w:color="auto"/>
            </w:tcBorders>
            <w:shd w:val="clear" w:color="auto" w:fill="D9D9D9" w:themeFill="background1" w:themeFillShade="D9"/>
            <w:vAlign w:val="center"/>
          </w:tcPr>
          <w:p w14:paraId="54A66D8F" w14:textId="77777777" w:rsidR="000F1694" w:rsidRPr="0054775B" w:rsidRDefault="000F1694" w:rsidP="007B139A">
            <w:pPr>
              <w:pStyle w:val="2024TABLEHEADER"/>
            </w:pPr>
          </w:p>
        </w:tc>
        <w:tc>
          <w:tcPr>
            <w:tcW w:w="720" w:type="dxa"/>
            <w:tcBorders>
              <w:top w:val="nil"/>
              <w:left w:val="nil"/>
              <w:bottom w:val="single" w:sz="4" w:space="0" w:color="auto"/>
              <w:right w:val="single" w:sz="4" w:space="0" w:color="auto"/>
            </w:tcBorders>
            <w:shd w:val="clear" w:color="auto" w:fill="D9D9D9" w:themeFill="background1" w:themeFillShade="D9"/>
            <w:vAlign w:val="center"/>
          </w:tcPr>
          <w:p w14:paraId="0FC5E49D" w14:textId="77777777" w:rsidR="000F1694" w:rsidRPr="0054775B" w:rsidRDefault="000F1694" w:rsidP="007B139A">
            <w:pPr>
              <w:pStyle w:val="2024TABLEHEADER"/>
            </w:pPr>
            <w:r w:rsidRPr="0054775B">
              <w:t>NTWC Rating</w:t>
            </w:r>
          </w:p>
        </w:tc>
        <w:tc>
          <w:tcPr>
            <w:tcW w:w="5814" w:type="dxa"/>
            <w:tcBorders>
              <w:top w:val="nil"/>
              <w:left w:val="nil"/>
              <w:bottom w:val="single" w:sz="4" w:space="0" w:color="auto"/>
              <w:right w:val="single" w:sz="4" w:space="0" w:color="auto"/>
            </w:tcBorders>
            <w:shd w:val="clear" w:color="auto" w:fill="D9D9D9" w:themeFill="background1" w:themeFillShade="D9"/>
            <w:vAlign w:val="center"/>
          </w:tcPr>
          <w:p w14:paraId="35E01076" w14:textId="12AE6C45" w:rsidR="000F1694" w:rsidRPr="0054775B" w:rsidRDefault="000F1694" w:rsidP="007B139A">
            <w:pPr>
              <w:pStyle w:val="2024TABLEHEADER"/>
            </w:pPr>
            <w:r w:rsidRPr="0054775B">
              <w:t>Outcome</w:t>
            </w:r>
            <w:r>
              <w:t xml:space="preserve"> </w:t>
            </w:r>
            <w:r w:rsidR="00B62EAB">
              <w:t>d</w:t>
            </w:r>
            <w:r>
              <w:t>omain</w:t>
            </w:r>
          </w:p>
        </w:tc>
      </w:tr>
      <w:tr w:rsidR="002B69D4" w:rsidRPr="0054775B" w14:paraId="516E9707" w14:textId="77777777" w:rsidTr="000F1694">
        <w:trPr>
          <w:trHeight w:val="95"/>
        </w:trPr>
        <w:tc>
          <w:tcPr>
            <w:tcW w:w="0" w:type="auto"/>
            <w:vMerge w:val="restart"/>
            <w:tcBorders>
              <w:top w:val="nil"/>
              <w:left w:val="single" w:sz="4" w:space="0" w:color="auto"/>
              <w:right w:val="single" w:sz="4" w:space="0" w:color="auto"/>
            </w:tcBorders>
            <w:shd w:val="clear" w:color="auto" w:fill="auto"/>
            <w:vAlign w:val="center"/>
          </w:tcPr>
          <w:p w14:paraId="5E9D0181" w14:textId="0A2B02E3" w:rsidR="000F1694" w:rsidRPr="0054775B" w:rsidRDefault="000F1694" w:rsidP="00DB01C5">
            <w:pPr>
              <w:pStyle w:val="2024TABLETEXT"/>
              <w:framePr w:hSpace="0" w:wrap="auto" w:vAnchor="margin" w:yAlign="inline"/>
              <w:suppressOverlap w:val="0"/>
            </w:pPr>
            <w:r w:rsidRPr="0054775B">
              <w:t>15</w:t>
            </w:r>
          </w:p>
        </w:tc>
        <w:tc>
          <w:tcPr>
            <w:tcW w:w="1090" w:type="dxa"/>
            <w:vMerge w:val="restart"/>
            <w:tcBorders>
              <w:top w:val="nil"/>
              <w:left w:val="nil"/>
              <w:right w:val="single" w:sz="4" w:space="0" w:color="auto"/>
            </w:tcBorders>
            <w:shd w:val="clear" w:color="auto" w:fill="auto"/>
            <w:vAlign w:val="center"/>
          </w:tcPr>
          <w:p w14:paraId="484F9C1D" w14:textId="2F1A7324" w:rsidR="000F1694" w:rsidRPr="0054775B" w:rsidRDefault="000F1694" w:rsidP="00DB01C5">
            <w:pPr>
              <w:pStyle w:val="2024TABLETEXT"/>
              <w:framePr w:hSpace="0" w:wrap="auto" w:vAnchor="margin" w:yAlign="inline"/>
              <w:suppressOverlap w:val="0"/>
            </w:pPr>
            <w:r w:rsidRPr="0054775B">
              <w:t>Diabetes (Type lI) (including metabolic syndrome)</w:t>
            </w:r>
          </w:p>
        </w:tc>
        <w:tc>
          <w:tcPr>
            <w:tcW w:w="1194" w:type="dxa"/>
            <w:vMerge w:val="restart"/>
            <w:tcBorders>
              <w:top w:val="nil"/>
              <w:left w:val="nil"/>
              <w:right w:val="single" w:sz="4" w:space="0" w:color="auto"/>
            </w:tcBorders>
            <w:shd w:val="clear" w:color="auto" w:fill="auto"/>
            <w:vAlign w:val="center"/>
          </w:tcPr>
          <w:p w14:paraId="3124CDBE" w14:textId="24BFFA28" w:rsidR="000F1694" w:rsidRPr="0054775B" w:rsidRDefault="000F1694" w:rsidP="00DB01C5">
            <w:pPr>
              <w:pStyle w:val="2024TABLETEXT"/>
              <w:framePr w:hSpace="0" w:wrap="auto" w:vAnchor="margin" w:yAlign="inline"/>
              <w:suppressOverlap w:val="0"/>
            </w:pPr>
            <w:r w:rsidRPr="0054775B">
              <w:t>Antioxidants (specifically: CoQ10 and alpha-lipoic acid)</w:t>
            </w:r>
          </w:p>
        </w:tc>
        <w:tc>
          <w:tcPr>
            <w:tcW w:w="720" w:type="dxa"/>
            <w:tcBorders>
              <w:top w:val="nil"/>
              <w:left w:val="nil"/>
              <w:bottom w:val="single" w:sz="4" w:space="0" w:color="auto"/>
              <w:right w:val="single" w:sz="4" w:space="0" w:color="auto"/>
            </w:tcBorders>
            <w:shd w:val="clear" w:color="auto" w:fill="auto"/>
            <w:vAlign w:val="center"/>
          </w:tcPr>
          <w:p w14:paraId="6BF5B741" w14:textId="73EC8E58" w:rsidR="000F1694" w:rsidRPr="0054775B" w:rsidRDefault="000F1694" w:rsidP="00DB01C5">
            <w:pPr>
              <w:pStyle w:val="2024TABLETEXT"/>
              <w:framePr w:hSpace="0" w:wrap="auto" w:vAnchor="margin" w:yAlign="inline"/>
              <w:suppressOverlap w:val="0"/>
            </w:pPr>
            <w:r w:rsidRPr="0054775B">
              <w:t>8</w:t>
            </w:r>
          </w:p>
        </w:tc>
        <w:tc>
          <w:tcPr>
            <w:tcW w:w="5814" w:type="dxa"/>
            <w:tcBorders>
              <w:top w:val="nil"/>
              <w:left w:val="nil"/>
              <w:bottom w:val="single" w:sz="4" w:space="0" w:color="auto"/>
              <w:right w:val="single" w:sz="4" w:space="0" w:color="auto"/>
            </w:tcBorders>
            <w:shd w:val="clear" w:color="auto" w:fill="auto"/>
          </w:tcPr>
          <w:p w14:paraId="3C885D7F" w14:textId="329FCDB1" w:rsidR="000F1694" w:rsidRPr="0054775B" w:rsidRDefault="000F1694" w:rsidP="00DB01C5">
            <w:pPr>
              <w:pStyle w:val="2024TABLETEXT"/>
              <w:framePr w:hSpace="0" w:wrap="auto" w:vAnchor="margin" w:yAlign="inline"/>
              <w:suppressOverlap w:val="0"/>
            </w:pPr>
            <w:r w:rsidRPr="0054775B">
              <w:t>Glyc</w:t>
            </w:r>
            <w:r w:rsidR="007B71E0">
              <w:t>a</w:t>
            </w:r>
            <w:r w:rsidRPr="0054775B">
              <w:t>emic control</w:t>
            </w:r>
          </w:p>
          <w:p w14:paraId="5677A129" w14:textId="77777777" w:rsidR="000F1694" w:rsidRPr="0054775B" w:rsidRDefault="000F1694" w:rsidP="00107BEE">
            <w:pPr>
              <w:pStyle w:val="2024TABLETEXT"/>
              <w:framePr w:hSpace="0" w:wrap="auto" w:vAnchor="margin" w:yAlign="inline"/>
              <w:numPr>
                <w:ilvl w:val="0"/>
                <w:numId w:val="9"/>
              </w:numPr>
              <w:suppressOverlap w:val="0"/>
            </w:pPr>
            <w:r w:rsidRPr="0054775B">
              <w:t>HbA1c</w:t>
            </w:r>
          </w:p>
          <w:p w14:paraId="466E7B6F" w14:textId="77777777" w:rsidR="000F1694" w:rsidRPr="0054775B" w:rsidRDefault="000F1694" w:rsidP="00107BEE">
            <w:pPr>
              <w:pStyle w:val="2024TABLETEXT"/>
              <w:framePr w:hSpace="0" w:wrap="auto" w:vAnchor="margin" w:yAlign="inline"/>
              <w:numPr>
                <w:ilvl w:val="0"/>
                <w:numId w:val="9"/>
              </w:numPr>
              <w:suppressOverlap w:val="0"/>
            </w:pPr>
            <w:r w:rsidRPr="0054775B">
              <w:t>Fasting glucose</w:t>
            </w:r>
          </w:p>
          <w:p w14:paraId="17822D7D" w14:textId="77777777" w:rsidR="000F1694" w:rsidRPr="0054775B" w:rsidRDefault="000F1694" w:rsidP="00107BEE">
            <w:pPr>
              <w:pStyle w:val="2024TABLETEXT"/>
              <w:framePr w:hSpace="0" w:wrap="auto" w:vAnchor="margin" w:yAlign="inline"/>
              <w:numPr>
                <w:ilvl w:val="0"/>
                <w:numId w:val="9"/>
              </w:numPr>
              <w:suppressOverlap w:val="0"/>
            </w:pPr>
            <w:r w:rsidRPr="0054775B">
              <w:t>Fasting insulin</w:t>
            </w:r>
          </w:p>
          <w:p w14:paraId="7817D7EB" w14:textId="77777777" w:rsidR="000F1694" w:rsidRPr="0054775B" w:rsidRDefault="000F1694" w:rsidP="00107BEE">
            <w:pPr>
              <w:pStyle w:val="2024TABLETEXT"/>
              <w:framePr w:hSpace="0" w:wrap="auto" w:vAnchor="margin" w:yAlign="inline"/>
              <w:numPr>
                <w:ilvl w:val="0"/>
                <w:numId w:val="9"/>
              </w:numPr>
              <w:suppressOverlap w:val="0"/>
            </w:pPr>
            <w:r w:rsidRPr="0054775B">
              <w:t>Homeostatic model assessment of insulin resistance</w:t>
            </w:r>
          </w:p>
          <w:p w14:paraId="45C34576" w14:textId="77777777" w:rsidR="000F1694" w:rsidRPr="0054775B" w:rsidRDefault="000F1694" w:rsidP="00107BEE">
            <w:pPr>
              <w:pStyle w:val="2024TABLETEXT"/>
              <w:framePr w:hSpace="0" w:wrap="auto" w:vAnchor="margin" w:yAlign="inline"/>
              <w:numPr>
                <w:ilvl w:val="0"/>
                <w:numId w:val="9"/>
              </w:numPr>
              <w:suppressOverlap w:val="0"/>
            </w:pPr>
            <w:r w:rsidRPr="0054775B">
              <w:t>2 hour post-prandial blood sugar</w:t>
            </w:r>
          </w:p>
          <w:p w14:paraId="6F4C99B4" w14:textId="77777777" w:rsidR="000F1694" w:rsidRPr="0054775B" w:rsidRDefault="000F1694" w:rsidP="00107BEE">
            <w:pPr>
              <w:pStyle w:val="2024TABLETEXT"/>
              <w:framePr w:hSpace="0" w:wrap="auto" w:vAnchor="margin" w:yAlign="inline"/>
              <w:numPr>
                <w:ilvl w:val="0"/>
                <w:numId w:val="9"/>
              </w:numPr>
              <w:suppressOverlap w:val="0"/>
            </w:pPr>
            <w:r w:rsidRPr="0054775B">
              <w:t>Hyperglycemia (frequency)</w:t>
            </w:r>
          </w:p>
          <w:p w14:paraId="4C843285" w14:textId="29F159C9" w:rsidR="000F1694" w:rsidRPr="0054775B" w:rsidRDefault="000F1694" w:rsidP="00107BEE">
            <w:pPr>
              <w:pStyle w:val="2024TABLETEXT"/>
              <w:framePr w:hSpace="0" w:wrap="auto" w:vAnchor="margin" w:yAlign="inline"/>
              <w:numPr>
                <w:ilvl w:val="0"/>
                <w:numId w:val="9"/>
              </w:numPr>
              <w:suppressOverlap w:val="0"/>
            </w:pPr>
            <w:r w:rsidRPr="0054775B">
              <w:t>Hypoglycemia (frequency)</w:t>
            </w:r>
          </w:p>
        </w:tc>
      </w:tr>
      <w:tr w:rsidR="002B69D4" w:rsidRPr="0054775B" w14:paraId="7762F896" w14:textId="77777777" w:rsidTr="000F1694">
        <w:trPr>
          <w:trHeight w:val="95"/>
        </w:trPr>
        <w:tc>
          <w:tcPr>
            <w:tcW w:w="0" w:type="auto"/>
            <w:vMerge/>
            <w:tcBorders>
              <w:left w:val="single" w:sz="4" w:space="0" w:color="auto"/>
              <w:right w:val="single" w:sz="4" w:space="0" w:color="auto"/>
            </w:tcBorders>
            <w:shd w:val="clear" w:color="auto" w:fill="auto"/>
            <w:vAlign w:val="center"/>
          </w:tcPr>
          <w:p w14:paraId="1AA4B88B" w14:textId="77777777" w:rsidR="000F1694" w:rsidRPr="0054775B" w:rsidRDefault="000F1694" w:rsidP="007B139A">
            <w:pPr>
              <w:pStyle w:val="2024TABLETEXT"/>
              <w:framePr w:hSpace="0" w:wrap="auto" w:vAnchor="margin" w:yAlign="inline"/>
              <w:suppressOverlap w:val="0"/>
            </w:pPr>
          </w:p>
        </w:tc>
        <w:tc>
          <w:tcPr>
            <w:tcW w:w="1090" w:type="dxa"/>
            <w:vMerge/>
            <w:tcBorders>
              <w:left w:val="nil"/>
              <w:right w:val="single" w:sz="4" w:space="0" w:color="auto"/>
            </w:tcBorders>
            <w:shd w:val="clear" w:color="auto" w:fill="auto"/>
            <w:vAlign w:val="center"/>
          </w:tcPr>
          <w:p w14:paraId="3C486D89" w14:textId="77777777" w:rsidR="000F1694" w:rsidRPr="0054775B" w:rsidRDefault="000F1694" w:rsidP="007B139A">
            <w:pPr>
              <w:pStyle w:val="2024TABLETEXT"/>
              <w:framePr w:hSpace="0" w:wrap="auto" w:vAnchor="margin" w:yAlign="inline"/>
              <w:suppressOverlap w:val="0"/>
            </w:pPr>
          </w:p>
        </w:tc>
        <w:tc>
          <w:tcPr>
            <w:tcW w:w="1194" w:type="dxa"/>
            <w:vMerge/>
            <w:tcBorders>
              <w:left w:val="nil"/>
              <w:right w:val="single" w:sz="4" w:space="0" w:color="auto"/>
            </w:tcBorders>
            <w:shd w:val="clear" w:color="auto" w:fill="auto"/>
            <w:vAlign w:val="center"/>
          </w:tcPr>
          <w:p w14:paraId="419EEDB9" w14:textId="77777777" w:rsidR="000F1694" w:rsidRPr="0054775B" w:rsidRDefault="000F1694" w:rsidP="007B139A">
            <w:pPr>
              <w:pStyle w:val="2024TABLETEXT"/>
              <w:framePr w:hSpace="0" w:wrap="auto" w:vAnchor="margin" w:yAlign="inline"/>
              <w:suppressOverlap w:val="0"/>
            </w:pPr>
          </w:p>
        </w:tc>
        <w:tc>
          <w:tcPr>
            <w:tcW w:w="720" w:type="dxa"/>
            <w:tcBorders>
              <w:top w:val="nil"/>
              <w:left w:val="nil"/>
              <w:bottom w:val="single" w:sz="4" w:space="0" w:color="auto"/>
              <w:right w:val="single" w:sz="4" w:space="0" w:color="auto"/>
            </w:tcBorders>
            <w:shd w:val="clear" w:color="auto" w:fill="auto"/>
            <w:vAlign w:val="center"/>
          </w:tcPr>
          <w:p w14:paraId="09129A97" w14:textId="2B0E3343" w:rsidR="000F1694" w:rsidRPr="0054775B" w:rsidRDefault="000F1694" w:rsidP="007B139A">
            <w:pPr>
              <w:pStyle w:val="2024TABLETEXT"/>
              <w:framePr w:hSpace="0" w:wrap="auto" w:vAnchor="margin" w:yAlign="inline"/>
              <w:suppressOverlap w:val="0"/>
            </w:pPr>
            <w:r w:rsidRPr="0054775B">
              <w:t>8</w:t>
            </w:r>
          </w:p>
        </w:tc>
        <w:tc>
          <w:tcPr>
            <w:tcW w:w="5814" w:type="dxa"/>
            <w:tcBorders>
              <w:top w:val="nil"/>
              <w:left w:val="nil"/>
              <w:bottom w:val="single" w:sz="4" w:space="0" w:color="auto"/>
              <w:right w:val="single" w:sz="4" w:space="0" w:color="auto"/>
            </w:tcBorders>
            <w:shd w:val="clear" w:color="auto" w:fill="auto"/>
          </w:tcPr>
          <w:p w14:paraId="5AD15081" w14:textId="77777777" w:rsidR="000F1694" w:rsidRPr="0054775B" w:rsidRDefault="000F1694" w:rsidP="007B139A">
            <w:pPr>
              <w:pStyle w:val="2024TABLETEXT"/>
              <w:framePr w:hSpace="0" w:wrap="auto" w:vAnchor="margin" w:yAlign="inline"/>
              <w:suppressOverlap w:val="0"/>
            </w:pPr>
            <w:r w:rsidRPr="0054775B">
              <w:t>Blood pressure</w:t>
            </w:r>
          </w:p>
          <w:p w14:paraId="2B0A436D" w14:textId="77777777" w:rsidR="000F1694" w:rsidRPr="0054775B" w:rsidRDefault="000F1694" w:rsidP="00107BEE">
            <w:pPr>
              <w:pStyle w:val="2024TABLETEXT"/>
              <w:framePr w:hSpace="0" w:wrap="auto" w:vAnchor="margin" w:yAlign="inline"/>
              <w:numPr>
                <w:ilvl w:val="0"/>
                <w:numId w:val="10"/>
              </w:numPr>
              <w:suppressOverlap w:val="0"/>
            </w:pPr>
            <w:r w:rsidRPr="0054775B">
              <w:t>Systolic</w:t>
            </w:r>
          </w:p>
          <w:p w14:paraId="29C1582A" w14:textId="43C968EA" w:rsidR="000F1694" w:rsidRPr="0054775B" w:rsidRDefault="000F1694" w:rsidP="00107BEE">
            <w:pPr>
              <w:pStyle w:val="2024TABLETEXT"/>
              <w:framePr w:hSpace="0" w:wrap="auto" w:vAnchor="margin" w:yAlign="inline"/>
              <w:numPr>
                <w:ilvl w:val="0"/>
                <w:numId w:val="10"/>
              </w:numPr>
              <w:suppressOverlap w:val="0"/>
            </w:pPr>
            <w:r w:rsidRPr="0054775B">
              <w:t>Diastolic</w:t>
            </w:r>
          </w:p>
        </w:tc>
      </w:tr>
      <w:tr w:rsidR="002B69D4" w:rsidRPr="0054775B" w14:paraId="1F7A4064" w14:textId="77777777" w:rsidTr="000F1694">
        <w:trPr>
          <w:trHeight w:val="95"/>
        </w:trPr>
        <w:tc>
          <w:tcPr>
            <w:tcW w:w="0" w:type="auto"/>
            <w:vMerge/>
            <w:tcBorders>
              <w:left w:val="single" w:sz="4" w:space="0" w:color="auto"/>
              <w:right w:val="single" w:sz="4" w:space="0" w:color="auto"/>
            </w:tcBorders>
            <w:shd w:val="clear" w:color="auto" w:fill="auto"/>
            <w:vAlign w:val="center"/>
          </w:tcPr>
          <w:p w14:paraId="2AE79398" w14:textId="77777777" w:rsidR="000F1694" w:rsidRPr="0054775B" w:rsidRDefault="000F1694" w:rsidP="007B139A">
            <w:pPr>
              <w:pStyle w:val="2024TABLETEXT"/>
              <w:framePr w:hSpace="0" w:wrap="auto" w:vAnchor="margin" w:yAlign="inline"/>
              <w:suppressOverlap w:val="0"/>
            </w:pPr>
          </w:p>
        </w:tc>
        <w:tc>
          <w:tcPr>
            <w:tcW w:w="1090" w:type="dxa"/>
            <w:vMerge/>
            <w:tcBorders>
              <w:left w:val="nil"/>
              <w:right w:val="single" w:sz="4" w:space="0" w:color="auto"/>
            </w:tcBorders>
            <w:shd w:val="clear" w:color="auto" w:fill="auto"/>
            <w:vAlign w:val="center"/>
          </w:tcPr>
          <w:p w14:paraId="111606DD" w14:textId="77777777" w:rsidR="000F1694" w:rsidRPr="0054775B" w:rsidRDefault="000F1694" w:rsidP="007B139A">
            <w:pPr>
              <w:pStyle w:val="2024TABLETEXT"/>
              <w:framePr w:hSpace="0" w:wrap="auto" w:vAnchor="margin" w:yAlign="inline"/>
              <w:suppressOverlap w:val="0"/>
            </w:pPr>
          </w:p>
        </w:tc>
        <w:tc>
          <w:tcPr>
            <w:tcW w:w="1194" w:type="dxa"/>
            <w:vMerge/>
            <w:tcBorders>
              <w:left w:val="nil"/>
              <w:right w:val="single" w:sz="4" w:space="0" w:color="auto"/>
            </w:tcBorders>
            <w:shd w:val="clear" w:color="auto" w:fill="auto"/>
            <w:vAlign w:val="center"/>
          </w:tcPr>
          <w:p w14:paraId="1511FB31" w14:textId="77777777" w:rsidR="000F1694" w:rsidRPr="0054775B" w:rsidRDefault="000F1694" w:rsidP="007B139A">
            <w:pPr>
              <w:pStyle w:val="2024TABLETEXT"/>
              <w:framePr w:hSpace="0" w:wrap="auto" w:vAnchor="margin" w:yAlign="inline"/>
              <w:suppressOverlap w:val="0"/>
            </w:pPr>
          </w:p>
        </w:tc>
        <w:tc>
          <w:tcPr>
            <w:tcW w:w="720" w:type="dxa"/>
            <w:tcBorders>
              <w:top w:val="nil"/>
              <w:left w:val="nil"/>
              <w:bottom w:val="single" w:sz="4" w:space="0" w:color="auto"/>
              <w:right w:val="single" w:sz="4" w:space="0" w:color="auto"/>
            </w:tcBorders>
            <w:shd w:val="clear" w:color="auto" w:fill="auto"/>
            <w:vAlign w:val="center"/>
          </w:tcPr>
          <w:p w14:paraId="6DDE5566" w14:textId="20CABB51" w:rsidR="000F1694" w:rsidRPr="0054775B" w:rsidRDefault="000F1694" w:rsidP="007B139A">
            <w:pPr>
              <w:pStyle w:val="2024TABLETEXT"/>
              <w:framePr w:hSpace="0" w:wrap="auto" w:vAnchor="margin" w:yAlign="inline"/>
              <w:suppressOverlap w:val="0"/>
            </w:pPr>
            <w:r w:rsidRPr="0054775B">
              <w:t>8</w:t>
            </w:r>
          </w:p>
        </w:tc>
        <w:tc>
          <w:tcPr>
            <w:tcW w:w="5814" w:type="dxa"/>
            <w:tcBorders>
              <w:top w:val="nil"/>
              <w:left w:val="nil"/>
              <w:bottom w:val="single" w:sz="4" w:space="0" w:color="auto"/>
              <w:right w:val="single" w:sz="4" w:space="0" w:color="auto"/>
            </w:tcBorders>
            <w:shd w:val="clear" w:color="auto" w:fill="auto"/>
          </w:tcPr>
          <w:p w14:paraId="1C80D1E4" w14:textId="77777777" w:rsidR="000F1694" w:rsidRPr="0054775B" w:rsidRDefault="000F1694" w:rsidP="007B139A">
            <w:pPr>
              <w:pStyle w:val="2024TABLETEXT"/>
              <w:framePr w:hSpace="0" w:wrap="auto" w:vAnchor="margin" w:yAlign="inline"/>
              <w:suppressOverlap w:val="0"/>
            </w:pPr>
            <w:r w:rsidRPr="0054775B">
              <w:t>Oxidative stress</w:t>
            </w:r>
          </w:p>
          <w:p w14:paraId="1500EBE7" w14:textId="77777777" w:rsidR="000F1694" w:rsidRPr="0054775B" w:rsidRDefault="000F1694" w:rsidP="00107BEE">
            <w:pPr>
              <w:pStyle w:val="2024TABLETEXT"/>
              <w:framePr w:hSpace="0" w:wrap="auto" w:vAnchor="margin" w:yAlign="inline"/>
              <w:numPr>
                <w:ilvl w:val="0"/>
                <w:numId w:val="11"/>
              </w:numPr>
              <w:suppressOverlap w:val="0"/>
            </w:pPr>
            <w:r w:rsidRPr="0054775B">
              <w:t xml:space="preserve">Malonaldehyde </w:t>
            </w:r>
          </w:p>
          <w:p w14:paraId="5F66A8C0" w14:textId="77777777" w:rsidR="000F1694" w:rsidRPr="0054775B" w:rsidRDefault="000F1694" w:rsidP="00107BEE">
            <w:pPr>
              <w:pStyle w:val="2024TABLETEXT"/>
              <w:framePr w:hSpace="0" w:wrap="auto" w:vAnchor="margin" w:yAlign="inline"/>
              <w:numPr>
                <w:ilvl w:val="0"/>
                <w:numId w:val="11"/>
              </w:numPr>
              <w:suppressOverlap w:val="0"/>
            </w:pPr>
            <w:r w:rsidRPr="0054775B">
              <w:t>Total antioxidant status/capacity</w:t>
            </w:r>
          </w:p>
          <w:p w14:paraId="0064B18F" w14:textId="77777777" w:rsidR="000F1694" w:rsidRPr="0054775B" w:rsidRDefault="000F1694" w:rsidP="00107BEE">
            <w:pPr>
              <w:pStyle w:val="2024TABLETEXT"/>
              <w:framePr w:hSpace="0" w:wrap="auto" w:vAnchor="margin" w:yAlign="inline"/>
              <w:numPr>
                <w:ilvl w:val="0"/>
                <w:numId w:val="11"/>
              </w:numPr>
              <w:suppressOverlap w:val="0"/>
            </w:pPr>
            <w:r w:rsidRPr="0054775B">
              <w:t>Free oxygen radical test</w:t>
            </w:r>
          </w:p>
          <w:p w14:paraId="31FC6C54" w14:textId="77777777" w:rsidR="000F1694" w:rsidRPr="0054775B" w:rsidRDefault="000F1694" w:rsidP="00107BEE">
            <w:pPr>
              <w:pStyle w:val="2024TABLETEXT"/>
              <w:framePr w:hSpace="0" w:wrap="auto" w:vAnchor="margin" w:yAlign="inline"/>
              <w:numPr>
                <w:ilvl w:val="0"/>
                <w:numId w:val="11"/>
              </w:numPr>
              <w:suppressOverlap w:val="0"/>
            </w:pPr>
            <w:r w:rsidRPr="0054775B">
              <w:t>Reative oxygen metabolites</w:t>
            </w:r>
          </w:p>
          <w:p w14:paraId="3BD4A0E5" w14:textId="77777777" w:rsidR="000F1694" w:rsidRPr="0054775B" w:rsidRDefault="000F1694" w:rsidP="00107BEE">
            <w:pPr>
              <w:pStyle w:val="2024TABLETEXT"/>
              <w:framePr w:hSpace="0" w:wrap="auto" w:vAnchor="margin" w:yAlign="inline"/>
              <w:numPr>
                <w:ilvl w:val="0"/>
                <w:numId w:val="11"/>
              </w:numPr>
              <w:suppressOverlap w:val="0"/>
            </w:pPr>
            <w:r w:rsidRPr="0054775B">
              <w:t>Biological antioxidant potential</w:t>
            </w:r>
          </w:p>
          <w:p w14:paraId="672D32E7" w14:textId="77777777" w:rsidR="000F1694" w:rsidRPr="0054775B" w:rsidRDefault="000F1694" w:rsidP="00107BEE">
            <w:pPr>
              <w:pStyle w:val="2024TABLETEXT"/>
              <w:framePr w:hSpace="0" w:wrap="auto" w:vAnchor="margin" w:yAlign="inline"/>
              <w:numPr>
                <w:ilvl w:val="0"/>
                <w:numId w:val="11"/>
              </w:numPr>
              <w:suppressOverlap w:val="0"/>
            </w:pPr>
            <w:r w:rsidRPr="0054775B">
              <w:t>Lipo-peroxidation products</w:t>
            </w:r>
          </w:p>
          <w:p w14:paraId="4C06AD38" w14:textId="77777777" w:rsidR="000F1694" w:rsidRPr="0054775B" w:rsidRDefault="000F1694" w:rsidP="00107BEE">
            <w:pPr>
              <w:pStyle w:val="2024TABLETEXT"/>
              <w:framePr w:hSpace="0" w:wrap="auto" w:vAnchor="margin" w:yAlign="inline"/>
              <w:numPr>
                <w:ilvl w:val="0"/>
                <w:numId w:val="11"/>
              </w:numPr>
              <w:suppressOverlap w:val="0"/>
            </w:pPr>
            <w:r w:rsidRPr="0054775B">
              <w:t>Catalase</w:t>
            </w:r>
          </w:p>
          <w:p w14:paraId="057F18A7" w14:textId="37302D5D" w:rsidR="000F1694" w:rsidRPr="0054775B" w:rsidRDefault="000F1694" w:rsidP="00107BEE">
            <w:pPr>
              <w:pStyle w:val="2024TABLETEXT"/>
              <w:framePr w:hSpace="0" w:wrap="auto" w:vAnchor="margin" w:yAlign="inline"/>
              <w:numPr>
                <w:ilvl w:val="0"/>
                <w:numId w:val="11"/>
              </w:numPr>
              <w:suppressOverlap w:val="0"/>
            </w:pPr>
            <w:r w:rsidRPr="0054775B">
              <w:t>Glutathione peroxidase</w:t>
            </w:r>
          </w:p>
        </w:tc>
      </w:tr>
      <w:tr w:rsidR="002B69D4" w:rsidRPr="0054775B" w14:paraId="27DE732F" w14:textId="77777777" w:rsidTr="000F1694">
        <w:trPr>
          <w:trHeight w:val="95"/>
        </w:trPr>
        <w:tc>
          <w:tcPr>
            <w:tcW w:w="0" w:type="auto"/>
            <w:vMerge/>
            <w:tcBorders>
              <w:left w:val="single" w:sz="4" w:space="0" w:color="auto"/>
              <w:right w:val="single" w:sz="4" w:space="0" w:color="auto"/>
            </w:tcBorders>
            <w:shd w:val="clear" w:color="auto" w:fill="auto"/>
            <w:vAlign w:val="center"/>
          </w:tcPr>
          <w:p w14:paraId="3004FF3E" w14:textId="77777777" w:rsidR="000F1694" w:rsidRPr="0054775B" w:rsidRDefault="000F1694" w:rsidP="00C206E4">
            <w:pPr>
              <w:pStyle w:val="2024TABLETEXT"/>
              <w:framePr w:hSpace="0" w:wrap="auto" w:vAnchor="margin" w:yAlign="inline"/>
              <w:suppressOverlap w:val="0"/>
            </w:pPr>
          </w:p>
        </w:tc>
        <w:tc>
          <w:tcPr>
            <w:tcW w:w="1090" w:type="dxa"/>
            <w:vMerge/>
            <w:tcBorders>
              <w:left w:val="nil"/>
              <w:right w:val="single" w:sz="4" w:space="0" w:color="auto"/>
            </w:tcBorders>
            <w:shd w:val="clear" w:color="auto" w:fill="auto"/>
            <w:vAlign w:val="center"/>
          </w:tcPr>
          <w:p w14:paraId="4AC0A8DE" w14:textId="77777777" w:rsidR="000F1694" w:rsidRPr="0054775B" w:rsidRDefault="000F1694" w:rsidP="00C206E4">
            <w:pPr>
              <w:pStyle w:val="2024TABLETEXT"/>
              <w:framePr w:hSpace="0" w:wrap="auto" w:vAnchor="margin" w:yAlign="inline"/>
              <w:suppressOverlap w:val="0"/>
            </w:pPr>
          </w:p>
        </w:tc>
        <w:tc>
          <w:tcPr>
            <w:tcW w:w="1194" w:type="dxa"/>
            <w:vMerge/>
            <w:tcBorders>
              <w:left w:val="nil"/>
              <w:right w:val="single" w:sz="4" w:space="0" w:color="auto"/>
            </w:tcBorders>
            <w:shd w:val="clear" w:color="auto" w:fill="auto"/>
            <w:vAlign w:val="center"/>
          </w:tcPr>
          <w:p w14:paraId="5C1B2117" w14:textId="77777777" w:rsidR="000F1694" w:rsidRPr="0054775B" w:rsidRDefault="000F1694" w:rsidP="00C206E4">
            <w:pPr>
              <w:pStyle w:val="2024TABLETEXT"/>
              <w:framePr w:hSpace="0" w:wrap="auto" w:vAnchor="margin" w:yAlign="inline"/>
              <w:suppressOverlap w:val="0"/>
            </w:pPr>
          </w:p>
        </w:tc>
        <w:tc>
          <w:tcPr>
            <w:tcW w:w="720" w:type="dxa"/>
            <w:tcBorders>
              <w:top w:val="nil"/>
              <w:left w:val="nil"/>
              <w:bottom w:val="single" w:sz="4" w:space="0" w:color="auto"/>
              <w:right w:val="single" w:sz="4" w:space="0" w:color="auto"/>
            </w:tcBorders>
            <w:shd w:val="clear" w:color="auto" w:fill="auto"/>
            <w:vAlign w:val="center"/>
          </w:tcPr>
          <w:p w14:paraId="17D16465" w14:textId="4E491177" w:rsidR="000F1694" w:rsidRPr="0054775B" w:rsidRDefault="000F1694" w:rsidP="00C206E4">
            <w:pPr>
              <w:pStyle w:val="2024TABLETEXT"/>
              <w:framePr w:hSpace="0" w:wrap="auto" w:vAnchor="margin" w:yAlign="inline"/>
              <w:suppressOverlap w:val="0"/>
            </w:pPr>
            <w:r w:rsidRPr="0054775B">
              <w:t>8</w:t>
            </w:r>
          </w:p>
        </w:tc>
        <w:tc>
          <w:tcPr>
            <w:tcW w:w="5814" w:type="dxa"/>
            <w:tcBorders>
              <w:top w:val="nil"/>
              <w:left w:val="nil"/>
              <w:bottom w:val="single" w:sz="4" w:space="0" w:color="auto"/>
              <w:right w:val="single" w:sz="4" w:space="0" w:color="auto"/>
            </w:tcBorders>
            <w:shd w:val="clear" w:color="auto" w:fill="auto"/>
            <w:vAlign w:val="center"/>
          </w:tcPr>
          <w:p w14:paraId="570545E4" w14:textId="642FE369" w:rsidR="000F1694" w:rsidRPr="0054775B" w:rsidRDefault="000F1694" w:rsidP="00C206E4">
            <w:pPr>
              <w:pStyle w:val="2024TABLETEXT"/>
              <w:framePr w:hSpace="0" w:wrap="auto" w:vAnchor="margin" w:yAlign="inline"/>
              <w:suppressOverlap w:val="0"/>
            </w:pPr>
            <w:r w:rsidRPr="0054775B">
              <w:t>Diabetes related symptoms</w:t>
            </w:r>
          </w:p>
        </w:tc>
      </w:tr>
      <w:tr w:rsidR="002B69D4" w:rsidRPr="0054775B" w14:paraId="4E6C9380" w14:textId="77777777" w:rsidTr="000F1694">
        <w:trPr>
          <w:trHeight w:val="95"/>
        </w:trPr>
        <w:tc>
          <w:tcPr>
            <w:tcW w:w="0" w:type="auto"/>
            <w:vMerge/>
            <w:tcBorders>
              <w:left w:val="single" w:sz="4" w:space="0" w:color="auto"/>
              <w:right w:val="single" w:sz="4" w:space="0" w:color="auto"/>
            </w:tcBorders>
            <w:shd w:val="clear" w:color="auto" w:fill="auto"/>
            <w:vAlign w:val="center"/>
          </w:tcPr>
          <w:p w14:paraId="1BF59178" w14:textId="77777777" w:rsidR="000F1694" w:rsidRPr="0054775B" w:rsidRDefault="000F1694" w:rsidP="00C206E4">
            <w:pPr>
              <w:pStyle w:val="2024TABLETEXT"/>
              <w:framePr w:hSpace="0" w:wrap="auto" w:vAnchor="margin" w:yAlign="inline"/>
              <w:suppressOverlap w:val="0"/>
            </w:pPr>
          </w:p>
        </w:tc>
        <w:tc>
          <w:tcPr>
            <w:tcW w:w="1090" w:type="dxa"/>
            <w:vMerge/>
            <w:tcBorders>
              <w:left w:val="nil"/>
              <w:right w:val="single" w:sz="4" w:space="0" w:color="auto"/>
            </w:tcBorders>
            <w:shd w:val="clear" w:color="auto" w:fill="auto"/>
            <w:vAlign w:val="center"/>
          </w:tcPr>
          <w:p w14:paraId="36DA5DB8" w14:textId="77777777" w:rsidR="000F1694" w:rsidRPr="0054775B" w:rsidRDefault="000F1694" w:rsidP="00C206E4">
            <w:pPr>
              <w:pStyle w:val="2024TABLETEXT"/>
              <w:framePr w:hSpace="0" w:wrap="auto" w:vAnchor="margin" w:yAlign="inline"/>
              <w:suppressOverlap w:val="0"/>
            </w:pPr>
          </w:p>
        </w:tc>
        <w:tc>
          <w:tcPr>
            <w:tcW w:w="1194" w:type="dxa"/>
            <w:vMerge/>
            <w:tcBorders>
              <w:left w:val="nil"/>
              <w:right w:val="single" w:sz="4" w:space="0" w:color="auto"/>
            </w:tcBorders>
            <w:shd w:val="clear" w:color="auto" w:fill="auto"/>
            <w:vAlign w:val="center"/>
          </w:tcPr>
          <w:p w14:paraId="724A2D5D" w14:textId="77777777" w:rsidR="000F1694" w:rsidRPr="0054775B" w:rsidRDefault="000F1694" w:rsidP="00C206E4">
            <w:pPr>
              <w:pStyle w:val="2024TABLETEXT"/>
              <w:framePr w:hSpace="0" w:wrap="auto" w:vAnchor="margin" w:yAlign="inline"/>
              <w:suppressOverlap w:val="0"/>
            </w:pPr>
          </w:p>
        </w:tc>
        <w:tc>
          <w:tcPr>
            <w:tcW w:w="720" w:type="dxa"/>
            <w:tcBorders>
              <w:top w:val="nil"/>
              <w:left w:val="nil"/>
              <w:bottom w:val="single" w:sz="4" w:space="0" w:color="auto"/>
              <w:right w:val="single" w:sz="4" w:space="0" w:color="auto"/>
            </w:tcBorders>
            <w:shd w:val="clear" w:color="auto" w:fill="auto"/>
            <w:vAlign w:val="center"/>
          </w:tcPr>
          <w:p w14:paraId="22BB3A9A" w14:textId="1C34238A" w:rsidR="000F1694" w:rsidRPr="0054775B" w:rsidRDefault="000F1694" w:rsidP="00C206E4">
            <w:pPr>
              <w:pStyle w:val="2024TABLETEXT"/>
              <w:framePr w:hSpace="0" w:wrap="auto" w:vAnchor="margin" w:yAlign="inline"/>
              <w:suppressOverlap w:val="0"/>
            </w:pPr>
            <w:r w:rsidRPr="0054775B">
              <w:t>8</w:t>
            </w:r>
          </w:p>
        </w:tc>
        <w:tc>
          <w:tcPr>
            <w:tcW w:w="5814" w:type="dxa"/>
            <w:tcBorders>
              <w:top w:val="nil"/>
              <w:left w:val="nil"/>
              <w:bottom w:val="single" w:sz="4" w:space="0" w:color="auto"/>
              <w:right w:val="single" w:sz="4" w:space="0" w:color="auto"/>
            </w:tcBorders>
            <w:shd w:val="clear" w:color="auto" w:fill="auto"/>
            <w:vAlign w:val="center"/>
          </w:tcPr>
          <w:p w14:paraId="03C3FC7E" w14:textId="7CD2D159" w:rsidR="000F1694" w:rsidRPr="0054775B" w:rsidRDefault="000F1694" w:rsidP="00C206E4">
            <w:pPr>
              <w:pStyle w:val="2024TABLETEXT"/>
              <w:framePr w:hSpace="0" w:wrap="auto" w:vAnchor="margin" w:yAlign="inline"/>
              <w:suppressOverlap w:val="0"/>
            </w:pPr>
            <w:r w:rsidRPr="0054775B">
              <w:t>Overall diabetes related complications</w:t>
            </w:r>
          </w:p>
        </w:tc>
      </w:tr>
      <w:tr w:rsidR="002B69D4" w:rsidRPr="0054775B" w14:paraId="504D6CE7" w14:textId="77777777" w:rsidTr="000F1694">
        <w:trPr>
          <w:trHeight w:val="95"/>
        </w:trPr>
        <w:tc>
          <w:tcPr>
            <w:tcW w:w="0" w:type="auto"/>
            <w:vMerge/>
            <w:tcBorders>
              <w:left w:val="single" w:sz="4" w:space="0" w:color="auto"/>
              <w:right w:val="single" w:sz="4" w:space="0" w:color="auto"/>
            </w:tcBorders>
            <w:shd w:val="clear" w:color="auto" w:fill="auto"/>
            <w:vAlign w:val="center"/>
          </w:tcPr>
          <w:p w14:paraId="3663799B" w14:textId="77777777" w:rsidR="000F1694" w:rsidRPr="0054775B" w:rsidRDefault="000F1694" w:rsidP="00C206E4">
            <w:pPr>
              <w:pStyle w:val="2024TABLETEXT"/>
              <w:framePr w:hSpace="0" w:wrap="auto" w:vAnchor="margin" w:yAlign="inline"/>
              <w:suppressOverlap w:val="0"/>
            </w:pPr>
          </w:p>
        </w:tc>
        <w:tc>
          <w:tcPr>
            <w:tcW w:w="1090" w:type="dxa"/>
            <w:vMerge/>
            <w:tcBorders>
              <w:left w:val="nil"/>
              <w:right w:val="single" w:sz="4" w:space="0" w:color="auto"/>
            </w:tcBorders>
            <w:shd w:val="clear" w:color="auto" w:fill="auto"/>
            <w:vAlign w:val="center"/>
          </w:tcPr>
          <w:p w14:paraId="213CFC90" w14:textId="77777777" w:rsidR="000F1694" w:rsidRPr="0054775B" w:rsidRDefault="000F1694" w:rsidP="00C206E4">
            <w:pPr>
              <w:pStyle w:val="2024TABLETEXT"/>
              <w:framePr w:hSpace="0" w:wrap="auto" w:vAnchor="margin" w:yAlign="inline"/>
              <w:suppressOverlap w:val="0"/>
            </w:pPr>
          </w:p>
        </w:tc>
        <w:tc>
          <w:tcPr>
            <w:tcW w:w="1194" w:type="dxa"/>
            <w:vMerge/>
            <w:tcBorders>
              <w:left w:val="nil"/>
              <w:right w:val="single" w:sz="4" w:space="0" w:color="auto"/>
            </w:tcBorders>
            <w:shd w:val="clear" w:color="auto" w:fill="auto"/>
            <w:vAlign w:val="center"/>
          </w:tcPr>
          <w:p w14:paraId="3BB1DE34" w14:textId="77777777" w:rsidR="000F1694" w:rsidRPr="0054775B" w:rsidRDefault="000F1694" w:rsidP="00C206E4">
            <w:pPr>
              <w:pStyle w:val="2024TABLETEXT"/>
              <w:framePr w:hSpace="0" w:wrap="auto" w:vAnchor="margin" w:yAlign="inline"/>
              <w:suppressOverlap w:val="0"/>
            </w:pPr>
          </w:p>
        </w:tc>
        <w:tc>
          <w:tcPr>
            <w:tcW w:w="720" w:type="dxa"/>
            <w:tcBorders>
              <w:top w:val="nil"/>
              <w:left w:val="nil"/>
              <w:bottom w:val="single" w:sz="4" w:space="0" w:color="auto"/>
              <w:right w:val="single" w:sz="4" w:space="0" w:color="auto"/>
            </w:tcBorders>
            <w:shd w:val="clear" w:color="auto" w:fill="auto"/>
            <w:vAlign w:val="center"/>
          </w:tcPr>
          <w:p w14:paraId="31A64C14" w14:textId="2D174BD3" w:rsidR="000F1694" w:rsidRPr="0054775B" w:rsidRDefault="000F1694" w:rsidP="00C206E4">
            <w:pPr>
              <w:pStyle w:val="2024TABLETEXT"/>
              <w:framePr w:hSpace="0" w:wrap="auto" w:vAnchor="margin" w:yAlign="inline"/>
              <w:suppressOverlap w:val="0"/>
            </w:pPr>
            <w:r w:rsidRPr="0054775B">
              <w:t>8</w:t>
            </w:r>
          </w:p>
        </w:tc>
        <w:tc>
          <w:tcPr>
            <w:tcW w:w="5814" w:type="dxa"/>
            <w:tcBorders>
              <w:top w:val="nil"/>
              <w:left w:val="nil"/>
              <w:bottom w:val="single" w:sz="4" w:space="0" w:color="auto"/>
              <w:right w:val="single" w:sz="4" w:space="0" w:color="auto"/>
            </w:tcBorders>
            <w:shd w:val="clear" w:color="auto" w:fill="auto"/>
          </w:tcPr>
          <w:p w14:paraId="53C17747" w14:textId="184078B8" w:rsidR="000F1694" w:rsidRPr="0054775B" w:rsidRDefault="000F1694" w:rsidP="00C206E4">
            <w:pPr>
              <w:pStyle w:val="2024TABLETEXT"/>
              <w:framePr w:hSpace="0" w:wrap="auto" w:vAnchor="margin" w:yAlign="inline"/>
              <w:suppressOverlap w:val="0"/>
            </w:pPr>
            <w:r w:rsidRPr="0054775B">
              <w:t>HRQoL</w:t>
            </w:r>
          </w:p>
        </w:tc>
      </w:tr>
      <w:tr w:rsidR="00FD6150" w:rsidRPr="0054775B" w14:paraId="606BB4A5" w14:textId="77777777" w:rsidTr="000F1694">
        <w:trPr>
          <w:trHeight w:val="95"/>
        </w:trPr>
        <w:tc>
          <w:tcPr>
            <w:tcW w:w="0" w:type="auto"/>
            <w:vMerge/>
            <w:tcBorders>
              <w:left w:val="single" w:sz="4" w:space="0" w:color="auto"/>
              <w:bottom w:val="single" w:sz="4" w:space="0" w:color="auto"/>
              <w:right w:val="single" w:sz="4" w:space="0" w:color="auto"/>
            </w:tcBorders>
            <w:shd w:val="clear" w:color="auto" w:fill="auto"/>
            <w:vAlign w:val="center"/>
          </w:tcPr>
          <w:p w14:paraId="4557B302" w14:textId="77777777" w:rsidR="000F1694" w:rsidRPr="0054775B" w:rsidRDefault="000F1694" w:rsidP="00C206E4">
            <w:pPr>
              <w:pStyle w:val="2024TABLETEXT"/>
              <w:framePr w:hSpace="0" w:wrap="auto" w:vAnchor="margin" w:yAlign="inline"/>
              <w:suppressOverlap w:val="0"/>
            </w:pPr>
          </w:p>
        </w:tc>
        <w:tc>
          <w:tcPr>
            <w:tcW w:w="1090" w:type="dxa"/>
            <w:vMerge/>
            <w:tcBorders>
              <w:left w:val="nil"/>
              <w:bottom w:val="single" w:sz="4" w:space="0" w:color="auto"/>
              <w:right w:val="single" w:sz="4" w:space="0" w:color="auto"/>
            </w:tcBorders>
            <w:shd w:val="clear" w:color="auto" w:fill="auto"/>
            <w:vAlign w:val="center"/>
          </w:tcPr>
          <w:p w14:paraId="507B2C71" w14:textId="77777777" w:rsidR="000F1694" w:rsidRPr="0054775B" w:rsidRDefault="000F1694" w:rsidP="00C206E4">
            <w:pPr>
              <w:pStyle w:val="2024TABLETEXT"/>
              <w:framePr w:hSpace="0" w:wrap="auto" w:vAnchor="margin" w:yAlign="inline"/>
              <w:suppressOverlap w:val="0"/>
            </w:pPr>
          </w:p>
        </w:tc>
        <w:tc>
          <w:tcPr>
            <w:tcW w:w="1194" w:type="dxa"/>
            <w:vMerge/>
            <w:tcBorders>
              <w:left w:val="nil"/>
              <w:bottom w:val="single" w:sz="4" w:space="0" w:color="auto"/>
              <w:right w:val="single" w:sz="4" w:space="0" w:color="auto"/>
            </w:tcBorders>
            <w:shd w:val="clear" w:color="auto" w:fill="auto"/>
            <w:vAlign w:val="center"/>
          </w:tcPr>
          <w:p w14:paraId="2064C74A" w14:textId="77777777" w:rsidR="000F1694" w:rsidRPr="0054775B" w:rsidRDefault="000F1694" w:rsidP="00C206E4">
            <w:pPr>
              <w:pStyle w:val="2024TABLETEXT"/>
              <w:framePr w:hSpace="0" w:wrap="auto" w:vAnchor="margin" w:yAlign="inline"/>
              <w:suppressOverlap w:val="0"/>
            </w:pPr>
          </w:p>
        </w:tc>
        <w:tc>
          <w:tcPr>
            <w:tcW w:w="720" w:type="dxa"/>
            <w:tcBorders>
              <w:top w:val="nil"/>
              <w:left w:val="nil"/>
              <w:bottom w:val="single" w:sz="4" w:space="0" w:color="auto"/>
              <w:right w:val="single" w:sz="4" w:space="0" w:color="auto"/>
            </w:tcBorders>
            <w:shd w:val="clear" w:color="auto" w:fill="auto"/>
            <w:vAlign w:val="center"/>
          </w:tcPr>
          <w:p w14:paraId="553E2C5C" w14:textId="20A98681" w:rsidR="000F1694" w:rsidRPr="0054775B" w:rsidRDefault="000F1694" w:rsidP="00C206E4">
            <w:pPr>
              <w:pStyle w:val="2024TABLETEXT"/>
              <w:framePr w:hSpace="0" w:wrap="auto" w:vAnchor="margin" w:yAlign="inline"/>
              <w:suppressOverlap w:val="0"/>
            </w:pPr>
            <w:r w:rsidRPr="0054775B">
              <w:t>8</w:t>
            </w:r>
          </w:p>
        </w:tc>
        <w:tc>
          <w:tcPr>
            <w:tcW w:w="5814" w:type="dxa"/>
            <w:tcBorders>
              <w:top w:val="nil"/>
              <w:left w:val="nil"/>
              <w:bottom w:val="single" w:sz="4" w:space="0" w:color="auto"/>
              <w:right w:val="single" w:sz="4" w:space="0" w:color="auto"/>
            </w:tcBorders>
            <w:shd w:val="clear" w:color="auto" w:fill="auto"/>
          </w:tcPr>
          <w:p w14:paraId="4D38B464" w14:textId="1AF8460C" w:rsidR="000F1694" w:rsidRPr="0054775B" w:rsidRDefault="000F1694" w:rsidP="00C206E4">
            <w:pPr>
              <w:pStyle w:val="2024TABLETEXT"/>
              <w:framePr w:hSpace="0" w:wrap="auto" w:vAnchor="margin" w:yAlign="inline"/>
              <w:suppressOverlap w:val="0"/>
            </w:pPr>
            <w:r w:rsidRPr="0054775B">
              <w:t>Incidence of type 2 diabetes mellitus</w:t>
            </w:r>
            <w:r w:rsidR="004F2F18">
              <w:t xml:space="preserve"> (relevant for at-risk populations)</w:t>
            </w:r>
          </w:p>
        </w:tc>
      </w:tr>
    </w:tbl>
    <w:p w14:paraId="3E40B481" w14:textId="77777777" w:rsidR="00530CD8" w:rsidRPr="0054775B" w:rsidRDefault="00530CD8" w:rsidP="006F63D3">
      <w:pPr>
        <w:pStyle w:val="2024TABLEFOOTER"/>
      </w:pPr>
      <w:r w:rsidRPr="0054775B">
        <w:t>Abbreviations: BP=blood pressure; HRQoL=health-related quality of life; NTWC=Natural Therapies Working Group</w:t>
      </w:r>
    </w:p>
    <w:p w14:paraId="53597D46" w14:textId="2B35D502" w:rsidR="00530CD8" w:rsidRPr="0054775B" w:rsidRDefault="00530CD8" w:rsidP="006F63D3">
      <w:pPr>
        <w:pStyle w:val="2024TABLEFOOTER"/>
      </w:pPr>
      <w:r w:rsidRPr="0054775B">
        <w:t>*1-3 = of limited importance to decision making; 4-6 = important, but not critical, to decision making; 7-9 = critical for decision-making</w:t>
      </w:r>
    </w:p>
    <w:p w14:paraId="4077AE07" w14:textId="77777777" w:rsidR="00184383" w:rsidRPr="0054775B" w:rsidRDefault="00184383" w:rsidP="001916A8">
      <w:pPr>
        <w:pStyle w:val="2024HEADER3"/>
        <w:rPr>
          <w:rFonts w:ascii="Aptos" w:hAnsi="Aptos"/>
        </w:rPr>
      </w:pPr>
      <w:r w:rsidRPr="0054775B">
        <w:rPr>
          <w:rFonts w:ascii="Aptos" w:hAnsi="Aptos"/>
        </w:rPr>
        <w:t>Search findings</w:t>
      </w:r>
    </w:p>
    <w:p w14:paraId="4A5C0FB8" w14:textId="208F7565" w:rsidR="00184383" w:rsidRPr="0054775B" w:rsidRDefault="00184383" w:rsidP="009E6F7F">
      <w:r w:rsidRPr="0054775B">
        <w:t xml:space="preserve">In total, </w:t>
      </w:r>
      <w:r w:rsidR="00733615" w:rsidRPr="0054775B">
        <w:t>1</w:t>
      </w:r>
      <w:r w:rsidR="00E515C4" w:rsidRPr="0054775B">
        <w:t>,</w:t>
      </w:r>
      <w:r w:rsidR="00733615" w:rsidRPr="0054775B">
        <w:t>11</w:t>
      </w:r>
      <w:r w:rsidR="00B35102" w:rsidRPr="0054775B">
        <w:t>5</w:t>
      </w:r>
      <w:r w:rsidRPr="0054775B">
        <w:t xml:space="preserve"> </w:t>
      </w:r>
      <w:r w:rsidR="00BC0B3C">
        <w:t>reviews</w:t>
      </w:r>
      <w:r w:rsidR="00BC0B3C" w:rsidRPr="0054775B">
        <w:t xml:space="preserve"> </w:t>
      </w:r>
      <w:r w:rsidRPr="0054775B">
        <w:t xml:space="preserve">were </w:t>
      </w:r>
      <w:r w:rsidR="00E515C4" w:rsidRPr="0054775B">
        <w:t xml:space="preserve">screened following de-duplication. </w:t>
      </w:r>
      <w:r w:rsidR="00AA77EC" w:rsidRPr="0054775B">
        <w:t xml:space="preserve">Three </w:t>
      </w:r>
      <w:r w:rsidR="00BC0B3C">
        <w:t>reviews</w:t>
      </w:r>
      <w:r w:rsidR="00BC0B3C" w:rsidRPr="0054775B">
        <w:t xml:space="preserve"> </w:t>
      </w:r>
      <w:r w:rsidR="00AA77EC" w:rsidRPr="0054775B">
        <w:t>provided through the Department’s call for evidence were relevant to this population-</w:t>
      </w:r>
      <w:r w:rsidR="0032560B">
        <w:t>supplement pair</w:t>
      </w:r>
      <w:r w:rsidR="00AA77EC" w:rsidRPr="0054775B">
        <w:t xml:space="preserve">; two were duplicates already identified in database searching and one was screened (see Appendix </w:t>
      </w:r>
      <w:r w:rsidR="00876D00">
        <w:t>C2</w:t>
      </w:r>
      <w:r w:rsidR="00AA77EC" w:rsidRPr="0054775B">
        <w:t>).</w:t>
      </w:r>
      <w:r w:rsidR="00466D90" w:rsidRPr="0054775B">
        <w:t xml:space="preserve"> </w:t>
      </w:r>
      <w:r w:rsidRPr="0054775B">
        <w:t xml:space="preserve">After title and abstract screening, </w:t>
      </w:r>
      <w:r w:rsidR="00733615" w:rsidRPr="0054775B">
        <w:t xml:space="preserve">43 </w:t>
      </w:r>
      <w:r w:rsidR="00BC0B3C">
        <w:t>reviews</w:t>
      </w:r>
      <w:r w:rsidR="00BC0B3C" w:rsidRPr="0054775B">
        <w:t xml:space="preserve"> </w:t>
      </w:r>
      <w:r w:rsidRPr="0054775B">
        <w:t xml:space="preserve">were </w:t>
      </w:r>
      <w:r w:rsidR="00D07C83" w:rsidRPr="0054775B">
        <w:t>sought for retrieval for</w:t>
      </w:r>
      <w:r w:rsidRPr="0054775B">
        <w:t xml:space="preserve"> full-text screening: </w:t>
      </w:r>
    </w:p>
    <w:p w14:paraId="42A2C013" w14:textId="4315D32D" w:rsidR="00D07C83" w:rsidRPr="0054775B" w:rsidRDefault="00D07C83" w:rsidP="00107BEE">
      <w:pPr>
        <w:pStyle w:val="ListParagraph"/>
        <w:numPr>
          <w:ilvl w:val="0"/>
          <w:numId w:val="6"/>
        </w:numPr>
      </w:pPr>
      <w:r w:rsidRPr="0054775B">
        <w:t xml:space="preserve">9 </w:t>
      </w:r>
      <w:r w:rsidR="00BC0B3C">
        <w:t>reviews</w:t>
      </w:r>
      <w:r w:rsidR="00BC0B3C" w:rsidRPr="0054775B">
        <w:t xml:space="preserve"> </w:t>
      </w:r>
      <w:r w:rsidRPr="0054775B">
        <w:t>were ongoing (</w:t>
      </w:r>
      <w:r w:rsidR="007D2E60" w:rsidRPr="0054775B">
        <w:t xml:space="preserve">citation details recorded in Appendix </w:t>
      </w:r>
      <w:r w:rsidR="00876D00">
        <w:t>C4</w:t>
      </w:r>
      <w:r w:rsidRPr="0054775B">
        <w:t>)</w:t>
      </w:r>
    </w:p>
    <w:p w14:paraId="48D3E321" w14:textId="665767C3" w:rsidR="00184383" w:rsidRPr="0054775B" w:rsidRDefault="00A91801" w:rsidP="00107BEE">
      <w:pPr>
        <w:pStyle w:val="ListParagraph"/>
        <w:numPr>
          <w:ilvl w:val="0"/>
          <w:numId w:val="6"/>
        </w:numPr>
      </w:pPr>
      <w:r w:rsidRPr="0054775B">
        <w:t>2</w:t>
      </w:r>
      <w:r w:rsidR="002A08D5" w:rsidRPr="0054775B">
        <w:t>4</w:t>
      </w:r>
      <w:r w:rsidR="00184383" w:rsidRPr="0054775B">
        <w:t xml:space="preserve"> </w:t>
      </w:r>
      <w:r w:rsidR="00BC0B3C">
        <w:t>reviews</w:t>
      </w:r>
      <w:r w:rsidR="00BC0B3C" w:rsidRPr="0054775B">
        <w:t xml:space="preserve"> </w:t>
      </w:r>
      <w:r w:rsidR="00184383" w:rsidRPr="0054775B">
        <w:t xml:space="preserve">did not meet inclusion criteria (citation details and </w:t>
      </w:r>
      <w:r w:rsidR="001332AF" w:rsidRPr="0054775B">
        <w:t xml:space="preserve">reasons for exclusion recorded in Appendix </w:t>
      </w:r>
      <w:r w:rsidR="00876D00">
        <w:t>C1</w:t>
      </w:r>
      <w:r w:rsidR="00184383" w:rsidRPr="0054775B">
        <w:t xml:space="preserve">) </w:t>
      </w:r>
    </w:p>
    <w:p w14:paraId="0F8B6740" w14:textId="5C8D3E08" w:rsidR="00184383" w:rsidRPr="0054775B" w:rsidRDefault="00184383" w:rsidP="009E6F7F">
      <w:r w:rsidRPr="0054775B">
        <w:t xml:space="preserve">A final </w:t>
      </w:r>
      <w:r w:rsidR="00695A8F" w:rsidRPr="0054775B">
        <w:t>1</w:t>
      </w:r>
      <w:r w:rsidR="002A08D5" w:rsidRPr="0054775B">
        <w:t>0</w:t>
      </w:r>
      <w:r w:rsidRPr="0054775B">
        <w:t xml:space="preserve"> </w:t>
      </w:r>
      <w:r w:rsidR="00B1675C" w:rsidRPr="0054775B">
        <w:t>reviews</w:t>
      </w:r>
      <w:r w:rsidRPr="0054775B">
        <w:t xml:space="preserve"> met the inclusion criteria. Characteristics of included reviews are presented in </w:t>
      </w:r>
      <w:r w:rsidR="00FB0A70" w:rsidRPr="0054775B">
        <w:t xml:space="preserve">Appendix </w:t>
      </w:r>
      <w:r w:rsidR="00876D00">
        <w:t>D</w:t>
      </w:r>
      <w:r w:rsidRPr="0054775B">
        <w:t>. A full PRISMA flowchart is presented below.</w:t>
      </w:r>
      <w:r w:rsidRPr="0054775B">
        <w:rPr>
          <w:highlight w:val="yellow"/>
        </w:rPr>
        <w:t xml:space="preserve"> </w:t>
      </w:r>
    </w:p>
    <w:p w14:paraId="7204BB58" w14:textId="23D6E321" w:rsidR="00184383" w:rsidRPr="0054775B" w:rsidRDefault="00184383" w:rsidP="006F63D3">
      <w:pPr>
        <w:pStyle w:val="2024TABLECAPTION"/>
        <w:rPr>
          <w:rFonts w:ascii="Aptos" w:hAnsi="Aptos"/>
        </w:rPr>
      </w:pPr>
      <w:bookmarkStart w:id="137" w:name="_Toc178348018"/>
      <w:r w:rsidRPr="0054775B">
        <w:rPr>
          <w:rFonts w:ascii="Aptos" w:hAnsi="Aptos"/>
        </w:rPr>
        <w:lastRenderedPageBreak/>
        <w:t xml:space="preserve">Figure </w:t>
      </w:r>
      <w:r w:rsidR="002F1F6C" w:rsidRPr="001428E8">
        <w:rPr>
          <w:b w:val="0"/>
          <w:i/>
        </w:rPr>
        <w:fldChar w:fldCharType="begin"/>
      </w:r>
      <w:r w:rsidR="002F1F6C" w:rsidRPr="0054775B">
        <w:rPr>
          <w:rFonts w:ascii="Aptos" w:hAnsi="Aptos"/>
        </w:rPr>
        <w:instrText xml:space="preserve"> SEQ Figure \* ARABIC </w:instrText>
      </w:r>
      <w:r w:rsidR="002F1F6C" w:rsidRPr="001428E8">
        <w:rPr>
          <w:b w:val="0"/>
          <w:i/>
        </w:rPr>
        <w:fldChar w:fldCharType="separate"/>
      </w:r>
      <w:r w:rsidR="003D4896">
        <w:rPr>
          <w:noProof/>
        </w:rPr>
        <w:t>15</w:t>
      </w:r>
      <w:r w:rsidR="002F1F6C" w:rsidRPr="001428E8">
        <w:rPr>
          <w:b w:val="0"/>
          <w:i/>
        </w:rPr>
        <w:fldChar w:fldCharType="end"/>
      </w:r>
      <w:r w:rsidRPr="0054775B">
        <w:rPr>
          <w:rFonts w:ascii="Aptos" w:hAnsi="Aptos"/>
        </w:rPr>
        <w:t xml:space="preserve">. PRISMA flowchart – </w:t>
      </w:r>
      <w:r w:rsidR="00362896" w:rsidRPr="0054775B">
        <w:rPr>
          <w:rFonts w:ascii="Aptos" w:hAnsi="Aptos"/>
        </w:rPr>
        <w:t xml:space="preserve">Diabetes (Type </w:t>
      </w:r>
      <w:r w:rsidR="00722688" w:rsidRPr="0054775B">
        <w:rPr>
          <w:rFonts w:ascii="Aptos" w:hAnsi="Aptos"/>
        </w:rPr>
        <w:t>II</w:t>
      </w:r>
      <w:r w:rsidR="00362896" w:rsidRPr="0054775B">
        <w:rPr>
          <w:rFonts w:ascii="Aptos" w:hAnsi="Aptos"/>
        </w:rPr>
        <w:t xml:space="preserve">) (including metabolic syndrome), antioxidants (specifically </w:t>
      </w:r>
      <w:r w:rsidR="00B84C75" w:rsidRPr="0054775B">
        <w:rPr>
          <w:rFonts w:ascii="Aptos" w:hAnsi="Aptos"/>
        </w:rPr>
        <w:t>CoQ10 and ALA</w:t>
      </w:r>
      <w:r w:rsidR="00362896" w:rsidRPr="0054775B">
        <w:rPr>
          <w:rFonts w:ascii="Aptos" w:hAnsi="Aptos"/>
        </w:rPr>
        <w:t>)</w:t>
      </w:r>
      <w:r w:rsidRPr="0054775B">
        <w:rPr>
          <w:rFonts w:ascii="Aptos" w:hAnsi="Aptos"/>
        </w:rPr>
        <w:t>.</w:t>
      </w:r>
      <w:bookmarkEnd w:id="137"/>
    </w:p>
    <w:p w14:paraId="3A94088B" w14:textId="77777777" w:rsidR="00184383" w:rsidRPr="0054775B" w:rsidRDefault="00184383" w:rsidP="009E6F7F">
      <w:r w:rsidRPr="0054775B">
        <w:rPr>
          <w:noProof/>
          <w:highlight w:val="yellow"/>
        </w:rPr>
        <mc:AlternateContent>
          <mc:Choice Requires="wpg">
            <w:drawing>
              <wp:anchor distT="0" distB="0" distL="114300" distR="114300" simplePos="0" relativeHeight="251658253" behindDoc="0" locked="0" layoutInCell="1" allowOverlap="1" wp14:anchorId="2B69E6D9" wp14:editId="113EB3D8">
                <wp:simplePos x="0" y="0"/>
                <wp:positionH relativeFrom="column">
                  <wp:posOffset>45085</wp:posOffset>
                </wp:positionH>
                <wp:positionV relativeFrom="paragraph">
                  <wp:posOffset>18415</wp:posOffset>
                </wp:positionV>
                <wp:extent cx="5349240" cy="4182745"/>
                <wp:effectExtent l="0" t="0" r="10160" b="8255"/>
                <wp:wrapSquare wrapText="bothSides"/>
                <wp:docPr id="190623865" name="Group 190623865"/>
                <wp:cNvGraphicFramePr/>
                <a:graphic xmlns:a="http://schemas.openxmlformats.org/drawingml/2006/main">
                  <a:graphicData uri="http://schemas.microsoft.com/office/word/2010/wordprocessingGroup">
                    <wpg:wgp>
                      <wpg:cNvGrpSpPr/>
                      <wpg:grpSpPr>
                        <a:xfrm>
                          <a:off x="0" y="0"/>
                          <a:ext cx="5349240" cy="4182745"/>
                          <a:chOff x="33019" y="-135928"/>
                          <a:chExt cx="5547581" cy="4861593"/>
                        </a:xfrm>
                      </wpg:grpSpPr>
                      <wps:wsp>
                        <wps:cNvPr id="1976325795" name="Rectangle 1976325795"/>
                        <wps:cNvSpPr/>
                        <wps:spPr>
                          <a:xfrm>
                            <a:off x="3180705" y="425302"/>
                            <a:ext cx="2355790" cy="83947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FB15F27" w14:textId="77777777" w:rsidR="00184383" w:rsidRPr="008867BE" w:rsidRDefault="00184383" w:rsidP="006F63D3">
                              <w:pPr>
                                <w:pStyle w:val="2024-PRISMA"/>
                              </w:pPr>
                              <w:r w:rsidRPr="008867BE">
                                <w:t>Records removed before screening:</w:t>
                              </w:r>
                            </w:p>
                            <w:p w14:paraId="029C595A" w14:textId="37D088D4" w:rsidR="00184383" w:rsidRPr="008867BE" w:rsidRDefault="00184383" w:rsidP="006F63D3">
                              <w:pPr>
                                <w:pStyle w:val="2024-PRISMA"/>
                              </w:pPr>
                              <w:r w:rsidRPr="008867BE">
                                <w:t xml:space="preserve">Duplicate records removed (n = </w:t>
                              </w:r>
                              <w:r w:rsidR="00216496" w:rsidRPr="008867BE">
                                <w:t>6</w:t>
                              </w:r>
                              <w:r w:rsidR="00882540">
                                <w:t>6</w:t>
                              </w:r>
                              <w:r w:rsidRPr="008867BE">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52366987" name="Rectangle 752366987"/>
                        <wps:cNvSpPr/>
                        <wps:spPr>
                          <a:xfrm>
                            <a:off x="2987749" y="1509823"/>
                            <a:ext cx="1887220" cy="52641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781426B" w14:textId="77777777" w:rsidR="00184383" w:rsidRPr="008867BE" w:rsidRDefault="00184383" w:rsidP="006F63D3">
                              <w:pPr>
                                <w:pStyle w:val="2024-PRISMA"/>
                              </w:pPr>
                              <w:r w:rsidRPr="008867BE">
                                <w:t>Records excluded</w:t>
                              </w:r>
                            </w:p>
                            <w:p w14:paraId="74DDDDFB" w14:textId="4A0235AC" w:rsidR="00184383" w:rsidRPr="008867BE" w:rsidRDefault="00184383" w:rsidP="006F63D3">
                              <w:pPr>
                                <w:pStyle w:val="2024-PRISMA"/>
                              </w:pPr>
                              <w:r w:rsidRPr="008867BE">
                                <w:t xml:space="preserve">(n = </w:t>
                              </w:r>
                              <w:r w:rsidR="00216496" w:rsidRPr="008867BE">
                                <w:t>107</w:t>
                              </w:r>
                              <w:r w:rsidR="00882540">
                                <w:t>2</w:t>
                              </w:r>
                              <w:r w:rsidRPr="008867BE">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48939191" name="Rectangle 748939191"/>
                        <wps:cNvSpPr/>
                        <wps:spPr>
                          <a:xfrm>
                            <a:off x="2987749" y="2105433"/>
                            <a:ext cx="2351878" cy="76703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0703DFC" w14:textId="77777777" w:rsidR="00184383" w:rsidRPr="008867BE" w:rsidRDefault="00184383" w:rsidP="006F63D3">
                              <w:pPr>
                                <w:pStyle w:val="2024-PRISMA"/>
                              </w:pPr>
                              <w:r w:rsidRPr="008867BE">
                                <w:t>Full-text unavailable (n = 0)</w:t>
                              </w:r>
                            </w:p>
                            <w:p w14:paraId="1D06EE8D" w14:textId="7813343B" w:rsidR="00184383" w:rsidRPr="008867BE" w:rsidRDefault="00184383" w:rsidP="006F63D3">
                              <w:pPr>
                                <w:pStyle w:val="2024-PRISMA"/>
                              </w:pPr>
                              <w:r w:rsidRPr="008867BE">
                                <w:t xml:space="preserve">Ongoing study (n = </w:t>
                              </w:r>
                              <w:r w:rsidR="00120A58" w:rsidRPr="008867BE">
                                <w:t>9</w:t>
                              </w:r>
                              <w:r w:rsidRPr="008867BE">
                                <w:t>)</w:t>
                              </w:r>
                            </w:p>
                            <w:p w14:paraId="5F874861" w14:textId="77777777" w:rsidR="000649CF" w:rsidRDefault="000649CF" w:rsidP="006F63D3">
                              <w:pPr>
                                <w:pStyle w:val="2024-PRISMA"/>
                              </w:pPr>
                              <w:r>
                                <w:t>Conference abstracts (n = 0)</w:t>
                              </w:r>
                            </w:p>
                            <w:p w14:paraId="2DFA5065" w14:textId="090352AC" w:rsidR="00184383" w:rsidRPr="008867BE" w:rsidRDefault="00F41ADB" w:rsidP="006F63D3">
                              <w:pPr>
                                <w:pStyle w:val="2024-PRISMA"/>
                              </w:pPr>
                              <w:r>
                                <w:t>Reviews</w:t>
                              </w:r>
                              <w:r w:rsidR="00184383" w:rsidRPr="008867BE">
                                <w:t xml:space="preserve"> Awaiting Classification (n = 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54900045" name="Rectangle 954900045"/>
                        <wps:cNvSpPr/>
                        <wps:spPr>
                          <a:xfrm>
                            <a:off x="2987749" y="2955851"/>
                            <a:ext cx="2179320" cy="1411714"/>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FF3CA1C" w14:textId="4E9B8FC4" w:rsidR="00184383" w:rsidRPr="008867BE" w:rsidRDefault="00184383" w:rsidP="006F63D3">
                              <w:pPr>
                                <w:pStyle w:val="2024-PRISMA"/>
                              </w:pPr>
                              <w:r w:rsidRPr="008867BE">
                                <w:t xml:space="preserve">Reports excluded (n = </w:t>
                              </w:r>
                              <w:r w:rsidR="005E6E93">
                                <w:t>2</w:t>
                              </w:r>
                              <w:r w:rsidR="002A08D5">
                                <w:t>4</w:t>
                              </w:r>
                              <w:r w:rsidRPr="008867BE">
                                <w:t>):</w:t>
                              </w:r>
                            </w:p>
                            <w:p w14:paraId="34156E86" w14:textId="77777777" w:rsidR="00A91801" w:rsidRDefault="00A91801" w:rsidP="006F63D3">
                              <w:pPr>
                                <w:pStyle w:val="2024-PRISMA"/>
                              </w:pPr>
                              <w:r>
                                <w:t>Wrong study design (n = 1)</w:t>
                              </w:r>
                            </w:p>
                            <w:p w14:paraId="4D5C1FC0" w14:textId="40E734F5" w:rsidR="00184383" w:rsidRPr="008867BE" w:rsidRDefault="00184383" w:rsidP="006F63D3">
                              <w:pPr>
                                <w:pStyle w:val="2024-PRISMA"/>
                              </w:pPr>
                              <w:r w:rsidRPr="008867BE">
                                <w:t xml:space="preserve">Wrong population (n = </w:t>
                              </w:r>
                              <w:r w:rsidR="002A08D5">
                                <w:t>8</w:t>
                              </w:r>
                              <w:r w:rsidRPr="008867BE">
                                <w:t>)</w:t>
                              </w:r>
                            </w:p>
                            <w:p w14:paraId="623AD77F" w14:textId="64494ABB" w:rsidR="00184383" w:rsidRPr="008867BE" w:rsidRDefault="00184383" w:rsidP="006F63D3">
                              <w:pPr>
                                <w:pStyle w:val="2024-PRISMA"/>
                              </w:pPr>
                              <w:r w:rsidRPr="008867BE">
                                <w:t xml:space="preserve">Wrong intervention (n = </w:t>
                              </w:r>
                              <w:r w:rsidR="00C80E9B">
                                <w:t>3</w:t>
                              </w:r>
                              <w:r w:rsidRPr="008867BE">
                                <w:t>)</w:t>
                              </w:r>
                            </w:p>
                            <w:p w14:paraId="066A1FAC" w14:textId="007105F0" w:rsidR="00184383" w:rsidRPr="008867BE" w:rsidRDefault="00184383" w:rsidP="006F63D3">
                              <w:pPr>
                                <w:pStyle w:val="2024-PRISMA"/>
                              </w:pPr>
                              <w:r w:rsidRPr="008867BE">
                                <w:t xml:space="preserve">Wrong outcomes (n = </w:t>
                              </w:r>
                              <w:r w:rsidR="005E6E93">
                                <w:t>7</w:t>
                              </w:r>
                              <w:r w:rsidRPr="008867BE">
                                <w:t>)</w:t>
                              </w:r>
                            </w:p>
                            <w:p w14:paraId="304DB89E" w14:textId="2221832C" w:rsidR="00184383" w:rsidRPr="008867BE" w:rsidRDefault="00184383" w:rsidP="006F63D3">
                              <w:pPr>
                                <w:pStyle w:val="2024-PRISMA"/>
                              </w:pPr>
                              <w:r w:rsidRPr="008867BE">
                                <w:t xml:space="preserve">Does not meet minimum criteria for systematic review (n = </w:t>
                              </w:r>
                              <w:r w:rsidR="003E3434" w:rsidRPr="008867BE">
                                <w:t>5</w:t>
                              </w:r>
                              <w:r w:rsidRPr="008867BE">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13370327" name="Straight Arrow Connector 413370327"/>
                        <wps:cNvCnPr/>
                        <wps:spPr>
                          <a:xfrm>
                            <a:off x="2424224" y="975833"/>
                            <a:ext cx="756482"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521126020" name="Straight Arrow Connector 1521126020"/>
                        <wps:cNvCnPr/>
                        <wps:spPr>
                          <a:xfrm>
                            <a:off x="2392326" y="1720112"/>
                            <a:ext cx="563245"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27399598" name="Straight Arrow Connector 127399598"/>
                        <wps:cNvCnPr/>
                        <wps:spPr>
                          <a:xfrm>
                            <a:off x="2402958" y="2421861"/>
                            <a:ext cx="563245"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175749833" name="Straight Arrow Connector 1175749833"/>
                        <wps:cNvCnPr/>
                        <wps:spPr>
                          <a:xfrm>
                            <a:off x="2413591" y="3155507"/>
                            <a:ext cx="563245"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369184411" name="Flowchart: Alternate Process 31"/>
                        <wps:cNvSpPr/>
                        <wps:spPr>
                          <a:xfrm rot="16200000">
                            <a:off x="-341184" y="666046"/>
                            <a:ext cx="1092302" cy="343869"/>
                          </a:xfrm>
                          <a:prstGeom prst="flowChartAlternateProcess">
                            <a:avLst/>
                          </a:prstGeom>
                          <a:solidFill>
                            <a:schemeClr val="accent5">
                              <a:lumMod val="60000"/>
                              <a:lumOff val="40000"/>
                            </a:schemeClr>
                          </a:solidFill>
                          <a:ln>
                            <a:solidFill>
                              <a:schemeClr val="tx1"/>
                            </a:solidFill>
                          </a:ln>
                        </wps:spPr>
                        <wps:style>
                          <a:lnRef idx="2">
                            <a:schemeClr val="accent4">
                              <a:shade val="50000"/>
                            </a:schemeClr>
                          </a:lnRef>
                          <a:fillRef idx="1">
                            <a:schemeClr val="accent4"/>
                          </a:fillRef>
                          <a:effectRef idx="0">
                            <a:schemeClr val="accent4"/>
                          </a:effectRef>
                          <a:fontRef idx="minor">
                            <a:schemeClr val="lt1"/>
                          </a:fontRef>
                        </wps:style>
                        <wps:txbx>
                          <w:txbxContent>
                            <w:p w14:paraId="74F58A5C" w14:textId="77777777" w:rsidR="00184383" w:rsidRPr="00537945" w:rsidRDefault="00184383" w:rsidP="006F63D3">
                              <w:pPr>
                                <w:pStyle w:val="2024-PRISMA"/>
                                <w:rPr>
                                  <w:b/>
                                </w:rPr>
                              </w:pPr>
                              <w:r w:rsidRPr="00537945">
                                <w:rPr>
                                  <w:b/>
                                </w:rPr>
                                <w:t>Identification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15687267" name="Flowchart: Alternate Process 32"/>
                        <wps:cNvSpPr/>
                        <wps:spPr>
                          <a:xfrm rot="16200000">
                            <a:off x="-954359" y="2448991"/>
                            <a:ext cx="2318804" cy="343866"/>
                          </a:xfrm>
                          <a:prstGeom prst="flowChartAlternateProcess">
                            <a:avLst/>
                          </a:prstGeom>
                          <a:solidFill>
                            <a:schemeClr val="accent5">
                              <a:lumMod val="60000"/>
                              <a:lumOff val="40000"/>
                            </a:schemeClr>
                          </a:solidFill>
                          <a:ln>
                            <a:solidFill>
                              <a:schemeClr val="tx1"/>
                            </a:solidFill>
                          </a:ln>
                        </wps:spPr>
                        <wps:style>
                          <a:lnRef idx="2">
                            <a:schemeClr val="accent4">
                              <a:shade val="50000"/>
                            </a:schemeClr>
                          </a:lnRef>
                          <a:fillRef idx="1">
                            <a:schemeClr val="accent4"/>
                          </a:fillRef>
                          <a:effectRef idx="0">
                            <a:schemeClr val="accent4"/>
                          </a:effectRef>
                          <a:fontRef idx="minor">
                            <a:schemeClr val="lt1"/>
                          </a:fontRef>
                        </wps:style>
                        <wps:txbx>
                          <w:txbxContent>
                            <w:p w14:paraId="0021C223" w14:textId="77777777" w:rsidR="00184383" w:rsidRPr="00537945" w:rsidRDefault="00184383" w:rsidP="00537945">
                              <w:pPr>
                                <w:pStyle w:val="2024-PRISMA"/>
                                <w:jc w:val="center"/>
                                <w:rPr>
                                  <w:b/>
                                </w:rPr>
                              </w:pPr>
                              <w:r w:rsidRPr="00537945">
                                <w:rPr>
                                  <w:b/>
                                </w:rPr>
                                <w:t>Screening</w:t>
                              </w:r>
                            </w:p>
                            <w:p w14:paraId="2A21642D" w14:textId="77777777" w:rsidR="00184383" w:rsidRPr="00537945" w:rsidRDefault="00184383" w:rsidP="00537945">
                              <w:pPr>
                                <w:pStyle w:val="2024-PRISMA"/>
                                <w:jc w:val="center"/>
                                <w:rPr>
                                  <w: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10761778" name="Flowchart: Alternate Process 33"/>
                        <wps:cNvSpPr/>
                        <wps:spPr>
                          <a:xfrm rot="16200000">
                            <a:off x="-222600" y="4134777"/>
                            <a:ext cx="846507" cy="335270"/>
                          </a:xfrm>
                          <a:prstGeom prst="flowChartAlternateProcess">
                            <a:avLst/>
                          </a:prstGeom>
                          <a:solidFill>
                            <a:schemeClr val="accent5">
                              <a:lumMod val="60000"/>
                              <a:lumOff val="40000"/>
                            </a:schemeClr>
                          </a:solidFill>
                          <a:ln>
                            <a:solidFill>
                              <a:schemeClr val="tx1"/>
                            </a:solidFill>
                          </a:ln>
                        </wps:spPr>
                        <wps:style>
                          <a:lnRef idx="2">
                            <a:schemeClr val="accent4">
                              <a:shade val="50000"/>
                            </a:schemeClr>
                          </a:lnRef>
                          <a:fillRef idx="1">
                            <a:schemeClr val="accent4"/>
                          </a:fillRef>
                          <a:effectRef idx="0">
                            <a:schemeClr val="accent4"/>
                          </a:effectRef>
                          <a:fontRef idx="minor">
                            <a:schemeClr val="lt1"/>
                          </a:fontRef>
                        </wps:style>
                        <wps:txbx>
                          <w:txbxContent>
                            <w:p w14:paraId="2D13786F" w14:textId="77777777" w:rsidR="00184383" w:rsidRPr="00537945" w:rsidRDefault="00184383" w:rsidP="006F63D3">
                              <w:pPr>
                                <w:pStyle w:val="2024-PRISMA"/>
                                <w:rPr>
                                  <w:b/>
                                </w:rPr>
                              </w:pPr>
                              <w:r w:rsidRPr="00537945">
                                <w:rPr>
                                  <w:b/>
                                </w:rPr>
                                <w:t>Included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65339940" name="Straight Arrow Connector 1165339940"/>
                        <wps:cNvCnPr/>
                        <wps:spPr>
                          <a:xfrm>
                            <a:off x="1339407" y="1233377"/>
                            <a:ext cx="0" cy="28130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888509059" name="Straight Arrow Connector 888509059"/>
                        <wps:cNvCnPr/>
                        <wps:spPr>
                          <a:xfrm>
                            <a:off x="1339407" y="1967023"/>
                            <a:ext cx="0" cy="28130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321814296" name="Straight Arrow Connector 321814296"/>
                        <wps:cNvCnPr/>
                        <wps:spPr>
                          <a:xfrm>
                            <a:off x="1350040" y="2690037"/>
                            <a:ext cx="0" cy="28130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385238073" name="Straight Arrow Connector 385238073"/>
                        <wps:cNvCnPr/>
                        <wps:spPr>
                          <a:xfrm>
                            <a:off x="1339407" y="3296093"/>
                            <a:ext cx="0" cy="74612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151638631" name="Flowchart: Alternate Process 29"/>
                        <wps:cNvSpPr/>
                        <wps:spPr>
                          <a:xfrm>
                            <a:off x="44104" y="-135928"/>
                            <a:ext cx="5536496" cy="353628"/>
                          </a:xfrm>
                          <a:prstGeom prst="flowChartAlternateProcess">
                            <a:avLst/>
                          </a:prstGeom>
                        </wps:spPr>
                        <wps:style>
                          <a:lnRef idx="2">
                            <a:schemeClr val="accent4">
                              <a:shade val="50000"/>
                            </a:schemeClr>
                          </a:lnRef>
                          <a:fillRef idx="1">
                            <a:schemeClr val="accent4"/>
                          </a:fillRef>
                          <a:effectRef idx="0">
                            <a:schemeClr val="accent4"/>
                          </a:effectRef>
                          <a:fontRef idx="minor">
                            <a:schemeClr val="lt1"/>
                          </a:fontRef>
                        </wps:style>
                        <wps:txbx>
                          <w:txbxContent>
                            <w:p w14:paraId="1E5AC03B" w14:textId="1B7E7DB3" w:rsidR="00184383" w:rsidRPr="00537945" w:rsidRDefault="00184383" w:rsidP="00537945">
                              <w:pPr>
                                <w:pStyle w:val="2024-PRISMA"/>
                                <w:jc w:val="center"/>
                                <w:rPr>
                                  <w:b/>
                                </w:rPr>
                              </w:pPr>
                              <w:r w:rsidRPr="00537945">
                                <w:rPr>
                                  <w:b/>
                                </w:rPr>
                                <w:t xml:space="preserve">Identification of </w:t>
                              </w:r>
                              <w:r w:rsidR="009404BD">
                                <w:rPr>
                                  <w:b/>
                                </w:rPr>
                                <w:t>reviews</w:t>
                              </w:r>
                              <w:r w:rsidR="009404BD" w:rsidRPr="00537945">
                                <w:rPr>
                                  <w:b/>
                                </w:rPr>
                                <w:t xml:space="preserve"> </w:t>
                              </w:r>
                              <w:r w:rsidRPr="00537945">
                                <w:rPr>
                                  <w:b/>
                                </w:rPr>
                                <w:t>via databases and registers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21722413" name="Rectangle 1321722413"/>
                        <wps:cNvSpPr/>
                        <wps:spPr>
                          <a:xfrm>
                            <a:off x="499730" y="425302"/>
                            <a:ext cx="2455839" cy="839972"/>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9689F5A" w14:textId="2F345952" w:rsidR="00184383" w:rsidRPr="008867BE" w:rsidRDefault="00184383" w:rsidP="006F63D3">
                              <w:pPr>
                                <w:pStyle w:val="2024-PRISMA"/>
                              </w:pPr>
                              <w:r w:rsidRPr="008867BE">
                                <w:t>Records identified from:</w:t>
                              </w:r>
                            </w:p>
                            <w:p w14:paraId="7DB613B0" w14:textId="0756C73C" w:rsidR="00184383" w:rsidRPr="008867BE" w:rsidRDefault="00184383" w:rsidP="006F63D3">
                              <w:pPr>
                                <w:pStyle w:val="2024-PRISMA"/>
                              </w:pPr>
                              <w:r w:rsidRPr="008867BE">
                                <w:t xml:space="preserve">Databases and registers (n = </w:t>
                              </w:r>
                              <w:r w:rsidR="00216496" w:rsidRPr="008867BE">
                                <w:t>1178</w:t>
                              </w:r>
                              <w:r w:rsidRPr="008867BE">
                                <w:t>)</w:t>
                              </w:r>
                            </w:p>
                            <w:p w14:paraId="4D1E3887" w14:textId="77777777" w:rsidR="00184383" w:rsidRPr="008867BE" w:rsidRDefault="00184383" w:rsidP="006F63D3">
                              <w:pPr>
                                <w:pStyle w:val="2024-PRISMA"/>
                              </w:pPr>
                              <w:r w:rsidRPr="008867BE">
                                <w:t>Manual or citation searching (n = 0)</w:t>
                              </w:r>
                            </w:p>
                            <w:p w14:paraId="1B6B7AF9" w14:textId="1EF5BF32" w:rsidR="00184383" w:rsidRPr="008867BE" w:rsidRDefault="00184383" w:rsidP="006F63D3">
                              <w:pPr>
                                <w:pStyle w:val="2024-PRISMA"/>
                              </w:pPr>
                              <w:r w:rsidRPr="008867BE">
                                <w:t xml:space="preserve">Department’s call for evidence (n = </w:t>
                              </w:r>
                              <w:r w:rsidR="00882540">
                                <w:t>3</w:t>
                              </w:r>
                              <w:r w:rsidRPr="008867BE">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22405779" name="Rectangle 722405779"/>
                        <wps:cNvSpPr/>
                        <wps:spPr>
                          <a:xfrm>
                            <a:off x="499731" y="1520456"/>
                            <a:ext cx="1887220" cy="52641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EE3A7C3" w14:textId="77777777" w:rsidR="00184383" w:rsidRPr="008867BE" w:rsidRDefault="00184383" w:rsidP="006F63D3">
                              <w:pPr>
                                <w:pStyle w:val="2024-PRISMA"/>
                              </w:pPr>
                              <w:r w:rsidRPr="008867BE">
                                <w:t>Records screened</w:t>
                              </w:r>
                            </w:p>
                            <w:p w14:paraId="0EA7D223" w14:textId="02BD80B8" w:rsidR="00184383" w:rsidRPr="008867BE" w:rsidRDefault="00184383" w:rsidP="006F63D3">
                              <w:pPr>
                                <w:pStyle w:val="2024-PRISMA"/>
                              </w:pPr>
                              <w:r w:rsidRPr="008867BE">
                                <w:t xml:space="preserve">(n = </w:t>
                              </w:r>
                              <w:r w:rsidR="00216496" w:rsidRPr="008867BE">
                                <w:t>111</w:t>
                              </w:r>
                              <w:r w:rsidR="00882540">
                                <w:t>5</w:t>
                              </w:r>
                              <w:r w:rsidRPr="008867BE">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15078889" name="Rectangle 1615078889"/>
                        <wps:cNvSpPr/>
                        <wps:spPr>
                          <a:xfrm>
                            <a:off x="499731" y="2977116"/>
                            <a:ext cx="1887220" cy="52641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27ADCA5" w14:textId="77777777" w:rsidR="00184383" w:rsidRPr="008867BE" w:rsidRDefault="00184383" w:rsidP="006F63D3">
                              <w:pPr>
                                <w:pStyle w:val="2024-PRISMA"/>
                              </w:pPr>
                              <w:r w:rsidRPr="008867BE">
                                <w:t>Reports assessed for eligibility</w:t>
                              </w:r>
                            </w:p>
                            <w:p w14:paraId="2E6F675B" w14:textId="30602766" w:rsidR="00184383" w:rsidRPr="008867BE" w:rsidRDefault="00184383" w:rsidP="006F63D3">
                              <w:pPr>
                                <w:pStyle w:val="2024-PRISMA"/>
                              </w:pPr>
                              <w:r w:rsidRPr="008867BE">
                                <w:t xml:space="preserve">(n = </w:t>
                              </w:r>
                              <w:r w:rsidR="00120A58" w:rsidRPr="008867BE">
                                <w:t>34</w:t>
                              </w:r>
                              <w:r w:rsidRPr="008867BE">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07854673" name="Rectangle 907854673"/>
                        <wps:cNvSpPr/>
                        <wps:spPr>
                          <a:xfrm>
                            <a:off x="489098" y="4040372"/>
                            <a:ext cx="1887220" cy="511952"/>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D43B08C" w14:textId="7C34D82B" w:rsidR="00184383" w:rsidRPr="008867BE" w:rsidRDefault="00831376" w:rsidP="006F63D3">
                              <w:pPr>
                                <w:pStyle w:val="2024-PRISMA"/>
                              </w:pPr>
                              <w:r>
                                <w:t>R</w:t>
                              </w:r>
                              <w:r w:rsidR="009404BD">
                                <w:t>eviews</w:t>
                              </w:r>
                              <w:r w:rsidR="009404BD" w:rsidRPr="008867BE">
                                <w:t xml:space="preserve"> </w:t>
                              </w:r>
                              <w:r w:rsidR="00184383" w:rsidRPr="008867BE">
                                <w:t xml:space="preserve">included in </w:t>
                              </w:r>
                              <w:r w:rsidR="009404BD">
                                <w:t>over</w:t>
                              </w:r>
                              <w:r w:rsidR="00184383" w:rsidRPr="008867BE">
                                <w:t>view</w:t>
                              </w:r>
                            </w:p>
                            <w:p w14:paraId="58D8D868" w14:textId="00E78448" w:rsidR="00184383" w:rsidRPr="008867BE" w:rsidRDefault="00184383" w:rsidP="006F63D3">
                              <w:pPr>
                                <w:pStyle w:val="2024-PRISMA"/>
                              </w:pPr>
                              <w:r w:rsidRPr="008867BE">
                                <w:t xml:space="preserve">(n = </w:t>
                              </w:r>
                              <w:r w:rsidR="00134E51">
                                <w:t>1</w:t>
                              </w:r>
                              <w:r w:rsidR="002A08D5">
                                <w:t>0</w:t>
                              </w:r>
                              <w:r w:rsidRPr="008867BE">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15481409" name="Rectangle 1315481409"/>
                        <wps:cNvSpPr/>
                        <wps:spPr>
                          <a:xfrm>
                            <a:off x="499731" y="2243470"/>
                            <a:ext cx="1887220" cy="52641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F928617" w14:textId="77777777" w:rsidR="00184383" w:rsidRPr="008867BE" w:rsidRDefault="00184383" w:rsidP="006F63D3">
                              <w:pPr>
                                <w:pStyle w:val="2024-PRISMA"/>
                              </w:pPr>
                              <w:r w:rsidRPr="008867BE">
                                <w:t>Reports sought for retrieval</w:t>
                              </w:r>
                            </w:p>
                            <w:p w14:paraId="232EE2F8" w14:textId="44D29CE4" w:rsidR="00184383" w:rsidRPr="008867BE" w:rsidRDefault="00184383" w:rsidP="006F63D3">
                              <w:pPr>
                                <w:pStyle w:val="2024-PRISMA"/>
                              </w:pPr>
                              <w:r w:rsidRPr="008867BE">
                                <w:t xml:space="preserve">(n = </w:t>
                              </w:r>
                              <w:r w:rsidR="00120A58" w:rsidRPr="008867BE">
                                <w:t>43</w:t>
                              </w:r>
                              <w:r w:rsidRPr="008867BE">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B69E6D9" id="Group 190623865" o:spid="_x0000_s1334" style="position:absolute;margin-left:3.55pt;margin-top:1.45pt;width:421.2pt;height:329.35pt;z-index:251658253;mso-width-relative:margin;mso-height-relative:margin" coordorigin="330,-1359" coordsize="55475,486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">
                <v:rect id="Rectangle 1976325795" o:spid="_x0000_s1335" style="position:absolute;left:31807;top:4253;width:23557;height:83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" filled="f" strokecolor="black [3213]" strokeweight="1pt">
                  <v:textbox>
                    <w:txbxContent>
                      <w:p w14:paraId="6FB15F27" w14:textId="77777777" w:rsidR="00184383" w:rsidRPr="008867BE" w:rsidRDefault="00184383" w:rsidP="006F63D3">
                        <w:pPr>
                          <w:pStyle w:val="2024-PRISMA"/>
                        </w:pPr>
                        <w:r w:rsidRPr="008867BE">
                          <w:t>Records removed before screening:</w:t>
                        </w:r>
                      </w:p>
                      <w:p w14:paraId="029C595A" w14:textId="37D088D4" w:rsidR="00184383" w:rsidRPr="008867BE" w:rsidRDefault="00184383" w:rsidP="006F63D3">
                        <w:pPr>
                          <w:pStyle w:val="2024-PRISMA"/>
                        </w:pPr>
                        <w:r w:rsidRPr="008867BE">
                          <w:t xml:space="preserve">Duplicate records removed (n = </w:t>
                        </w:r>
                        <w:r w:rsidR="00216496" w:rsidRPr="008867BE">
                          <w:t>6</w:t>
                        </w:r>
                        <w:r w:rsidR="00882540">
                          <w:t>6</w:t>
                        </w:r>
                        <w:r w:rsidRPr="008867BE">
                          <w:t>)</w:t>
                        </w:r>
                      </w:p>
                    </w:txbxContent>
                  </v:textbox>
                </v:rect>
                <v:rect id="Rectangle 752366987" o:spid="_x0000_s1336" style="position:absolute;left:29877;top:15098;width:18872;height:52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" filled="f" strokecolor="black [3213]" strokeweight="1pt">
                  <v:textbox>
                    <w:txbxContent>
                      <w:p w14:paraId="3781426B" w14:textId="77777777" w:rsidR="00184383" w:rsidRPr="008867BE" w:rsidRDefault="00184383" w:rsidP="006F63D3">
                        <w:pPr>
                          <w:pStyle w:val="2024-PRISMA"/>
                        </w:pPr>
                        <w:r w:rsidRPr="008867BE">
                          <w:t>Records excluded</w:t>
                        </w:r>
                      </w:p>
                      <w:p w14:paraId="74DDDDFB" w14:textId="4A0235AC" w:rsidR="00184383" w:rsidRPr="008867BE" w:rsidRDefault="00184383" w:rsidP="006F63D3">
                        <w:pPr>
                          <w:pStyle w:val="2024-PRISMA"/>
                        </w:pPr>
                        <w:r w:rsidRPr="008867BE">
                          <w:t xml:space="preserve">(n = </w:t>
                        </w:r>
                        <w:r w:rsidR="00216496" w:rsidRPr="008867BE">
                          <w:t>107</w:t>
                        </w:r>
                        <w:r w:rsidR="00882540">
                          <w:t>2</w:t>
                        </w:r>
                        <w:r w:rsidRPr="008867BE">
                          <w:t>)</w:t>
                        </w:r>
                      </w:p>
                    </w:txbxContent>
                  </v:textbox>
                </v:rect>
                <v:rect id="Rectangle 748939191" o:spid="_x0000_s1337" style="position:absolute;left:29877;top:21054;width:23519;height:76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" filled="f" strokecolor="black [3213]" strokeweight="1pt">
                  <v:textbox>
                    <w:txbxContent>
                      <w:p w14:paraId="70703DFC" w14:textId="77777777" w:rsidR="00184383" w:rsidRPr="008867BE" w:rsidRDefault="00184383" w:rsidP="006F63D3">
                        <w:pPr>
                          <w:pStyle w:val="2024-PRISMA"/>
                        </w:pPr>
                        <w:r w:rsidRPr="008867BE">
                          <w:t>Full-text unavailable (n = 0)</w:t>
                        </w:r>
                      </w:p>
                      <w:p w14:paraId="1D06EE8D" w14:textId="7813343B" w:rsidR="00184383" w:rsidRPr="008867BE" w:rsidRDefault="00184383" w:rsidP="006F63D3">
                        <w:pPr>
                          <w:pStyle w:val="2024-PRISMA"/>
                        </w:pPr>
                        <w:r w:rsidRPr="008867BE">
                          <w:t xml:space="preserve">Ongoing study (n = </w:t>
                        </w:r>
                        <w:r w:rsidR="00120A58" w:rsidRPr="008867BE">
                          <w:t>9</w:t>
                        </w:r>
                        <w:r w:rsidRPr="008867BE">
                          <w:t>)</w:t>
                        </w:r>
                      </w:p>
                      <w:p w14:paraId="5F874861" w14:textId="77777777" w:rsidR="000649CF" w:rsidRDefault="000649CF" w:rsidP="006F63D3">
                        <w:pPr>
                          <w:pStyle w:val="2024-PRISMA"/>
                        </w:pPr>
                        <w:r>
                          <w:t>Conference abstracts (n = 0)</w:t>
                        </w:r>
                      </w:p>
                      <w:p w14:paraId="2DFA5065" w14:textId="090352AC" w:rsidR="00184383" w:rsidRPr="008867BE" w:rsidRDefault="00F41ADB" w:rsidP="006F63D3">
                        <w:pPr>
                          <w:pStyle w:val="2024-PRISMA"/>
                        </w:pPr>
                        <w:r>
                          <w:t>Reviews</w:t>
                        </w:r>
                        <w:r w:rsidR="00184383" w:rsidRPr="008867BE">
                          <w:t xml:space="preserve"> Awaiting Classification (n = 0)</w:t>
                        </w:r>
                      </w:p>
                    </w:txbxContent>
                  </v:textbox>
                </v:rect>
                <v:rect id="Rectangle 954900045" o:spid="_x0000_s1338" style="position:absolute;left:29877;top:29558;width:21793;height:1411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" filled="f" strokecolor="black [3213]" strokeweight="1pt">
                  <v:textbox>
                    <w:txbxContent>
                      <w:p w14:paraId="2FF3CA1C" w14:textId="4E9B8FC4" w:rsidR="00184383" w:rsidRPr="008867BE" w:rsidRDefault="00184383" w:rsidP="006F63D3">
                        <w:pPr>
                          <w:pStyle w:val="2024-PRISMA"/>
                        </w:pPr>
                        <w:r w:rsidRPr="008867BE">
                          <w:t xml:space="preserve">Reports excluded (n = </w:t>
                        </w:r>
                        <w:r w:rsidR="005E6E93">
                          <w:t>2</w:t>
                        </w:r>
                        <w:r w:rsidR="002A08D5">
                          <w:t>4</w:t>
                        </w:r>
                        <w:r w:rsidRPr="008867BE">
                          <w:t>):</w:t>
                        </w:r>
                      </w:p>
                      <w:p w14:paraId="34156E86" w14:textId="77777777" w:rsidR="00A91801" w:rsidRDefault="00A91801" w:rsidP="006F63D3">
                        <w:pPr>
                          <w:pStyle w:val="2024-PRISMA"/>
                        </w:pPr>
                        <w:r>
                          <w:t>Wrong study design (n = 1)</w:t>
                        </w:r>
                      </w:p>
                      <w:p w14:paraId="4D5C1FC0" w14:textId="40E734F5" w:rsidR="00184383" w:rsidRPr="008867BE" w:rsidRDefault="00184383" w:rsidP="006F63D3">
                        <w:pPr>
                          <w:pStyle w:val="2024-PRISMA"/>
                        </w:pPr>
                        <w:r w:rsidRPr="008867BE">
                          <w:t xml:space="preserve">Wrong population (n = </w:t>
                        </w:r>
                        <w:r w:rsidR="002A08D5">
                          <w:t>8</w:t>
                        </w:r>
                        <w:r w:rsidRPr="008867BE">
                          <w:t>)</w:t>
                        </w:r>
                      </w:p>
                      <w:p w14:paraId="623AD77F" w14:textId="64494ABB" w:rsidR="00184383" w:rsidRPr="008867BE" w:rsidRDefault="00184383" w:rsidP="006F63D3">
                        <w:pPr>
                          <w:pStyle w:val="2024-PRISMA"/>
                        </w:pPr>
                        <w:r w:rsidRPr="008867BE">
                          <w:t xml:space="preserve">Wrong intervention (n = </w:t>
                        </w:r>
                        <w:r w:rsidR="00C80E9B">
                          <w:t>3</w:t>
                        </w:r>
                        <w:r w:rsidRPr="008867BE">
                          <w:t>)</w:t>
                        </w:r>
                      </w:p>
                      <w:p w14:paraId="066A1FAC" w14:textId="007105F0" w:rsidR="00184383" w:rsidRPr="008867BE" w:rsidRDefault="00184383" w:rsidP="006F63D3">
                        <w:pPr>
                          <w:pStyle w:val="2024-PRISMA"/>
                        </w:pPr>
                        <w:r w:rsidRPr="008867BE">
                          <w:t xml:space="preserve">Wrong outcomes (n = </w:t>
                        </w:r>
                        <w:r w:rsidR="005E6E93">
                          <w:t>7</w:t>
                        </w:r>
                        <w:r w:rsidRPr="008867BE">
                          <w:t>)</w:t>
                        </w:r>
                      </w:p>
                      <w:p w14:paraId="304DB89E" w14:textId="2221832C" w:rsidR="00184383" w:rsidRPr="008867BE" w:rsidRDefault="00184383" w:rsidP="006F63D3">
                        <w:pPr>
                          <w:pStyle w:val="2024-PRISMA"/>
                        </w:pPr>
                        <w:r w:rsidRPr="008867BE">
                          <w:t xml:space="preserve">Does not meet minimum criteria for systematic review (n = </w:t>
                        </w:r>
                        <w:r w:rsidR="003E3434" w:rsidRPr="008867BE">
                          <w:t>5</w:t>
                        </w:r>
                        <w:r w:rsidRPr="008867BE">
                          <w:t>)</w:t>
                        </w:r>
                      </w:p>
                    </w:txbxContent>
                  </v:textbox>
                </v:rect>
                <v:shape id="Straight Arrow Connector 413370327" o:spid="_x0000_s1339" type="#_x0000_t32" style="position:absolute;left:24242;top:9758;width:756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" strokecolor="black [3213]" strokeweight=".5pt">
                  <v:stroke endarrow="block" joinstyle="miter"/>
                </v:shape>
                <v:shape id="Straight Arrow Connector 1521126020" o:spid="_x0000_s1340" type="#_x0000_t32" style="position:absolute;left:23923;top:17201;width:563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" strokecolor="black [3213]" strokeweight=".5pt">
                  <v:stroke endarrow="block" joinstyle="miter"/>
                </v:shape>
                <v:shape id="Straight Arrow Connector 127399598" o:spid="_x0000_s1341" type="#_x0000_t32" style="position:absolute;left:24029;top:24218;width:563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" strokecolor="black [3213]" strokeweight=".5pt">
                  <v:stroke endarrow="block" joinstyle="miter"/>
                </v:shape>
                <v:shape id="Straight Arrow Connector 1175749833" o:spid="_x0000_s1342" type="#_x0000_t32" style="position:absolute;left:24135;top:31555;width:563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" strokecolor="black [3213]" strokeweight=".5pt">
                  <v:stroke endarrow="block" joinstyle="miter"/>
                </v:shape>
                <v:shape id="Flowchart: Alternate Process 31" o:spid="_x0000_s1343" type="#_x0000_t176" style="position:absolute;left:-3412;top:6660;width:10923;height:3439;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" fillcolor="#9cc2e5 [1944]" strokecolor="black [3213]" strokeweight="1pt">
                  <v:textbox>
                    <w:txbxContent>
                      <w:p w14:paraId="74F58A5C" w14:textId="77777777" w:rsidR="00184383" w:rsidRPr="00537945" w:rsidRDefault="00184383" w:rsidP="006F63D3">
                        <w:pPr>
                          <w:pStyle w:val="2024-PRISMA"/>
                          <w:rPr>
                            <w:b/>
                          </w:rPr>
                        </w:pPr>
                        <w:r w:rsidRPr="00537945">
                          <w:rPr>
                            <w:b/>
                          </w:rPr>
                          <w:t>Identification</w:t>
                        </w:r>
                      </w:p>
                    </w:txbxContent>
                  </v:textbox>
                </v:shape>
                <v:shape id="Flowchart: Alternate Process 32" o:spid="_x0000_s1344" type="#_x0000_t176" style="position:absolute;left:-9544;top:24490;width:23188;height:3438;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" fillcolor="#9cc2e5 [1944]" strokecolor="black [3213]" strokeweight="1pt">
                  <v:textbox>
                    <w:txbxContent>
                      <w:p w14:paraId="0021C223" w14:textId="77777777" w:rsidR="00184383" w:rsidRPr="00537945" w:rsidRDefault="00184383" w:rsidP="00537945">
                        <w:pPr>
                          <w:pStyle w:val="2024-PRISMA"/>
                          <w:jc w:val="center"/>
                          <w:rPr>
                            <w:b/>
                          </w:rPr>
                        </w:pPr>
                        <w:r w:rsidRPr="00537945">
                          <w:rPr>
                            <w:b/>
                          </w:rPr>
                          <w:t>Screening</w:t>
                        </w:r>
                      </w:p>
                      <w:p w14:paraId="2A21642D" w14:textId="77777777" w:rsidR="00184383" w:rsidRPr="00537945" w:rsidRDefault="00184383" w:rsidP="00537945">
                        <w:pPr>
                          <w:pStyle w:val="2024-PRISMA"/>
                          <w:jc w:val="center"/>
                          <w:rPr>
                            <w:b/>
                          </w:rPr>
                        </w:pPr>
                      </w:p>
                    </w:txbxContent>
                  </v:textbox>
                </v:shape>
                <v:shape id="Flowchart: Alternate Process 33" o:spid="_x0000_s1345" type="#_x0000_t176" style="position:absolute;left:-2227;top:41348;width:8465;height:3352;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" fillcolor="#9cc2e5 [1944]" strokecolor="black [3213]" strokeweight="1pt">
                  <v:textbox>
                    <w:txbxContent>
                      <w:p w14:paraId="2D13786F" w14:textId="77777777" w:rsidR="00184383" w:rsidRPr="00537945" w:rsidRDefault="00184383" w:rsidP="006F63D3">
                        <w:pPr>
                          <w:pStyle w:val="2024-PRISMA"/>
                          <w:rPr>
                            <w:b/>
                          </w:rPr>
                        </w:pPr>
                        <w:r w:rsidRPr="00537945">
                          <w:rPr>
                            <w:b/>
                          </w:rPr>
                          <w:t>Included</w:t>
                        </w:r>
                      </w:p>
                    </w:txbxContent>
                  </v:textbox>
                </v:shape>
                <v:shape id="Straight Arrow Connector 1165339940" o:spid="_x0000_s1346" type="#_x0000_t32" style="position:absolute;left:13394;top:12333;width:0;height:281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" strokecolor="black [3213]" strokeweight=".5pt">
                  <v:stroke endarrow="block" joinstyle="miter"/>
                </v:shape>
                <v:shape id="Straight Arrow Connector 888509059" o:spid="_x0000_s1347" type="#_x0000_t32" style="position:absolute;left:13394;top:19670;width:0;height:281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" strokecolor="black [3213]" strokeweight=".5pt">
                  <v:stroke endarrow="block" joinstyle="miter"/>
                </v:shape>
                <v:shape id="Straight Arrow Connector 321814296" o:spid="_x0000_s1348" type="#_x0000_t32" style="position:absolute;left:13500;top:26900;width:0;height:281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" strokecolor="black [3213]" strokeweight=".5pt">
                  <v:stroke endarrow="block" joinstyle="miter"/>
                </v:shape>
                <v:shape id="Straight Arrow Connector 385238073" o:spid="_x0000_s1349" type="#_x0000_t32" style="position:absolute;left:13394;top:32960;width:0;height:746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" strokecolor="black [3213]" strokeweight=".5pt">
                  <v:stroke endarrow="block" joinstyle="miter"/>
                </v:shape>
                <v:shape id="Flowchart: Alternate Process 29" o:spid="_x0000_s1350" type="#_x0000_t176" style="position:absolute;left:441;top:-1359;width:55365;height:35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" fillcolor="#ffc000 [3207]" strokecolor="#7f5f00 [1607]" strokeweight="1pt">
                  <v:textbox>
                    <w:txbxContent>
                      <w:p w14:paraId="1E5AC03B" w14:textId="1B7E7DB3" w:rsidR="00184383" w:rsidRPr="00537945" w:rsidRDefault="00184383" w:rsidP="00537945">
                        <w:pPr>
                          <w:pStyle w:val="2024-PRISMA"/>
                          <w:jc w:val="center"/>
                          <w:rPr>
                            <w:b/>
                          </w:rPr>
                        </w:pPr>
                        <w:r w:rsidRPr="00537945">
                          <w:rPr>
                            <w:b/>
                          </w:rPr>
                          <w:t xml:space="preserve">Identification of </w:t>
                        </w:r>
                        <w:r w:rsidR="009404BD">
                          <w:rPr>
                            <w:b/>
                          </w:rPr>
                          <w:t>reviews</w:t>
                        </w:r>
                        <w:r w:rsidR="009404BD" w:rsidRPr="00537945">
                          <w:rPr>
                            <w:b/>
                          </w:rPr>
                          <w:t xml:space="preserve"> </w:t>
                        </w:r>
                        <w:r w:rsidRPr="00537945">
                          <w:rPr>
                            <w:b/>
                          </w:rPr>
                          <w:t>via databases and registers</w:t>
                        </w:r>
                      </w:p>
                    </w:txbxContent>
                  </v:textbox>
                </v:shape>
                <v:rect id="Rectangle 1321722413" o:spid="_x0000_s1351" style="position:absolute;left:4997;top:4253;width:24558;height:83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" fillcolor="white [3212]" strokecolor="black [3213]" strokeweight="1pt">
                  <v:textbox>
                    <w:txbxContent>
                      <w:p w14:paraId="39689F5A" w14:textId="2F345952" w:rsidR="00184383" w:rsidRPr="008867BE" w:rsidRDefault="00184383" w:rsidP="006F63D3">
                        <w:pPr>
                          <w:pStyle w:val="2024-PRISMA"/>
                        </w:pPr>
                        <w:r w:rsidRPr="008867BE">
                          <w:t>Records identified from:</w:t>
                        </w:r>
                      </w:p>
                      <w:p w14:paraId="7DB613B0" w14:textId="0756C73C" w:rsidR="00184383" w:rsidRPr="008867BE" w:rsidRDefault="00184383" w:rsidP="006F63D3">
                        <w:pPr>
                          <w:pStyle w:val="2024-PRISMA"/>
                        </w:pPr>
                        <w:r w:rsidRPr="008867BE">
                          <w:t xml:space="preserve">Databases and registers (n = </w:t>
                        </w:r>
                        <w:r w:rsidR="00216496" w:rsidRPr="008867BE">
                          <w:t>1178</w:t>
                        </w:r>
                        <w:r w:rsidRPr="008867BE">
                          <w:t>)</w:t>
                        </w:r>
                      </w:p>
                      <w:p w14:paraId="4D1E3887" w14:textId="77777777" w:rsidR="00184383" w:rsidRPr="008867BE" w:rsidRDefault="00184383" w:rsidP="006F63D3">
                        <w:pPr>
                          <w:pStyle w:val="2024-PRISMA"/>
                        </w:pPr>
                        <w:r w:rsidRPr="008867BE">
                          <w:t>Manual or citation searching (n = 0)</w:t>
                        </w:r>
                      </w:p>
                      <w:p w14:paraId="1B6B7AF9" w14:textId="1EF5BF32" w:rsidR="00184383" w:rsidRPr="008867BE" w:rsidRDefault="00184383" w:rsidP="006F63D3">
                        <w:pPr>
                          <w:pStyle w:val="2024-PRISMA"/>
                        </w:pPr>
                        <w:r w:rsidRPr="008867BE">
                          <w:t xml:space="preserve">Department’s call for evidence (n = </w:t>
                        </w:r>
                        <w:r w:rsidR="00882540">
                          <w:t>3</w:t>
                        </w:r>
                        <w:r w:rsidRPr="008867BE">
                          <w:t>)</w:t>
                        </w:r>
                      </w:p>
                    </w:txbxContent>
                  </v:textbox>
                </v:rect>
                <v:rect id="Rectangle 722405779" o:spid="_x0000_s1352" style="position:absolute;left:4997;top:15204;width:18872;height:52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" fillcolor="white [3212]" strokecolor="black [3213]" strokeweight="1pt">
                  <v:textbox>
                    <w:txbxContent>
                      <w:p w14:paraId="4EE3A7C3" w14:textId="77777777" w:rsidR="00184383" w:rsidRPr="008867BE" w:rsidRDefault="00184383" w:rsidP="006F63D3">
                        <w:pPr>
                          <w:pStyle w:val="2024-PRISMA"/>
                        </w:pPr>
                        <w:r w:rsidRPr="008867BE">
                          <w:t>Records screened</w:t>
                        </w:r>
                      </w:p>
                      <w:p w14:paraId="0EA7D223" w14:textId="02BD80B8" w:rsidR="00184383" w:rsidRPr="008867BE" w:rsidRDefault="00184383" w:rsidP="006F63D3">
                        <w:pPr>
                          <w:pStyle w:val="2024-PRISMA"/>
                        </w:pPr>
                        <w:r w:rsidRPr="008867BE">
                          <w:t xml:space="preserve">(n = </w:t>
                        </w:r>
                        <w:r w:rsidR="00216496" w:rsidRPr="008867BE">
                          <w:t>111</w:t>
                        </w:r>
                        <w:r w:rsidR="00882540">
                          <w:t>5</w:t>
                        </w:r>
                        <w:r w:rsidRPr="008867BE">
                          <w:t>)</w:t>
                        </w:r>
                      </w:p>
                    </w:txbxContent>
                  </v:textbox>
                </v:rect>
                <v:rect id="Rectangle 1615078889" o:spid="_x0000_s1353" style="position:absolute;left:4997;top:29771;width:18872;height:52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" fillcolor="white [3212]" strokecolor="black [3213]" strokeweight="1pt">
                  <v:textbox>
                    <w:txbxContent>
                      <w:p w14:paraId="327ADCA5" w14:textId="77777777" w:rsidR="00184383" w:rsidRPr="008867BE" w:rsidRDefault="00184383" w:rsidP="006F63D3">
                        <w:pPr>
                          <w:pStyle w:val="2024-PRISMA"/>
                        </w:pPr>
                        <w:r w:rsidRPr="008867BE">
                          <w:t>Reports assessed for eligibility</w:t>
                        </w:r>
                      </w:p>
                      <w:p w14:paraId="2E6F675B" w14:textId="30602766" w:rsidR="00184383" w:rsidRPr="008867BE" w:rsidRDefault="00184383" w:rsidP="006F63D3">
                        <w:pPr>
                          <w:pStyle w:val="2024-PRISMA"/>
                        </w:pPr>
                        <w:r w:rsidRPr="008867BE">
                          <w:t xml:space="preserve">(n = </w:t>
                        </w:r>
                        <w:r w:rsidR="00120A58" w:rsidRPr="008867BE">
                          <w:t>34</w:t>
                        </w:r>
                        <w:r w:rsidRPr="008867BE">
                          <w:t>)</w:t>
                        </w:r>
                      </w:p>
                    </w:txbxContent>
                  </v:textbox>
                </v:rect>
                <v:rect id="Rectangle 907854673" o:spid="_x0000_s1354" style="position:absolute;left:4890;top:40403;width:18873;height:51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" fillcolor="white [3212]" strokecolor="black [3213]" strokeweight="1pt">
                  <v:textbox>
                    <w:txbxContent>
                      <w:p w14:paraId="6D43B08C" w14:textId="7C34D82B" w:rsidR="00184383" w:rsidRPr="008867BE" w:rsidRDefault="00831376" w:rsidP="006F63D3">
                        <w:pPr>
                          <w:pStyle w:val="2024-PRISMA"/>
                        </w:pPr>
                        <w:r>
                          <w:t>R</w:t>
                        </w:r>
                        <w:r w:rsidR="009404BD">
                          <w:t>eviews</w:t>
                        </w:r>
                        <w:r w:rsidR="009404BD" w:rsidRPr="008867BE">
                          <w:t xml:space="preserve"> </w:t>
                        </w:r>
                        <w:r w:rsidR="00184383" w:rsidRPr="008867BE">
                          <w:t xml:space="preserve">included in </w:t>
                        </w:r>
                        <w:r w:rsidR="009404BD">
                          <w:t>over</w:t>
                        </w:r>
                        <w:r w:rsidR="00184383" w:rsidRPr="008867BE">
                          <w:t>view</w:t>
                        </w:r>
                      </w:p>
                      <w:p w14:paraId="58D8D868" w14:textId="00E78448" w:rsidR="00184383" w:rsidRPr="008867BE" w:rsidRDefault="00184383" w:rsidP="006F63D3">
                        <w:pPr>
                          <w:pStyle w:val="2024-PRISMA"/>
                        </w:pPr>
                        <w:r w:rsidRPr="008867BE">
                          <w:t xml:space="preserve">(n = </w:t>
                        </w:r>
                        <w:r w:rsidR="00134E51">
                          <w:t>1</w:t>
                        </w:r>
                        <w:r w:rsidR="002A08D5">
                          <w:t>0</w:t>
                        </w:r>
                        <w:r w:rsidRPr="008867BE">
                          <w:t>)</w:t>
                        </w:r>
                      </w:p>
                    </w:txbxContent>
                  </v:textbox>
                </v:rect>
                <v:rect id="Rectangle 1315481409" o:spid="_x0000_s1355" style="position:absolute;left:4997;top:22434;width:18872;height:52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" fillcolor="white [3212]" strokecolor="black [3213]" strokeweight="1pt">
                  <v:textbox>
                    <w:txbxContent>
                      <w:p w14:paraId="2F928617" w14:textId="77777777" w:rsidR="00184383" w:rsidRPr="008867BE" w:rsidRDefault="00184383" w:rsidP="006F63D3">
                        <w:pPr>
                          <w:pStyle w:val="2024-PRISMA"/>
                        </w:pPr>
                        <w:r w:rsidRPr="008867BE">
                          <w:t>Reports sought for retrieval</w:t>
                        </w:r>
                      </w:p>
                      <w:p w14:paraId="232EE2F8" w14:textId="44D29CE4" w:rsidR="00184383" w:rsidRPr="008867BE" w:rsidRDefault="00184383" w:rsidP="006F63D3">
                        <w:pPr>
                          <w:pStyle w:val="2024-PRISMA"/>
                        </w:pPr>
                        <w:r w:rsidRPr="008867BE">
                          <w:t xml:space="preserve">(n = </w:t>
                        </w:r>
                        <w:r w:rsidR="00120A58" w:rsidRPr="008867BE">
                          <w:t>43</w:t>
                        </w:r>
                        <w:r w:rsidRPr="008867BE">
                          <w:t>)</w:t>
                        </w:r>
                      </w:p>
                    </w:txbxContent>
                  </v:textbox>
                </v:rect>
                <w10:wrap type="square"/>
              </v:group>
            </w:pict>
          </mc:Fallback>
        </mc:AlternateContent>
      </w:r>
    </w:p>
    <w:p w14:paraId="5C1893C9" w14:textId="77777777" w:rsidR="00184383" w:rsidRPr="0054775B" w:rsidRDefault="00184383" w:rsidP="009E6F7F"/>
    <w:p w14:paraId="35EA7750" w14:textId="77777777" w:rsidR="00184383" w:rsidRPr="0054775B" w:rsidRDefault="00184383" w:rsidP="009E6F7F"/>
    <w:p w14:paraId="7EF0041C" w14:textId="77777777" w:rsidR="00184383" w:rsidRPr="0054775B" w:rsidRDefault="00184383" w:rsidP="009E6F7F"/>
    <w:p w14:paraId="58DAB462" w14:textId="77777777" w:rsidR="00184383" w:rsidRPr="0054775B" w:rsidRDefault="00184383" w:rsidP="009E6F7F"/>
    <w:p w14:paraId="59470A5D" w14:textId="77777777" w:rsidR="00184383" w:rsidRPr="0054775B" w:rsidRDefault="00184383" w:rsidP="009E6F7F"/>
    <w:p w14:paraId="156567CE" w14:textId="77777777" w:rsidR="00184383" w:rsidRPr="0054775B" w:rsidRDefault="00184383" w:rsidP="009E6F7F"/>
    <w:p w14:paraId="6E4C1164" w14:textId="77777777" w:rsidR="00184383" w:rsidRPr="0054775B" w:rsidRDefault="00184383" w:rsidP="009E6F7F"/>
    <w:p w14:paraId="77441512" w14:textId="77777777" w:rsidR="00184383" w:rsidRPr="0054775B" w:rsidRDefault="00184383" w:rsidP="009E6F7F"/>
    <w:p w14:paraId="09E95B63" w14:textId="77777777" w:rsidR="00184383" w:rsidRPr="0054775B" w:rsidRDefault="00184383" w:rsidP="009E6F7F"/>
    <w:p w14:paraId="5863A494" w14:textId="77777777" w:rsidR="00184383" w:rsidRPr="0054775B" w:rsidRDefault="00184383" w:rsidP="009E6F7F"/>
    <w:p w14:paraId="01ADA3C7" w14:textId="77777777" w:rsidR="00184383" w:rsidRPr="0054775B" w:rsidRDefault="00184383" w:rsidP="009E6F7F"/>
    <w:p w14:paraId="7D70ACE1" w14:textId="77777777" w:rsidR="00184383" w:rsidRPr="0054775B" w:rsidRDefault="00184383" w:rsidP="009E6F7F"/>
    <w:p w14:paraId="66A53EA8" w14:textId="77777777" w:rsidR="00184383" w:rsidRPr="0054775B" w:rsidRDefault="00184383" w:rsidP="009E6F7F"/>
    <w:p w14:paraId="3B578C1E" w14:textId="77777777" w:rsidR="00835CC3" w:rsidRPr="0054775B" w:rsidRDefault="00835CC3" w:rsidP="009E6F7F"/>
    <w:p w14:paraId="1B9AC086" w14:textId="18CAE8F4" w:rsidR="00510120" w:rsidRPr="0054775B" w:rsidRDefault="008308E9" w:rsidP="009E6F7F">
      <w:pPr>
        <w:pStyle w:val="2024HEADER3"/>
        <w:rPr>
          <w:rFonts w:ascii="Aptos" w:hAnsi="Aptos"/>
        </w:rPr>
      </w:pPr>
      <w:r w:rsidRPr="0054775B">
        <w:rPr>
          <w:rFonts w:ascii="Aptos" w:hAnsi="Aptos"/>
        </w:rPr>
        <w:t>Description of included reviews</w:t>
      </w:r>
    </w:p>
    <w:p w14:paraId="707A7720" w14:textId="5536EAD4" w:rsidR="006C7FF7" w:rsidRPr="0054775B" w:rsidRDefault="006C7FF7" w:rsidP="006C7FF7">
      <w:r w:rsidRPr="0054775B">
        <w:t xml:space="preserve">Ten reviews were identified as eligible for inclusion; </w:t>
      </w:r>
      <w:r w:rsidR="003C2AC9">
        <w:t>review</w:t>
      </w:r>
      <w:r w:rsidR="003C2AC9" w:rsidRPr="0054775B">
        <w:t xml:space="preserve"> </w:t>
      </w:r>
      <w:r w:rsidRPr="0054775B">
        <w:t xml:space="preserve">characteristics are reported in detail in Appendix </w:t>
      </w:r>
      <w:r>
        <w:t>D</w:t>
      </w:r>
      <w:r w:rsidRPr="0054775B">
        <w:t>. The included reviews were conducted between 2018 and 2023</w:t>
      </w:r>
      <w:r w:rsidR="00437FE2">
        <w:t xml:space="preserve">. </w:t>
      </w:r>
      <w:r w:rsidRPr="0054775B">
        <w:t>The only study design included across all reviews was RCTs</w:t>
      </w:r>
      <w:r w:rsidR="00EF4ABB">
        <w:t>, and most review</w:t>
      </w:r>
      <w:r w:rsidR="003222AB">
        <w:t>s included a meta-analysis</w:t>
      </w:r>
      <w:r w:rsidRPr="0054775B">
        <w:t>.</w:t>
      </w:r>
    </w:p>
    <w:p w14:paraId="2561034E" w14:textId="399E7E51" w:rsidR="00510120" w:rsidRPr="0054775B" w:rsidRDefault="006C7FF7" w:rsidP="009E6F7F">
      <w:r w:rsidRPr="0054775B">
        <w:t xml:space="preserve">One review examined the impact of antioxidant supplementation in </w:t>
      </w:r>
      <w:r w:rsidR="00C710AA" w:rsidRPr="0054775B">
        <w:t xml:space="preserve">obese individuals </w:t>
      </w:r>
      <w:r w:rsidR="00C710AA">
        <w:rPr>
          <w:noProof/>
        </w:rPr>
        <w:t>(42)</w:t>
      </w:r>
      <w:r w:rsidR="00C710AA">
        <w:t>, considered as a population at risk of T2DM</w:t>
      </w:r>
      <w:r w:rsidRPr="0054775B">
        <w:t xml:space="preserve"> </w:t>
      </w:r>
      <w:r w:rsidR="00227084">
        <w:rPr>
          <w:noProof/>
        </w:rPr>
        <w:t>(204)</w:t>
      </w:r>
      <w:r w:rsidRPr="0054775B">
        <w:t xml:space="preserve">. Six reviews examined one antioxidant – Coenzyme Q10 </w:t>
      </w:r>
      <w:r w:rsidR="00227084">
        <w:rPr>
          <w:noProof/>
        </w:rPr>
        <w:t>(205-207)</w:t>
      </w:r>
      <w:r w:rsidRPr="0054775B">
        <w:t xml:space="preserve"> or ALA </w:t>
      </w:r>
      <w:r w:rsidR="00227084">
        <w:rPr>
          <w:noProof/>
        </w:rPr>
        <w:t>(208-210)</w:t>
      </w:r>
      <w:r w:rsidRPr="0054775B">
        <w:t xml:space="preserve"> – specifically for patients with T2DM (or diabetes/inflammatory and metabolic factors generally, where T2DM results could be independently determined). Four reviews</w:t>
      </w:r>
      <w:r w:rsidRPr="0054775B" w:rsidDel="003851D6">
        <w:t xml:space="preserve"> </w:t>
      </w:r>
      <w:r w:rsidR="003851D6">
        <w:t>included</w:t>
      </w:r>
      <w:r w:rsidR="003851D6" w:rsidRPr="0054775B">
        <w:t xml:space="preserve"> </w:t>
      </w:r>
      <w:r w:rsidR="003851D6">
        <w:t>multiple</w:t>
      </w:r>
      <w:r w:rsidRPr="0054775B">
        <w:t xml:space="preserve"> dietary supplements for diabetes</w:t>
      </w:r>
      <w:r w:rsidR="003851D6">
        <w:t>,</w:t>
      </w:r>
      <w:r w:rsidRPr="0054775B">
        <w:t xml:space="preserve"> which included antioxidants </w:t>
      </w:r>
      <w:r w:rsidR="00227084">
        <w:rPr>
          <w:noProof/>
        </w:rPr>
        <w:t>(211-214)</w:t>
      </w:r>
      <w:r w:rsidRPr="0054775B">
        <w:t xml:space="preserve">. </w:t>
      </w:r>
    </w:p>
    <w:p w14:paraId="7927091C" w14:textId="77777777" w:rsidR="008308E9" w:rsidRPr="0054775B" w:rsidRDefault="008308E9" w:rsidP="009E6F7F">
      <w:pPr>
        <w:pStyle w:val="2024HEADER3"/>
        <w:rPr>
          <w:rFonts w:ascii="Aptos" w:hAnsi="Aptos"/>
        </w:rPr>
      </w:pPr>
      <w:r w:rsidRPr="0054775B">
        <w:rPr>
          <w:rFonts w:ascii="Aptos" w:hAnsi="Aptos"/>
        </w:rPr>
        <w:t>Assessment of risk of bias of included systematic reviews</w:t>
      </w:r>
    </w:p>
    <w:p w14:paraId="3C0DF9C9" w14:textId="3116AA6F" w:rsidR="00184383" w:rsidRPr="0054775B" w:rsidRDefault="00184383" w:rsidP="009E6F7F">
      <w:r w:rsidRPr="0054775B">
        <w:t xml:space="preserve">Risk of bias of the systematic reviews, as assessed using the ROBIS tool, is presented below. </w:t>
      </w:r>
      <w:r w:rsidR="006D3FE4" w:rsidRPr="0054775B">
        <w:t xml:space="preserve">Full assessments are reported in Appendix </w:t>
      </w:r>
      <w:r w:rsidR="00876D00">
        <w:t>F</w:t>
      </w:r>
      <w:r w:rsidRPr="0054775B">
        <w:t>.</w:t>
      </w:r>
    </w:p>
    <w:p w14:paraId="7F346863" w14:textId="20462022" w:rsidR="00184383" w:rsidRPr="0054775B" w:rsidRDefault="00184383" w:rsidP="006F63D3">
      <w:pPr>
        <w:pStyle w:val="2024TABLECAPTION"/>
        <w:rPr>
          <w:rFonts w:ascii="Aptos" w:hAnsi="Aptos"/>
        </w:rPr>
      </w:pPr>
      <w:bookmarkStart w:id="138" w:name="_Toc185261629"/>
      <w:r w:rsidRPr="0054775B">
        <w:rPr>
          <w:rFonts w:ascii="Aptos" w:hAnsi="Aptos"/>
        </w:rPr>
        <w:t xml:space="preserve">Table </w:t>
      </w:r>
      <w:r w:rsidRPr="0054775B">
        <w:rPr>
          <w:rFonts w:ascii="Aptos" w:hAnsi="Aptos"/>
        </w:rPr>
        <w:fldChar w:fldCharType="begin"/>
      </w:r>
      <w:r w:rsidRPr="0054775B">
        <w:rPr>
          <w:rFonts w:ascii="Aptos" w:hAnsi="Aptos"/>
        </w:rPr>
        <w:instrText>SEQ Table \* ARABIC</w:instrText>
      </w:r>
      <w:r w:rsidRPr="0054775B">
        <w:rPr>
          <w:rFonts w:ascii="Aptos" w:hAnsi="Aptos"/>
        </w:rPr>
        <w:fldChar w:fldCharType="separate"/>
      </w:r>
      <w:r w:rsidR="00651E04">
        <w:rPr>
          <w:rFonts w:ascii="Aptos" w:hAnsi="Aptos"/>
          <w:noProof/>
        </w:rPr>
        <w:t>51</w:t>
      </w:r>
      <w:r w:rsidRPr="0054775B">
        <w:rPr>
          <w:rFonts w:ascii="Aptos" w:hAnsi="Aptos"/>
        </w:rPr>
        <w:fldChar w:fldCharType="end"/>
      </w:r>
      <w:r w:rsidRPr="0054775B">
        <w:rPr>
          <w:rFonts w:ascii="Aptos" w:hAnsi="Aptos"/>
        </w:rPr>
        <w:t xml:space="preserve">. Summary of ROBIS assessments – </w:t>
      </w:r>
      <w:r w:rsidR="00362896" w:rsidRPr="0054775B">
        <w:rPr>
          <w:rFonts w:ascii="Aptos" w:hAnsi="Aptos"/>
        </w:rPr>
        <w:t xml:space="preserve">Diabetes (Type lI) (including metabolic syndrome), antioxidants (specifically </w:t>
      </w:r>
      <w:r w:rsidR="00B84C75" w:rsidRPr="0054775B">
        <w:rPr>
          <w:rFonts w:ascii="Aptos" w:hAnsi="Aptos"/>
        </w:rPr>
        <w:t>CoQ10 and ALA</w:t>
      </w:r>
      <w:r w:rsidR="00362896" w:rsidRPr="0054775B">
        <w:rPr>
          <w:rFonts w:ascii="Aptos" w:hAnsi="Aptos"/>
        </w:rPr>
        <w:t>)</w:t>
      </w:r>
      <w:bookmarkEnd w:id="138"/>
    </w:p>
    <w:tbl>
      <w:tblPr>
        <w:tblW w:w="901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28" w:type="dxa"/>
        </w:tblCellMar>
        <w:tblLook w:val="04A0" w:firstRow="1" w:lastRow="0" w:firstColumn="1" w:lastColumn="0" w:noHBand="0" w:noVBand="1"/>
      </w:tblPr>
      <w:tblGrid>
        <w:gridCol w:w="1550"/>
        <w:gridCol w:w="1346"/>
        <w:gridCol w:w="1630"/>
        <w:gridCol w:w="1630"/>
        <w:gridCol w:w="1631"/>
        <w:gridCol w:w="1229"/>
      </w:tblGrid>
      <w:tr w:rsidR="00184383" w:rsidRPr="0054775B" w14:paraId="663E8342" w14:textId="77777777" w:rsidTr="00447B6B">
        <w:trPr>
          <w:trHeight w:val="95"/>
        </w:trPr>
        <w:tc>
          <w:tcPr>
            <w:tcW w:w="1550" w:type="dxa"/>
            <w:vMerge w:val="restart"/>
            <w:shd w:val="clear" w:color="auto" w:fill="D9D9D9" w:themeFill="background1" w:themeFillShade="D9"/>
            <w:vAlign w:val="center"/>
            <w:hideMark/>
          </w:tcPr>
          <w:p w14:paraId="18958C0A" w14:textId="77777777" w:rsidR="00184383" w:rsidRPr="0054775B" w:rsidRDefault="00184383" w:rsidP="00515FE7">
            <w:pPr>
              <w:pStyle w:val="2024TABLEHEADER"/>
              <w:rPr>
                <w:color w:val="000000"/>
              </w:rPr>
            </w:pPr>
            <w:r w:rsidRPr="0054775B">
              <w:t>Review ID</w:t>
            </w:r>
          </w:p>
        </w:tc>
        <w:tc>
          <w:tcPr>
            <w:tcW w:w="6237" w:type="dxa"/>
            <w:gridSpan w:val="4"/>
            <w:shd w:val="clear" w:color="auto" w:fill="D9D9D9" w:themeFill="background1" w:themeFillShade="D9"/>
            <w:vAlign w:val="center"/>
          </w:tcPr>
          <w:p w14:paraId="3C2A08AA" w14:textId="77777777" w:rsidR="00184383" w:rsidRPr="0054775B" w:rsidRDefault="00184383" w:rsidP="00515FE7">
            <w:pPr>
              <w:pStyle w:val="2024TABLEHEADER"/>
            </w:pPr>
            <w:r w:rsidRPr="0054775B">
              <w:t>ROBIS Domains</w:t>
            </w:r>
          </w:p>
        </w:tc>
        <w:tc>
          <w:tcPr>
            <w:tcW w:w="1229" w:type="dxa"/>
            <w:vMerge w:val="restart"/>
            <w:shd w:val="clear" w:color="auto" w:fill="D9D9D9" w:themeFill="background1" w:themeFillShade="D9"/>
            <w:vAlign w:val="center"/>
          </w:tcPr>
          <w:p w14:paraId="339B41F8" w14:textId="77777777" w:rsidR="00184383" w:rsidRPr="0054775B" w:rsidRDefault="00184383" w:rsidP="00515FE7">
            <w:pPr>
              <w:pStyle w:val="2024TABLEHEADER"/>
            </w:pPr>
            <w:r w:rsidRPr="0054775B">
              <w:t>Overall risk of bias</w:t>
            </w:r>
          </w:p>
        </w:tc>
      </w:tr>
      <w:tr w:rsidR="00184383" w:rsidRPr="0054775B" w14:paraId="6A8A6844" w14:textId="77777777" w:rsidTr="00447B6B">
        <w:trPr>
          <w:trHeight w:val="95"/>
        </w:trPr>
        <w:tc>
          <w:tcPr>
            <w:tcW w:w="1550" w:type="dxa"/>
            <w:vMerge/>
            <w:shd w:val="clear" w:color="auto" w:fill="D9D9D9" w:themeFill="background1" w:themeFillShade="D9"/>
            <w:vAlign w:val="center"/>
          </w:tcPr>
          <w:p w14:paraId="073E75B7" w14:textId="77777777" w:rsidR="00184383" w:rsidRPr="0054775B" w:rsidRDefault="00184383" w:rsidP="00515FE7">
            <w:pPr>
              <w:pStyle w:val="2024TABLEHEADER"/>
            </w:pPr>
          </w:p>
        </w:tc>
        <w:tc>
          <w:tcPr>
            <w:tcW w:w="1346" w:type="dxa"/>
            <w:shd w:val="clear" w:color="auto" w:fill="F2F2F2" w:themeFill="background1" w:themeFillShade="F2"/>
            <w:vAlign w:val="center"/>
          </w:tcPr>
          <w:p w14:paraId="02368ED4" w14:textId="77777777" w:rsidR="00184383" w:rsidRPr="0054775B" w:rsidRDefault="00184383" w:rsidP="00515FE7">
            <w:pPr>
              <w:pStyle w:val="2024TABLEHEADER"/>
            </w:pPr>
            <w:r w:rsidRPr="0054775B">
              <w:t>Domain 1: Study eligibility criteria</w:t>
            </w:r>
          </w:p>
        </w:tc>
        <w:tc>
          <w:tcPr>
            <w:tcW w:w="1630" w:type="dxa"/>
            <w:shd w:val="clear" w:color="auto" w:fill="F2F2F2" w:themeFill="background1" w:themeFillShade="F2"/>
            <w:vAlign w:val="center"/>
          </w:tcPr>
          <w:p w14:paraId="021207FA" w14:textId="77777777" w:rsidR="00184383" w:rsidRPr="0054775B" w:rsidRDefault="00184383" w:rsidP="00515FE7">
            <w:pPr>
              <w:pStyle w:val="2024TABLEHEADER"/>
            </w:pPr>
            <w:r w:rsidRPr="0054775B">
              <w:t>Domain 2: Identification and selection of studies</w:t>
            </w:r>
          </w:p>
        </w:tc>
        <w:tc>
          <w:tcPr>
            <w:tcW w:w="1630" w:type="dxa"/>
            <w:shd w:val="clear" w:color="auto" w:fill="F2F2F2" w:themeFill="background1" w:themeFillShade="F2"/>
            <w:vAlign w:val="center"/>
          </w:tcPr>
          <w:p w14:paraId="08C8B4B4" w14:textId="77777777" w:rsidR="00184383" w:rsidRPr="0054775B" w:rsidRDefault="00184383" w:rsidP="00515FE7">
            <w:pPr>
              <w:pStyle w:val="2024TABLEHEADER"/>
            </w:pPr>
            <w:r w:rsidRPr="0054775B">
              <w:t>Domain 3: Data collection and study appraisal</w:t>
            </w:r>
          </w:p>
        </w:tc>
        <w:tc>
          <w:tcPr>
            <w:tcW w:w="1631" w:type="dxa"/>
            <w:shd w:val="clear" w:color="auto" w:fill="F2F2F2" w:themeFill="background1" w:themeFillShade="F2"/>
            <w:vAlign w:val="center"/>
          </w:tcPr>
          <w:p w14:paraId="16C90E51" w14:textId="77777777" w:rsidR="00184383" w:rsidRPr="0054775B" w:rsidRDefault="00184383" w:rsidP="00515FE7">
            <w:pPr>
              <w:pStyle w:val="2024TABLEHEADER"/>
            </w:pPr>
            <w:r w:rsidRPr="0054775B">
              <w:t>Domain 4: Synthesis and findings</w:t>
            </w:r>
          </w:p>
        </w:tc>
        <w:tc>
          <w:tcPr>
            <w:tcW w:w="1229" w:type="dxa"/>
            <w:vMerge/>
            <w:shd w:val="clear" w:color="auto" w:fill="D9D9D9" w:themeFill="background1" w:themeFillShade="D9"/>
            <w:vAlign w:val="center"/>
          </w:tcPr>
          <w:p w14:paraId="3A36FCBB" w14:textId="77777777" w:rsidR="00184383" w:rsidRPr="0054775B" w:rsidRDefault="00184383" w:rsidP="009E6F7F">
            <w:pPr>
              <w:pStyle w:val="TABLE"/>
              <w:rPr>
                <w:rFonts w:ascii="Aptos" w:hAnsi="Aptos"/>
              </w:rPr>
            </w:pPr>
          </w:p>
        </w:tc>
      </w:tr>
      <w:tr w:rsidR="00B64DAF" w:rsidRPr="0054775B" w14:paraId="73AB1A87" w14:textId="77777777" w:rsidTr="00447B6B">
        <w:trPr>
          <w:trHeight w:val="95"/>
        </w:trPr>
        <w:tc>
          <w:tcPr>
            <w:tcW w:w="1550" w:type="dxa"/>
            <w:shd w:val="clear" w:color="auto" w:fill="auto"/>
            <w:vAlign w:val="bottom"/>
          </w:tcPr>
          <w:p w14:paraId="5ACEFAA1" w14:textId="4F62C533" w:rsidR="00B64DAF" w:rsidRPr="0054775B" w:rsidRDefault="00B64DAF" w:rsidP="00A36499">
            <w:pPr>
              <w:pStyle w:val="2024TABLETEXT"/>
              <w:framePr w:hSpace="0" w:wrap="auto" w:vAnchor="margin" w:yAlign="inline"/>
              <w:suppressOverlap w:val="0"/>
            </w:pPr>
            <w:r w:rsidRPr="0054775B">
              <w:t>Araújo 2022</w:t>
            </w:r>
          </w:p>
        </w:tc>
        <w:tc>
          <w:tcPr>
            <w:tcW w:w="1346" w:type="dxa"/>
            <w:shd w:val="clear" w:color="auto" w:fill="auto"/>
          </w:tcPr>
          <w:p w14:paraId="5171CAFA" w14:textId="158ABDEB" w:rsidR="00B64DAF" w:rsidRPr="001428E8" w:rsidRDefault="00B64DAF" w:rsidP="00A36499">
            <w:pPr>
              <w:pStyle w:val="2024TABLETEXT"/>
              <w:framePr w:hSpace="0" w:wrap="auto" w:vAnchor="margin" w:yAlign="inline"/>
              <w:suppressOverlap w:val="0"/>
              <w:rPr>
                <w:b/>
                <w:color w:val="000000" w:themeColor="text1"/>
              </w:rPr>
            </w:pPr>
            <w:r w:rsidRPr="001428E8">
              <w:rPr>
                <w:color w:val="000000" w:themeColor="text1"/>
              </w:rPr>
              <w:t>Low</w:t>
            </w:r>
          </w:p>
        </w:tc>
        <w:tc>
          <w:tcPr>
            <w:tcW w:w="1630" w:type="dxa"/>
            <w:shd w:val="clear" w:color="auto" w:fill="auto"/>
          </w:tcPr>
          <w:p w14:paraId="1584C685" w14:textId="06A4A1A3" w:rsidR="00B64DAF" w:rsidRPr="001428E8" w:rsidRDefault="00B64DAF" w:rsidP="00A36499">
            <w:pPr>
              <w:pStyle w:val="2024TABLETEXT"/>
              <w:framePr w:hSpace="0" w:wrap="auto" w:vAnchor="margin" w:yAlign="inline"/>
              <w:suppressOverlap w:val="0"/>
              <w:rPr>
                <w:b/>
                <w:color w:val="000000" w:themeColor="text1"/>
              </w:rPr>
            </w:pPr>
            <w:r w:rsidRPr="001428E8">
              <w:rPr>
                <w:color w:val="000000" w:themeColor="text1"/>
              </w:rPr>
              <w:t>Low</w:t>
            </w:r>
          </w:p>
        </w:tc>
        <w:tc>
          <w:tcPr>
            <w:tcW w:w="1630" w:type="dxa"/>
            <w:shd w:val="clear" w:color="auto" w:fill="auto"/>
          </w:tcPr>
          <w:p w14:paraId="21C08CCC" w14:textId="74D9A5B4" w:rsidR="00B64DAF" w:rsidRPr="001428E8" w:rsidRDefault="00B64DAF" w:rsidP="00A36499">
            <w:pPr>
              <w:pStyle w:val="2024TABLETEXT"/>
              <w:framePr w:hSpace="0" w:wrap="auto" w:vAnchor="margin" w:yAlign="inline"/>
              <w:suppressOverlap w:val="0"/>
              <w:rPr>
                <w:b/>
                <w:color w:val="000000" w:themeColor="text1"/>
              </w:rPr>
            </w:pPr>
            <w:r w:rsidRPr="001428E8">
              <w:rPr>
                <w:color w:val="000000" w:themeColor="text1"/>
              </w:rPr>
              <w:t>Low</w:t>
            </w:r>
          </w:p>
        </w:tc>
        <w:tc>
          <w:tcPr>
            <w:tcW w:w="1631" w:type="dxa"/>
            <w:shd w:val="clear" w:color="auto" w:fill="auto"/>
          </w:tcPr>
          <w:p w14:paraId="72E63597" w14:textId="5CB6F322" w:rsidR="00B64DAF" w:rsidRPr="001428E8" w:rsidRDefault="00B64DAF" w:rsidP="00A36499">
            <w:pPr>
              <w:pStyle w:val="2024TABLETEXT"/>
              <w:framePr w:hSpace="0" w:wrap="auto" w:vAnchor="margin" w:yAlign="inline"/>
              <w:suppressOverlap w:val="0"/>
              <w:rPr>
                <w:b/>
                <w:color w:val="000000" w:themeColor="text1"/>
              </w:rPr>
            </w:pPr>
            <w:r w:rsidRPr="001428E8">
              <w:rPr>
                <w:color w:val="000000" w:themeColor="text1"/>
              </w:rPr>
              <w:t>Low</w:t>
            </w:r>
          </w:p>
        </w:tc>
        <w:tc>
          <w:tcPr>
            <w:tcW w:w="1229" w:type="dxa"/>
            <w:shd w:val="clear" w:color="auto" w:fill="auto"/>
          </w:tcPr>
          <w:p w14:paraId="04A2C6A3" w14:textId="719A4C38" w:rsidR="00B64DAF" w:rsidRPr="001428E8" w:rsidRDefault="00B64DAF" w:rsidP="00A36499">
            <w:pPr>
              <w:pStyle w:val="2024TABLETEXT"/>
              <w:framePr w:hSpace="0" w:wrap="auto" w:vAnchor="margin" w:yAlign="inline"/>
              <w:suppressOverlap w:val="0"/>
              <w:rPr>
                <w:b/>
                <w:color w:val="000000" w:themeColor="text1"/>
              </w:rPr>
            </w:pPr>
            <w:r w:rsidRPr="001428E8">
              <w:rPr>
                <w:color w:val="000000" w:themeColor="text1"/>
              </w:rPr>
              <w:t>Low risk</w:t>
            </w:r>
          </w:p>
        </w:tc>
      </w:tr>
      <w:tr w:rsidR="00B64DAF" w:rsidRPr="0054775B" w14:paraId="25ADBAC7" w14:textId="77777777" w:rsidTr="00447B6B">
        <w:trPr>
          <w:trHeight w:val="95"/>
        </w:trPr>
        <w:tc>
          <w:tcPr>
            <w:tcW w:w="1550" w:type="dxa"/>
            <w:shd w:val="clear" w:color="auto" w:fill="auto"/>
            <w:vAlign w:val="bottom"/>
          </w:tcPr>
          <w:p w14:paraId="0625998B" w14:textId="1B341942" w:rsidR="00B64DAF" w:rsidRPr="0054775B" w:rsidRDefault="00B64DAF" w:rsidP="00A36499">
            <w:pPr>
              <w:pStyle w:val="2024TABLETEXT"/>
              <w:framePr w:hSpace="0" w:wrap="auto" w:vAnchor="margin" w:yAlign="inline"/>
              <w:suppressOverlap w:val="0"/>
            </w:pPr>
            <w:r w:rsidRPr="0054775B">
              <w:t>Dludla 2020</w:t>
            </w:r>
          </w:p>
        </w:tc>
        <w:tc>
          <w:tcPr>
            <w:tcW w:w="1346" w:type="dxa"/>
            <w:shd w:val="clear" w:color="auto" w:fill="auto"/>
          </w:tcPr>
          <w:p w14:paraId="6B801D92" w14:textId="70078D06" w:rsidR="00B64DAF" w:rsidRPr="001428E8" w:rsidRDefault="00B64DAF" w:rsidP="00A36499">
            <w:pPr>
              <w:pStyle w:val="2024TABLETEXT"/>
              <w:framePr w:hSpace="0" w:wrap="auto" w:vAnchor="margin" w:yAlign="inline"/>
              <w:suppressOverlap w:val="0"/>
              <w:rPr>
                <w:b/>
                <w:color w:val="000000" w:themeColor="text1"/>
              </w:rPr>
            </w:pPr>
            <w:r w:rsidRPr="001428E8">
              <w:rPr>
                <w:color w:val="000000" w:themeColor="text1"/>
              </w:rPr>
              <w:t>Low</w:t>
            </w:r>
          </w:p>
        </w:tc>
        <w:tc>
          <w:tcPr>
            <w:tcW w:w="1630" w:type="dxa"/>
            <w:shd w:val="clear" w:color="auto" w:fill="auto"/>
          </w:tcPr>
          <w:p w14:paraId="2CFB4D19" w14:textId="6CBA029B" w:rsidR="00B64DAF" w:rsidRPr="001428E8" w:rsidRDefault="00B64DAF" w:rsidP="00A36499">
            <w:pPr>
              <w:pStyle w:val="2024TABLETEXT"/>
              <w:framePr w:hSpace="0" w:wrap="auto" w:vAnchor="margin" w:yAlign="inline"/>
              <w:suppressOverlap w:val="0"/>
              <w:rPr>
                <w:b/>
                <w:color w:val="000000" w:themeColor="text1"/>
              </w:rPr>
            </w:pPr>
            <w:r w:rsidRPr="001428E8">
              <w:rPr>
                <w:color w:val="000000" w:themeColor="text1"/>
              </w:rPr>
              <w:t>Low</w:t>
            </w:r>
          </w:p>
        </w:tc>
        <w:tc>
          <w:tcPr>
            <w:tcW w:w="1630" w:type="dxa"/>
            <w:shd w:val="clear" w:color="auto" w:fill="auto"/>
          </w:tcPr>
          <w:p w14:paraId="3FC97081" w14:textId="3702F603" w:rsidR="00B64DAF" w:rsidRPr="001428E8" w:rsidRDefault="00B64DAF" w:rsidP="00A36499">
            <w:pPr>
              <w:pStyle w:val="2024TABLETEXT"/>
              <w:framePr w:hSpace="0" w:wrap="auto" w:vAnchor="margin" w:yAlign="inline"/>
              <w:suppressOverlap w:val="0"/>
              <w:rPr>
                <w:b/>
                <w:color w:val="000000" w:themeColor="text1"/>
              </w:rPr>
            </w:pPr>
            <w:r w:rsidRPr="001428E8">
              <w:rPr>
                <w:color w:val="000000" w:themeColor="text1"/>
              </w:rPr>
              <w:t>Low</w:t>
            </w:r>
          </w:p>
        </w:tc>
        <w:tc>
          <w:tcPr>
            <w:tcW w:w="1631" w:type="dxa"/>
            <w:shd w:val="clear" w:color="auto" w:fill="auto"/>
          </w:tcPr>
          <w:p w14:paraId="2DEDD616" w14:textId="07A494C1" w:rsidR="00B64DAF" w:rsidRPr="001428E8" w:rsidRDefault="00B64DAF" w:rsidP="00A36499">
            <w:pPr>
              <w:pStyle w:val="2024TABLETEXT"/>
              <w:framePr w:hSpace="0" w:wrap="auto" w:vAnchor="margin" w:yAlign="inline"/>
              <w:suppressOverlap w:val="0"/>
              <w:rPr>
                <w:b/>
                <w:color w:val="000000" w:themeColor="text1"/>
              </w:rPr>
            </w:pPr>
            <w:r w:rsidRPr="001428E8">
              <w:rPr>
                <w:color w:val="000000" w:themeColor="text1"/>
              </w:rPr>
              <w:t>Low</w:t>
            </w:r>
          </w:p>
        </w:tc>
        <w:tc>
          <w:tcPr>
            <w:tcW w:w="1229" w:type="dxa"/>
            <w:shd w:val="clear" w:color="auto" w:fill="auto"/>
          </w:tcPr>
          <w:p w14:paraId="183ADFF0" w14:textId="4FEB646A" w:rsidR="00B64DAF" w:rsidRPr="001428E8" w:rsidRDefault="00B64DAF" w:rsidP="00A36499">
            <w:pPr>
              <w:pStyle w:val="2024TABLETEXT"/>
              <w:framePr w:hSpace="0" w:wrap="auto" w:vAnchor="margin" w:yAlign="inline"/>
              <w:suppressOverlap w:val="0"/>
              <w:rPr>
                <w:b/>
                <w:color w:val="000000" w:themeColor="text1"/>
              </w:rPr>
            </w:pPr>
            <w:r w:rsidRPr="001428E8">
              <w:rPr>
                <w:color w:val="000000" w:themeColor="text1"/>
              </w:rPr>
              <w:t>Low risk</w:t>
            </w:r>
          </w:p>
        </w:tc>
      </w:tr>
      <w:tr w:rsidR="00B64DAF" w:rsidRPr="0054775B" w14:paraId="687E17E4" w14:textId="77777777" w:rsidTr="00447B6B">
        <w:trPr>
          <w:trHeight w:val="95"/>
        </w:trPr>
        <w:tc>
          <w:tcPr>
            <w:tcW w:w="1550" w:type="dxa"/>
            <w:shd w:val="clear" w:color="auto" w:fill="auto"/>
            <w:vAlign w:val="bottom"/>
          </w:tcPr>
          <w:p w14:paraId="14E32DCD" w14:textId="38B9C9C0" w:rsidR="00B64DAF" w:rsidRPr="0054775B" w:rsidRDefault="00B64DAF" w:rsidP="00A36499">
            <w:pPr>
              <w:pStyle w:val="2024TABLETEXT"/>
              <w:framePr w:hSpace="0" w:wrap="auto" w:vAnchor="margin" w:yAlign="inline"/>
              <w:suppressOverlap w:val="0"/>
            </w:pPr>
            <w:r w:rsidRPr="0054775B">
              <w:t>Dludla 2023</w:t>
            </w:r>
          </w:p>
        </w:tc>
        <w:tc>
          <w:tcPr>
            <w:tcW w:w="1346" w:type="dxa"/>
            <w:shd w:val="clear" w:color="auto" w:fill="auto"/>
          </w:tcPr>
          <w:p w14:paraId="6A60CC37" w14:textId="1DD19EA9" w:rsidR="00B64DAF" w:rsidRPr="001428E8" w:rsidRDefault="00B64DAF" w:rsidP="00A36499">
            <w:pPr>
              <w:pStyle w:val="2024TABLETEXT"/>
              <w:framePr w:hSpace="0" w:wrap="auto" w:vAnchor="margin" w:yAlign="inline"/>
              <w:suppressOverlap w:val="0"/>
              <w:rPr>
                <w:b/>
                <w:color w:val="000000" w:themeColor="text1"/>
              </w:rPr>
            </w:pPr>
            <w:r w:rsidRPr="001428E8">
              <w:rPr>
                <w:color w:val="000000" w:themeColor="text1"/>
              </w:rPr>
              <w:t>Low</w:t>
            </w:r>
          </w:p>
        </w:tc>
        <w:tc>
          <w:tcPr>
            <w:tcW w:w="1630" w:type="dxa"/>
            <w:shd w:val="clear" w:color="auto" w:fill="auto"/>
          </w:tcPr>
          <w:p w14:paraId="1E874368" w14:textId="3E05BB4D" w:rsidR="00B64DAF" w:rsidRPr="001428E8" w:rsidRDefault="00156240" w:rsidP="00A36499">
            <w:pPr>
              <w:pStyle w:val="2024TABLETEXT"/>
              <w:framePr w:hSpace="0" w:wrap="auto" w:vAnchor="margin" w:yAlign="inline"/>
              <w:suppressOverlap w:val="0"/>
              <w:rPr>
                <w:b/>
                <w:color w:val="000000" w:themeColor="text1"/>
              </w:rPr>
            </w:pPr>
            <w:r>
              <w:rPr>
                <w:color w:val="000000" w:themeColor="text1"/>
              </w:rPr>
              <w:t>Unclear</w:t>
            </w:r>
          </w:p>
        </w:tc>
        <w:tc>
          <w:tcPr>
            <w:tcW w:w="1630" w:type="dxa"/>
            <w:shd w:val="clear" w:color="auto" w:fill="auto"/>
          </w:tcPr>
          <w:p w14:paraId="4631B610" w14:textId="3B137200" w:rsidR="00B64DAF" w:rsidRPr="001428E8" w:rsidRDefault="00B64DAF" w:rsidP="00A36499">
            <w:pPr>
              <w:pStyle w:val="2024TABLETEXT"/>
              <w:framePr w:hSpace="0" w:wrap="auto" w:vAnchor="margin" w:yAlign="inline"/>
              <w:suppressOverlap w:val="0"/>
              <w:rPr>
                <w:b/>
                <w:color w:val="000000" w:themeColor="text1"/>
              </w:rPr>
            </w:pPr>
            <w:r w:rsidRPr="001428E8">
              <w:rPr>
                <w:color w:val="000000" w:themeColor="text1"/>
              </w:rPr>
              <w:t>Unclear</w:t>
            </w:r>
          </w:p>
        </w:tc>
        <w:tc>
          <w:tcPr>
            <w:tcW w:w="1631" w:type="dxa"/>
            <w:shd w:val="clear" w:color="auto" w:fill="auto"/>
          </w:tcPr>
          <w:p w14:paraId="7C225003" w14:textId="3B3F25CE" w:rsidR="00B64DAF" w:rsidRPr="001428E8" w:rsidRDefault="00633FD5" w:rsidP="00A36499">
            <w:pPr>
              <w:pStyle w:val="2024TABLETEXT"/>
              <w:framePr w:hSpace="0" w:wrap="auto" w:vAnchor="margin" w:yAlign="inline"/>
              <w:suppressOverlap w:val="0"/>
              <w:rPr>
                <w:b/>
                <w:color w:val="000000" w:themeColor="text1"/>
              </w:rPr>
            </w:pPr>
            <w:r w:rsidRPr="006C1E40">
              <w:rPr>
                <w:color w:val="000000" w:themeColor="text1"/>
              </w:rPr>
              <w:t>Unclear</w:t>
            </w:r>
          </w:p>
        </w:tc>
        <w:tc>
          <w:tcPr>
            <w:tcW w:w="1229" w:type="dxa"/>
            <w:shd w:val="clear" w:color="auto" w:fill="auto"/>
          </w:tcPr>
          <w:p w14:paraId="4B6478E0" w14:textId="539C10C1" w:rsidR="00B64DAF" w:rsidRPr="001428E8" w:rsidRDefault="00633FD5" w:rsidP="00A36499">
            <w:pPr>
              <w:pStyle w:val="2024TABLETEXT"/>
              <w:framePr w:hSpace="0" w:wrap="auto" w:vAnchor="margin" w:yAlign="inline"/>
              <w:suppressOverlap w:val="0"/>
              <w:rPr>
                <w:b/>
                <w:color w:val="000000" w:themeColor="text1"/>
              </w:rPr>
            </w:pPr>
            <w:r w:rsidRPr="006C1E40">
              <w:rPr>
                <w:color w:val="000000" w:themeColor="text1"/>
              </w:rPr>
              <w:t>Unclear</w:t>
            </w:r>
            <w:r w:rsidRPr="00633FD5" w:rsidDel="00633FD5">
              <w:rPr>
                <w:color w:val="000000" w:themeColor="text1"/>
              </w:rPr>
              <w:t xml:space="preserve"> </w:t>
            </w:r>
            <w:r w:rsidR="00B64DAF" w:rsidRPr="001428E8">
              <w:rPr>
                <w:color w:val="000000" w:themeColor="text1"/>
              </w:rPr>
              <w:t>risk</w:t>
            </w:r>
          </w:p>
        </w:tc>
      </w:tr>
      <w:tr w:rsidR="00B64DAF" w:rsidRPr="0054775B" w14:paraId="47B09F96" w14:textId="77777777" w:rsidTr="00447B6B">
        <w:trPr>
          <w:trHeight w:val="95"/>
        </w:trPr>
        <w:tc>
          <w:tcPr>
            <w:tcW w:w="1550" w:type="dxa"/>
            <w:shd w:val="clear" w:color="auto" w:fill="auto"/>
            <w:vAlign w:val="bottom"/>
          </w:tcPr>
          <w:p w14:paraId="678D44A7" w14:textId="50065333" w:rsidR="00B64DAF" w:rsidRPr="0054775B" w:rsidRDefault="00B64DAF" w:rsidP="00A36499">
            <w:pPr>
              <w:pStyle w:val="2024TABLETEXT"/>
              <w:framePr w:hSpace="0" w:wrap="auto" w:vAnchor="margin" w:yAlign="inline"/>
              <w:suppressOverlap w:val="0"/>
            </w:pPr>
            <w:r w:rsidRPr="0054775B">
              <w:t>Huang 2018</w:t>
            </w:r>
          </w:p>
        </w:tc>
        <w:tc>
          <w:tcPr>
            <w:tcW w:w="1346" w:type="dxa"/>
            <w:shd w:val="clear" w:color="auto" w:fill="auto"/>
          </w:tcPr>
          <w:p w14:paraId="318FB1F4" w14:textId="0FA6A683" w:rsidR="00B64DAF" w:rsidRPr="001428E8" w:rsidRDefault="00B64DAF" w:rsidP="00A36499">
            <w:pPr>
              <w:pStyle w:val="2024TABLETEXT"/>
              <w:framePr w:hSpace="0" w:wrap="auto" w:vAnchor="margin" w:yAlign="inline"/>
              <w:suppressOverlap w:val="0"/>
              <w:rPr>
                <w:b/>
                <w:color w:val="000000" w:themeColor="text1"/>
              </w:rPr>
            </w:pPr>
            <w:r w:rsidRPr="001428E8">
              <w:rPr>
                <w:color w:val="000000" w:themeColor="text1"/>
              </w:rPr>
              <w:t>Low</w:t>
            </w:r>
          </w:p>
        </w:tc>
        <w:tc>
          <w:tcPr>
            <w:tcW w:w="1630" w:type="dxa"/>
            <w:shd w:val="clear" w:color="auto" w:fill="auto"/>
          </w:tcPr>
          <w:p w14:paraId="70AABE12" w14:textId="68CBF424" w:rsidR="00B64DAF" w:rsidRPr="001428E8" w:rsidRDefault="00B64DAF" w:rsidP="00A36499">
            <w:pPr>
              <w:pStyle w:val="2024TABLETEXT"/>
              <w:framePr w:hSpace="0" w:wrap="auto" w:vAnchor="margin" w:yAlign="inline"/>
              <w:suppressOverlap w:val="0"/>
              <w:rPr>
                <w:b/>
                <w:color w:val="000000" w:themeColor="text1"/>
              </w:rPr>
            </w:pPr>
            <w:r w:rsidRPr="001428E8">
              <w:rPr>
                <w:color w:val="000000" w:themeColor="text1"/>
              </w:rPr>
              <w:t>Unclear</w:t>
            </w:r>
          </w:p>
        </w:tc>
        <w:tc>
          <w:tcPr>
            <w:tcW w:w="1630" w:type="dxa"/>
            <w:shd w:val="clear" w:color="auto" w:fill="auto"/>
          </w:tcPr>
          <w:p w14:paraId="614AAFF9" w14:textId="6E3FFB71" w:rsidR="00B64DAF" w:rsidRPr="001428E8" w:rsidRDefault="00B64DAF" w:rsidP="00A36499">
            <w:pPr>
              <w:pStyle w:val="2024TABLETEXT"/>
              <w:framePr w:hSpace="0" w:wrap="auto" w:vAnchor="margin" w:yAlign="inline"/>
              <w:suppressOverlap w:val="0"/>
              <w:rPr>
                <w:b/>
                <w:color w:val="000000" w:themeColor="text1"/>
              </w:rPr>
            </w:pPr>
            <w:r w:rsidRPr="001428E8">
              <w:rPr>
                <w:color w:val="000000" w:themeColor="text1"/>
              </w:rPr>
              <w:t>Low</w:t>
            </w:r>
          </w:p>
        </w:tc>
        <w:tc>
          <w:tcPr>
            <w:tcW w:w="1631" w:type="dxa"/>
            <w:shd w:val="clear" w:color="auto" w:fill="auto"/>
          </w:tcPr>
          <w:p w14:paraId="094DD1D4" w14:textId="279E09CD" w:rsidR="00B64DAF" w:rsidRPr="001428E8" w:rsidRDefault="00B64DAF" w:rsidP="00A36499">
            <w:pPr>
              <w:pStyle w:val="2024TABLETEXT"/>
              <w:framePr w:hSpace="0" w:wrap="auto" w:vAnchor="margin" w:yAlign="inline"/>
              <w:suppressOverlap w:val="0"/>
              <w:rPr>
                <w:b/>
                <w:color w:val="000000" w:themeColor="text1"/>
              </w:rPr>
            </w:pPr>
            <w:r w:rsidRPr="001428E8">
              <w:rPr>
                <w:color w:val="000000" w:themeColor="text1"/>
              </w:rPr>
              <w:t>Low</w:t>
            </w:r>
          </w:p>
        </w:tc>
        <w:tc>
          <w:tcPr>
            <w:tcW w:w="1229" w:type="dxa"/>
            <w:shd w:val="clear" w:color="auto" w:fill="auto"/>
          </w:tcPr>
          <w:p w14:paraId="09777AD9" w14:textId="74EAB897" w:rsidR="00B64DAF" w:rsidRPr="001428E8" w:rsidRDefault="00B64DAF" w:rsidP="00A36499">
            <w:pPr>
              <w:pStyle w:val="2024TABLETEXT"/>
              <w:framePr w:hSpace="0" w:wrap="auto" w:vAnchor="margin" w:yAlign="inline"/>
              <w:suppressOverlap w:val="0"/>
              <w:rPr>
                <w:b/>
                <w:color w:val="000000" w:themeColor="text1"/>
              </w:rPr>
            </w:pPr>
            <w:r w:rsidRPr="001428E8">
              <w:rPr>
                <w:color w:val="000000" w:themeColor="text1"/>
              </w:rPr>
              <w:t>Low risk</w:t>
            </w:r>
          </w:p>
        </w:tc>
      </w:tr>
      <w:tr w:rsidR="00835128" w:rsidRPr="0054775B" w14:paraId="71ECDDDC" w14:textId="77777777" w:rsidTr="00447B6B">
        <w:trPr>
          <w:trHeight w:val="95"/>
        </w:trPr>
        <w:tc>
          <w:tcPr>
            <w:tcW w:w="1550" w:type="dxa"/>
            <w:shd w:val="clear" w:color="auto" w:fill="auto"/>
            <w:vAlign w:val="bottom"/>
          </w:tcPr>
          <w:p w14:paraId="49FDBD0C" w14:textId="1DB2B926" w:rsidR="00835128" w:rsidRPr="0054775B" w:rsidRDefault="00835128" w:rsidP="00A36499">
            <w:pPr>
              <w:pStyle w:val="2024TABLETEXT"/>
              <w:framePr w:hSpace="0" w:wrap="auto" w:vAnchor="margin" w:yAlign="inline"/>
              <w:suppressOverlap w:val="0"/>
            </w:pPr>
            <w:r w:rsidRPr="0054775B">
              <w:t>Huo 2022</w:t>
            </w:r>
          </w:p>
        </w:tc>
        <w:tc>
          <w:tcPr>
            <w:tcW w:w="1346" w:type="dxa"/>
            <w:shd w:val="clear" w:color="auto" w:fill="auto"/>
          </w:tcPr>
          <w:p w14:paraId="264A56B1" w14:textId="4B150953" w:rsidR="00835128" w:rsidRPr="001428E8" w:rsidRDefault="00835128" w:rsidP="00A36499">
            <w:pPr>
              <w:pStyle w:val="2024TABLETEXT"/>
              <w:framePr w:hSpace="0" w:wrap="auto" w:vAnchor="margin" w:yAlign="inline"/>
              <w:suppressOverlap w:val="0"/>
              <w:rPr>
                <w:b/>
                <w:color w:val="000000" w:themeColor="text1"/>
              </w:rPr>
            </w:pPr>
            <w:r w:rsidRPr="001428E8">
              <w:rPr>
                <w:color w:val="000000" w:themeColor="text1"/>
              </w:rPr>
              <w:t>Low</w:t>
            </w:r>
          </w:p>
        </w:tc>
        <w:tc>
          <w:tcPr>
            <w:tcW w:w="1630" w:type="dxa"/>
            <w:shd w:val="clear" w:color="auto" w:fill="auto"/>
          </w:tcPr>
          <w:p w14:paraId="0CEC9C45" w14:textId="011399C9" w:rsidR="00835128" w:rsidRPr="001428E8" w:rsidRDefault="00835128" w:rsidP="00A36499">
            <w:pPr>
              <w:pStyle w:val="2024TABLETEXT"/>
              <w:framePr w:hSpace="0" w:wrap="auto" w:vAnchor="margin" w:yAlign="inline"/>
              <w:suppressOverlap w:val="0"/>
              <w:rPr>
                <w:b/>
                <w:color w:val="000000" w:themeColor="text1"/>
              </w:rPr>
            </w:pPr>
            <w:r w:rsidRPr="001428E8">
              <w:rPr>
                <w:color w:val="000000" w:themeColor="text1"/>
              </w:rPr>
              <w:t>Low</w:t>
            </w:r>
          </w:p>
        </w:tc>
        <w:tc>
          <w:tcPr>
            <w:tcW w:w="1630" w:type="dxa"/>
            <w:shd w:val="clear" w:color="auto" w:fill="auto"/>
          </w:tcPr>
          <w:p w14:paraId="6C33BFFB" w14:textId="67FF6552" w:rsidR="00835128" w:rsidRPr="001428E8" w:rsidRDefault="00835128" w:rsidP="00A36499">
            <w:pPr>
              <w:pStyle w:val="2024TABLETEXT"/>
              <w:framePr w:hSpace="0" w:wrap="auto" w:vAnchor="margin" w:yAlign="inline"/>
              <w:suppressOverlap w:val="0"/>
              <w:rPr>
                <w:b/>
                <w:color w:val="000000" w:themeColor="text1"/>
              </w:rPr>
            </w:pPr>
            <w:r w:rsidRPr="001428E8">
              <w:rPr>
                <w:color w:val="000000" w:themeColor="text1"/>
              </w:rPr>
              <w:t>Low</w:t>
            </w:r>
          </w:p>
        </w:tc>
        <w:tc>
          <w:tcPr>
            <w:tcW w:w="1631" w:type="dxa"/>
            <w:shd w:val="clear" w:color="auto" w:fill="auto"/>
          </w:tcPr>
          <w:p w14:paraId="1858F3E0" w14:textId="4BDEE88F" w:rsidR="00835128" w:rsidRPr="001428E8" w:rsidRDefault="00835128" w:rsidP="00A36499">
            <w:pPr>
              <w:pStyle w:val="2024TABLETEXT"/>
              <w:framePr w:hSpace="0" w:wrap="auto" w:vAnchor="margin" w:yAlign="inline"/>
              <w:suppressOverlap w:val="0"/>
              <w:rPr>
                <w:b/>
                <w:color w:val="000000" w:themeColor="text1"/>
              </w:rPr>
            </w:pPr>
            <w:r w:rsidRPr="001428E8">
              <w:rPr>
                <w:color w:val="000000" w:themeColor="text1"/>
              </w:rPr>
              <w:t>Low</w:t>
            </w:r>
          </w:p>
        </w:tc>
        <w:tc>
          <w:tcPr>
            <w:tcW w:w="1229" w:type="dxa"/>
            <w:shd w:val="clear" w:color="auto" w:fill="auto"/>
          </w:tcPr>
          <w:p w14:paraId="27909D3C" w14:textId="418C9F39" w:rsidR="00835128" w:rsidRPr="001428E8" w:rsidRDefault="00835128" w:rsidP="00A36499">
            <w:pPr>
              <w:pStyle w:val="2024TABLETEXT"/>
              <w:framePr w:hSpace="0" w:wrap="auto" w:vAnchor="margin" w:yAlign="inline"/>
              <w:suppressOverlap w:val="0"/>
              <w:rPr>
                <w:b/>
                <w:color w:val="000000" w:themeColor="text1"/>
              </w:rPr>
            </w:pPr>
            <w:r w:rsidRPr="001428E8">
              <w:rPr>
                <w:color w:val="000000" w:themeColor="text1"/>
              </w:rPr>
              <w:t>Low risk</w:t>
            </w:r>
          </w:p>
        </w:tc>
      </w:tr>
      <w:tr w:rsidR="00835128" w:rsidRPr="0054775B" w14:paraId="7685E791" w14:textId="77777777" w:rsidTr="00447B6B">
        <w:trPr>
          <w:trHeight w:val="95"/>
        </w:trPr>
        <w:tc>
          <w:tcPr>
            <w:tcW w:w="1550" w:type="dxa"/>
            <w:shd w:val="clear" w:color="auto" w:fill="auto"/>
            <w:vAlign w:val="bottom"/>
          </w:tcPr>
          <w:p w14:paraId="65C428F6" w14:textId="6C75B6AD" w:rsidR="00835128" w:rsidRPr="0054775B" w:rsidRDefault="00835128" w:rsidP="00A36499">
            <w:pPr>
              <w:pStyle w:val="2024TABLETEXT"/>
              <w:framePr w:hSpace="0" w:wrap="auto" w:vAnchor="margin" w:yAlign="inline"/>
              <w:suppressOverlap w:val="0"/>
            </w:pPr>
            <w:r w:rsidRPr="0054775B">
              <w:t>Jibril 2022</w:t>
            </w:r>
          </w:p>
        </w:tc>
        <w:tc>
          <w:tcPr>
            <w:tcW w:w="1346" w:type="dxa"/>
            <w:shd w:val="clear" w:color="auto" w:fill="auto"/>
          </w:tcPr>
          <w:p w14:paraId="31644AD2" w14:textId="7DF7B41D" w:rsidR="00835128" w:rsidRPr="001428E8" w:rsidRDefault="00835128" w:rsidP="00A36499">
            <w:pPr>
              <w:pStyle w:val="2024TABLETEXT"/>
              <w:framePr w:hSpace="0" w:wrap="auto" w:vAnchor="margin" w:yAlign="inline"/>
              <w:suppressOverlap w:val="0"/>
              <w:rPr>
                <w:b/>
                <w:color w:val="000000" w:themeColor="text1"/>
              </w:rPr>
            </w:pPr>
            <w:r w:rsidRPr="001428E8">
              <w:rPr>
                <w:color w:val="000000" w:themeColor="text1"/>
              </w:rPr>
              <w:t>Low</w:t>
            </w:r>
          </w:p>
        </w:tc>
        <w:tc>
          <w:tcPr>
            <w:tcW w:w="1630" w:type="dxa"/>
            <w:shd w:val="clear" w:color="auto" w:fill="auto"/>
          </w:tcPr>
          <w:p w14:paraId="6F9731E1" w14:textId="66181B4D" w:rsidR="00835128" w:rsidRPr="001428E8" w:rsidRDefault="00BE26E6" w:rsidP="00A36499">
            <w:pPr>
              <w:pStyle w:val="2024TABLETEXT"/>
              <w:framePr w:hSpace="0" w:wrap="auto" w:vAnchor="margin" w:yAlign="inline"/>
              <w:suppressOverlap w:val="0"/>
              <w:rPr>
                <w:b/>
                <w:color w:val="000000" w:themeColor="text1"/>
              </w:rPr>
            </w:pPr>
            <w:r w:rsidRPr="00BE26E6">
              <w:rPr>
                <w:color w:val="000000" w:themeColor="text1"/>
              </w:rPr>
              <w:t>Unclear</w:t>
            </w:r>
          </w:p>
        </w:tc>
        <w:tc>
          <w:tcPr>
            <w:tcW w:w="1630" w:type="dxa"/>
            <w:shd w:val="clear" w:color="auto" w:fill="auto"/>
          </w:tcPr>
          <w:p w14:paraId="16616B8B" w14:textId="5C077218" w:rsidR="00835128" w:rsidRPr="001428E8" w:rsidRDefault="00835128" w:rsidP="00A36499">
            <w:pPr>
              <w:pStyle w:val="2024TABLETEXT"/>
              <w:framePr w:hSpace="0" w:wrap="auto" w:vAnchor="margin" w:yAlign="inline"/>
              <w:suppressOverlap w:val="0"/>
              <w:rPr>
                <w:b/>
                <w:color w:val="000000" w:themeColor="text1"/>
              </w:rPr>
            </w:pPr>
            <w:r w:rsidRPr="001428E8">
              <w:rPr>
                <w:color w:val="000000" w:themeColor="text1"/>
              </w:rPr>
              <w:t>Low</w:t>
            </w:r>
          </w:p>
        </w:tc>
        <w:tc>
          <w:tcPr>
            <w:tcW w:w="1631" w:type="dxa"/>
            <w:shd w:val="clear" w:color="auto" w:fill="auto"/>
          </w:tcPr>
          <w:p w14:paraId="32676F11" w14:textId="2FA59026" w:rsidR="00835128" w:rsidRPr="001428E8" w:rsidRDefault="00835128" w:rsidP="00A36499">
            <w:pPr>
              <w:pStyle w:val="2024TABLETEXT"/>
              <w:framePr w:hSpace="0" w:wrap="auto" w:vAnchor="margin" w:yAlign="inline"/>
              <w:suppressOverlap w:val="0"/>
              <w:rPr>
                <w:b/>
                <w:color w:val="000000" w:themeColor="text1"/>
              </w:rPr>
            </w:pPr>
            <w:r w:rsidRPr="001428E8">
              <w:rPr>
                <w:color w:val="000000" w:themeColor="text1"/>
              </w:rPr>
              <w:t>Low</w:t>
            </w:r>
          </w:p>
        </w:tc>
        <w:tc>
          <w:tcPr>
            <w:tcW w:w="1229" w:type="dxa"/>
            <w:shd w:val="clear" w:color="auto" w:fill="auto"/>
          </w:tcPr>
          <w:p w14:paraId="451CA229" w14:textId="445F4B4C" w:rsidR="00835128" w:rsidRPr="001428E8" w:rsidRDefault="00835128" w:rsidP="00A36499">
            <w:pPr>
              <w:pStyle w:val="2024TABLETEXT"/>
              <w:framePr w:hSpace="0" w:wrap="auto" w:vAnchor="margin" w:yAlign="inline"/>
              <w:suppressOverlap w:val="0"/>
              <w:rPr>
                <w:b/>
                <w:color w:val="000000" w:themeColor="text1"/>
              </w:rPr>
            </w:pPr>
            <w:r w:rsidRPr="001428E8">
              <w:rPr>
                <w:color w:val="000000" w:themeColor="text1"/>
              </w:rPr>
              <w:t>Low risk</w:t>
            </w:r>
          </w:p>
        </w:tc>
      </w:tr>
      <w:tr w:rsidR="00835128" w:rsidRPr="0054775B" w14:paraId="38EA95D1" w14:textId="77777777" w:rsidTr="00447B6B">
        <w:trPr>
          <w:trHeight w:val="95"/>
        </w:trPr>
        <w:tc>
          <w:tcPr>
            <w:tcW w:w="1550" w:type="dxa"/>
            <w:shd w:val="clear" w:color="auto" w:fill="auto"/>
            <w:vAlign w:val="bottom"/>
          </w:tcPr>
          <w:p w14:paraId="68ECB7AD" w14:textId="7AEDFCCF" w:rsidR="00835128" w:rsidRPr="0054775B" w:rsidRDefault="00835128" w:rsidP="00A36499">
            <w:pPr>
              <w:pStyle w:val="2024TABLETEXT"/>
              <w:framePr w:hSpace="0" w:wrap="auto" w:vAnchor="margin" w:yAlign="inline"/>
              <w:suppressOverlap w:val="0"/>
            </w:pPr>
            <w:r w:rsidRPr="0054775B">
              <w:t>Kim 2022</w:t>
            </w:r>
          </w:p>
        </w:tc>
        <w:tc>
          <w:tcPr>
            <w:tcW w:w="1346" w:type="dxa"/>
            <w:shd w:val="clear" w:color="auto" w:fill="auto"/>
          </w:tcPr>
          <w:p w14:paraId="5C4F4E7F" w14:textId="16D8769B" w:rsidR="00835128" w:rsidRPr="001428E8" w:rsidRDefault="00835128" w:rsidP="00A36499">
            <w:pPr>
              <w:pStyle w:val="2024TABLETEXT"/>
              <w:framePr w:hSpace="0" w:wrap="auto" w:vAnchor="margin" w:yAlign="inline"/>
              <w:suppressOverlap w:val="0"/>
              <w:rPr>
                <w:b/>
                <w:color w:val="000000" w:themeColor="text1"/>
              </w:rPr>
            </w:pPr>
            <w:r w:rsidRPr="001428E8">
              <w:rPr>
                <w:color w:val="000000" w:themeColor="text1"/>
              </w:rPr>
              <w:t>Low</w:t>
            </w:r>
          </w:p>
        </w:tc>
        <w:tc>
          <w:tcPr>
            <w:tcW w:w="1630" w:type="dxa"/>
            <w:shd w:val="clear" w:color="auto" w:fill="auto"/>
          </w:tcPr>
          <w:p w14:paraId="6983587E" w14:textId="094AE38A" w:rsidR="00835128" w:rsidRPr="001428E8" w:rsidRDefault="00835128" w:rsidP="00A36499">
            <w:pPr>
              <w:pStyle w:val="2024TABLETEXT"/>
              <w:framePr w:hSpace="0" w:wrap="auto" w:vAnchor="margin" w:yAlign="inline"/>
              <w:suppressOverlap w:val="0"/>
              <w:rPr>
                <w:b/>
                <w:color w:val="000000" w:themeColor="text1"/>
              </w:rPr>
            </w:pPr>
            <w:r w:rsidRPr="001428E8">
              <w:rPr>
                <w:color w:val="000000" w:themeColor="text1"/>
              </w:rPr>
              <w:t>Low</w:t>
            </w:r>
          </w:p>
        </w:tc>
        <w:tc>
          <w:tcPr>
            <w:tcW w:w="1630" w:type="dxa"/>
            <w:shd w:val="clear" w:color="auto" w:fill="auto"/>
          </w:tcPr>
          <w:p w14:paraId="6EE6CB5D" w14:textId="1907E6B3" w:rsidR="00835128" w:rsidRPr="001428E8" w:rsidRDefault="00835128" w:rsidP="00A36499">
            <w:pPr>
              <w:pStyle w:val="2024TABLETEXT"/>
              <w:framePr w:hSpace="0" w:wrap="auto" w:vAnchor="margin" w:yAlign="inline"/>
              <w:suppressOverlap w:val="0"/>
              <w:rPr>
                <w:b/>
                <w:color w:val="000000" w:themeColor="text1"/>
              </w:rPr>
            </w:pPr>
            <w:r w:rsidRPr="001428E8">
              <w:rPr>
                <w:color w:val="000000" w:themeColor="text1"/>
              </w:rPr>
              <w:t>Low</w:t>
            </w:r>
          </w:p>
        </w:tc>
        <w:tc>
          <w:tcPr>
            <w:tcW w:w="1631" w:type="dxa"/>
            <w:shd w:val="clear" w:color="auto" w:fill="auto"/>
          </w:tcPr>
          <w:p w14:paraId="271496B6" w14:textId="5F2A1207" w:rsidR="00835128" w:rsidRPr="001428E8" w:rsidRDefault="00835128" w:rsidP="00A36499">
            <w:pPr>
              <w:pStyle w:val="2024TABLETEXT"/>
              <w:framePr w:hSpace="0" w:wrap="auto" w:vAnchor="margin" w:yAlign="inline"/>
              <w:suppressOverlap w:val="0"/>
              <w:rPr>
                <w:b/>
                <w:color w:val="000000" w:themeColor="text1"/>
              </w:rPr>
            </w:pPr>
            <w:r w:rsidRPr="001428E8">
              <w:rPr>
                <w:color w:val="000000" w:themeColor="text1"/>
              </w:rPr>
              <w:t>Low</w:t>
            </w:r>
          </w:p>
        </w:tc>
        <w:tc>
          <w:tcPr>
            <w:tcW w:w="1229" w:type="dxa"/>
            <w:shd w:val="clear" w:color="auto" w:fill="auto"/>
          </w:tcPr>
          <w:p w14:paraId="5BE69B8F" w14:textId="6C028ECD" w:rsidR="00835128" w:rsidRPr="001428E8" w:rsidRDefault="00835128" w:rsidP="00A36499">
            <w:pPr>
              <w:pStyle w:val="2024TABLETEXT"/>
              <w:framePr w:hSpace="0" w:wrap="auto" w:vAnchor="margin" w:yAlign="inline"/>
              <w:suppressOverlap w:val="0"/>
              <w:rPr>
                <w:b/>
                <w:color w:val="000000" w:themeColor="text1"/>
              </w:rPr>
            </w:pPr>
            <w:r w:rsidRPr="001428E8">
              <w:rPr>
                <w:color w:val="000000" w:themeColor="text1"/>
              </w:rPr>
              <w:t>Low risk</w:t>
            </w:r>
          </w:p>
        </w:tc>
      </w:tr>
      <w:tr w:rsidR="00835128" w:rsidRPr="0054775B" w14:paraId="59F7C8E9" w14:textId="77777777" w:rsidTr="00447B6B">
        <w:trPr>
          <w:trHeight w:val="95"/>
        </w:trPr>
        <w:tc>
          <w:tcPr>
            <w:tcW w:w="1550" w:type="dxa"/>
            <w:shd w:val="clear" w:color="auto" w:fill="auto"/>
            <w:vAlign w:val="bottom"/>
          </w:tcPr>
          <w:p w14:paraId="58EB19F9" w14:textId="17089C0B" w:rsidR="00835128" w:rsidRPr="0054775B" w:rsidRDefault="00835128" w:rsidP="00A36499">
            <w:pPr>
              <w:pStyle w:val="2024TABLETEXT"/>
              <w:framePr w:hSpace="0" w:wrap="auto" w:vAnchor="margin" w:yAlign="inline"/>
              <w:suppressOverlap w:val="0"/>
            </w:pPr>
            <w:r w:rsidRPr="0054775B">
              <w:t>Rahimlou 2019</w:t>
            </w:r>
          </w:p>
        </w:tc>
        <w:tc>
          <w:tcPr>
            <w:tcW w:w="1346" w:type="dxa"/>
            <w:shd w:val="clear" w:color="auto" w:fill="auto"/>
          </w:tcPr>
          <w:p w14:paraId="4E505E17" w14:textId="0F8E7B53" w:rsidR="00835128" w:rsidRPr="001428E8" w:rsidRDefault="00835128" w:rsidP="00A36499">
            <w:pPr>
              <w:pStyle w:val="2024TABLETEXT"/>
              <w:framePr w:hSpace="0" w:wrap="auto" w:vAnchor="margin" w:yAlign="inline"/>
              <w:suppressOverlap w:val="0"/>
              <w:rPr>
                <w:b/>
                <w:color w:val="000000" w:themeColor="text1"/>
              </w:rPr>
            </w:pPr>
            <w:r w:rsidRPr="001428E8">
              <w:rPr>
                <w:color w:val="000000" w:themeColor="text1"/>
              </w:rPr>
              <w:t>Low</w:t>
            </w:r>
          </w:p>
        </w:tc>
        <w:tc>
          <w:tcPr>
            <w:tcW w:w="1630" w:type="dxa"/>
            <w:shd w:val="clear" w:color="auto" w:fill="auto"/>
          </w:tcPr>
          <w:p w14:paraId="7C368320" w14:textId="681DD254" w:rsidR="00835128" w:rsidRPr="001428E8" w:rsidRDefault="00835128" w:rsidP="00A36499">
            <w:pPr>
              <w:pStyle w:val="2024TABLETEXT"/>
              <w:framePr w:hSpace="0" w:wrap="auto" w:vAnchor="margin" w:yAlign="inline"/>
              <w:suppressOverlap w:val="0"/>
              <w:rPr>
                <w:b/>
                <w:color w:val="000000" w:themeColor="text1"/>
              </w:rPr>
            </w:pPr>
            <w:r w:rsidRPr="001428E8">
              <w:rPr>
                <w:color w:val="000000" w:themeColor="text1"/>
              </w:rPr>
              <w:t>Low</w:t>
            </w:r>
          </w:p>
        </w:tc>
        <w:tc>
          <w:tcPr>
            <w:tcW w:w="1630" w:type="dxa"/>
            <w:shd w:val="clear" w:color="auto" w:fill="auto"/>
          </w:tcPr>
          <w:p w14:paraId="52515C9C" w14:textId="5B1ABCAD" w:rsidR="00835128" w:rsidRPr="001428E8" w:rsidRDefault="00835128" w:rsidP="00A36499">
            <w:pPr>
              <w:pStyle w:val="2024TABLETEXT"/>
              <w:framePr w:hSpace="0" w:wrap="auto" w:vAnchor="margin" w:yAlign="inline"/>
              <w:suppressOverlap w:val="0"/>
              <w:rPr>
                <w:b/>
                <w:color w:val="000000" w:themeColor="text1"/>
              </w:rPr>
            </w:pPr>
            <w:r w:rsidRPr="001428E8">
              <w:rPr>
                <w:color w:val="000000" w:themeColor="text1"/>
              </w:rPr>
              <w:t>Unclear</w:t>
            </w:r>
          </w:p>
        </w:tc>
        <w:tc>
          <w:tcPr>
            <w:tcW w:w="1631" w:type="dxa"/>
            <w:shd w:val="clear" w:color="auto" w:fill="auto"/>
          </w:tcPr>
          <w:p w14:paraId="165A9B6D" w14:textId="2BC522B9" w:rsidR="00835128" w:rsidRPr="001428E8" w:rsidRDefault="00835128" w:rsidP="00A36499">
            <w:pPr>
              <w:pStyle w:val="2024TABLETEXT"/>
              <w:framePr w:hSpace="0" w:wrap="auto" w:vAnchor="margin" w:yAlign="inline"/>
              <w:suppressOverlap w:val="0"/>
              <w:rPr>
                <w:b/>
                <w:color w:val="000000" w:themeColor="text1"/>
              </w:rPr>
            </w:pPr>
            <w:r w:rsidRPr="001428E8">
              <w:rPr>
                <w:color w:val="000000" w:themeColor="text1"/>
              </w:rPr>
              <w:t>Low</w:t>
            </w:r>
          </w:p>
        </w:tc>
        <w:tc>
          <w:tcPr>
            <w:tcW w:w="1229" w:type="dxa"/>
            <w:shd w:val="clear" w:color="auto" w:fill="auto"/>
          </w:tcPr>
          <w:p w14:paraId="2D095467" w14:textId="44D1DFEF" w:rsidR="00835128" w:rsidRPr="001428E8" w:rsidRDefault="00835128" w:rsidP="00A36499">
            <w:pPr>
              <w:pStyle w:val="2024TABLETEXT"/>
              <w:framePr w:hSpace="0" w:wrap="auto" w:vAnchor="margin" w:yAlign="inline"/>
              <w:suppressOverlap w:val="0"/>
              <w:rPr>
                <w:b/>
                <w:color w:val="000000" w:themeColor="text1"/>
              </w:rPr>
            </w:pPr>
            <w:r w:rsidRPr="001428E8">
              <w:rPr>
                <w:color w:val="000000" w:themeColor="text1"/>
              </w:rPr>
              <w:t>Low risk</w:t>
            </w:r>
          </w:p>
        </w:tc>
      </w:tr>
      <w:tr w:rsidR="00835128" w:rsidRPr="0054775B" w14:paraId="673AC8C4" w14:textId="77777777" w:rsidTr="00447B6B">
        <w:trPr>
          <w:trHeight w:val="95"/>
        </w:trPr>
        <w:tc>
          <w:tcPr>
            <w:tcW w:w="1550" w:type="dxa"/>
            <w:shd w:val="clear" w:color="auto" w:fill="auto"/>
            <w:vAlign w:val="bottom"/>
          </w:tcPr>
          <w:p w14:paraId="650E3448" w14:textId="3DEFF0E9" w:rsidR="00835128" w:rsidRPr="0054775B" w:rsidRDefault="00835128" w:rsidP="00A36499">
            <w:pPr>
              <w:pStyle w:val="2024TABLETEXT"/>
              <w:framePr w:hSpace="0" w:wrap="auto" w:vAnchor="margin" w:yAlign="inline"/>
              <w:suppressOverlap w:val="0"/>
            </w:pPr>
            <w:r w:rsidRPr="0054775B">
              <w:t>Wang 2022</w:t>
            </w:r>
          </w:p>
        </w:tc>
        <w:tc>
          <w:tcPr>
            <w:tcW w:w="1346" w:type="dxa"/>
            <w:shd w:val="clear" w:color="auto" w:fill="auto"/>
          </w:tcPr>
          <w:p w14:paraId="6CF8890B" w14:textId="7DA4D92A" w:rsidR="00835128" w:rsidRPr="001428E8" w:rsidRDefault="00835128" w:rsidP="00A36499">
            <w:pPr>
              <w:pStyle w:val="2024TABLETEXT"/>
              <w:framePr w:hSpace="0" w:wrap="auto" w:vAnchor="margin" w:yAlign="inline"/>
              <w:suppressOverlap w:val="0"/>
              <w:rPr>
                <w:b/>
                <w:color w:val="000000" w:themeColor="text1"/>
              </w:rPr>
            </w:pPr>
            <w:r w:rsidRPr="001428E8">
              <w:rPr>
                <w:color w:val="000000" w:themeColor="text1"/>
              </w:rPr>
              <w:t>Low</w:t>
            </w:r>
          </w:p>
        </w:tc>
        <w:tc>
          <w:tcPr>
            <w:tcW w:w="1630" w:type="dxa"/>
            <w:shd w:val="clear" w:color="auto" w:fill="auto"/>
          </w:tcPr>
          <w:p w14:paraId="15AE5180" w14:textId="04C3732C" w:rsidR="00835128" w:rsidRPr="001428E8" w:rsidRDefault="00BE26E6" w:rsidP="00A36499">
            <w:pPr>
              <w:pStyle w:val="2024TABLETEXT"/>
              <w:framePr w:hSpace="0" w:wrap="auto" w:vAnchor="margin" w:yAlign="inline"/>
              <w:suppressOverlap w:val="0"/>
              <w:rPr>
                <w:b/>
                <w:color w:val="000000" w:themeColor="text1"/>
              </w:rPr>
            </w:pPr>
            <w:r w:rsidRPr="006C1E40">
              <w:rPr>
                <w:color w:val="000000" w:themeColor="text1"/>
              </w:rPr>
              <w:t>Unclear</w:t>
            </w:r>
          </w:p>
        </w:tc>
        <w:tc>
          <w:tcPr>
            <w:tcW w:w="1630" w:type="dxa"/>
            <w:shd w:val="clear" w:color="auto" w:fill="auto"/>
          </w:tcPr>
          <w:p w14:paraId="5B79618E" w14:textId="0EC3CD9B" w:rsidR="00835128" w:rsidRPr="001428E8" w:rsidRDefault="00835128" w:rsidP="00A36499">
            <w:pPr>
              <w:pStyle w:val="2024TABLETEXT"/>
              <w:framePr w:hSpace="0" w:wrap="auto" w:vAnchor="margin" w:yAlign="inline"/>
              <w:suppressOverlap w:val="0"/>
              <w:rPr>
                <w:b/>
                <w:color w:val="000000" w:themeColor="text1"/>
              </w:rPr>
            </w:pPr>
            <w:r w:rsidRPr="001428E8">
              <w:rPr>
                <w:color w:val="000000" w:themeColor="text1"/>
              </w:rPr>
              <w:t>Unclear</w:t>
            </w:r>
          </w:p>
        </w:tc>
        <w:tc>
          <w:tcPr>
            <w:tcW w:w="1631" w:type="dxa"/>
            <w:shd w:val="clear" w:color="auto" w:fill="auto"/>
          </w:tcPr>
          <w:p w14:paraId="5AA07E6B" w14:textId="08B36092" w:rsidR="00835128" w:rsidRPr="001428E8" w:rsidRDefault="00835128" w:rsidP="00A36499">
            <w:pPr>
              <w:pStyle w:val="2024TABLETEXT"/>
              <w:framePr w:hSpace="0" w:wrap="auto" w:vAnchor="margin" w:yAlign="inline"/>
              <w:suppressOverlap w:val="0"/>
              <w:rPr>
                <w:b/>
                <w:color w:val="000000" w:themeColor="text1"/>
              </w:rPr>
            </w:pPr>
            <w:r w:rsidRPr="001428E8">
              <w:rPr>
                <w:color w:val="000000" w:themeColor="text1"/>
              </w:rPr>
              <w:t>Low</w:t>
            </w:r>
          </w:p>
        </w:tc>
        <w:tc>
          <w:tcPr>
            <w:tcW w:w="1229" w:type="dxa"/>
            <w:shd w:val="clear" w:color="auto" w:fill="auto"/>
          </w:tcPr>
          <w:p w14:paraId="5A1EB60C" w14:textId="0309598E" w:rsidR="00835128" w:rsidRPr="001428E8" w:rsidRDefault="00BE26E6" w:rsidP="00A36499">
            <w:pPr>
              <w:pStyle w:val="2024TABLETEXT"/>
              <w:framePr w:hSpace="0" w:wrap="auto" w:vAnchor="margin" w:yAlign="inline"/>
              <w:suppressOverlap w:val="0"/>
              <w:rPr>
                <w:b/>
                <w:color w:val="000000" w:themeColor="text1"/>
              </w:rPr>
            </w:pPr>
            <w:r w:rsidRPr="006C1E40">
              <w:rPr>
                <w:color w:val="000000" w:themeColor="text1"/>
              </w:rPr>
              <w:t>Unclear</w:t>
            </w:r>
            <w:r w:rsidRPr="00BE26E6" w:rsidDel="00BE26E6">
              <w:rPr>
                <w:color w:val="000000" w:themeColor="text1"/>
              </w:rPr>
              <w:t xml:space="preserve"> </w:t>
            </w:r>
            <w:r w:rsidR="00835128" w:rsidRPr="001428E8">
              <w:rPr>
                <w:color w:val="000000" w:themeColor="text1"/>
              </w:rPr>
              <w:t>risk</w:t>
            </w:r>
          </w:p>
        </w:tc>
      </w:tr>
      <w:tr w:rsidR="00835128" w:rsidRPr="0054775B" w14:paraId="64993985" w14:textId="77777777" w:rsidTr="00447B6B">
        <w:trPr>
          <w:trHeight w:val="95"/>
        </w:trPr>
        <w:tc>
          <w:tcPr>
            <w:tcW w:w="1550" w:type="dxa"/>
            <w:shd w:val="clear" w:color="auto" w:fill="auto"/>
            <w:vAlign w:val="bottom"/>
          </w:tcPr>
          <w:p w14:paraId="1ED6871B" w14:textId="38F9EFEA" w:rsidR="00835128" w:rsidRPr="0054775B" w:rsidRDefault="00835128" w:rsidP="00A36499">
            <w:pPr>
              <w:pStyle w:val="2024TABLETEXT"/>
              <w:framePr w:hSpace="0" w:wrap="auto" w:vAnchor="margin" w:yAlign="inline"/>
              <w:suppressOverlap w:val="0"/>
            </w:pPr>
            <w:r w:rsidRPr="0054775B">
              <w:t>Zhang 2018</w:t>
            </w:r>
          </w:p>
        </w:tc>
        <w:tc>
          <w:tcPr>
            <w:tcW w:w="1346" w:type="dxa"/>
            <w:shd w:val="clear" w:color="auto" w:fill="auto"/>
          </w:tcPr>
          <w:p w14:paraId="2709C989" w14:textId="245C7239" w:rsidR="00835128" w:rsidRPr="001428E8" w:rsidRDefault="00835128" w:rsidP="00A36499">
            <w:pPr>
              <w:pStyle w:val="2024TABLETEXT"/>
              <w:framePr w:hSpace="0" w:wrap="auto" w:vAnchor="margin" w:yAlign="inline"/>
              <w:suppressOverlap w:val="0"/>
              <w:rPr>
                <w:color w:val="000000" w:themeColor="text1"/>
              </w:rPr>
            </w:pPr>
            <w:r w:rsidRPr="001428E8">
              <w:rPr>
                <w:color w:val="000000" w:themeColor="text1"/>
              </w:rPr>
              <w:t>Low</w:t>
            </w:r>
          </w:p>
        </w:tc>
        <w:tc>
          <w:tcPr>
            <w:tcW w:w="1630" w:type="dxa"/>
            <w:shd w:val="clear" w:color="auto" w:fill="auto"/>
          </w:tcPr>
          <w:p w14:paraId="3D85657C" w14:textId="0996C243" w:rsidR="00835128" w:rsidRPr="001428E8" w:rsidRDefault="00835128" w:rsidP="00A36499">
            <w:pPr>
              <w:pStyle w:val="2024TABLETEXT"/>
              <w:framePr w:hSpace="0" w:wrap="auto" w:vAnchor="margin" w:yAlign="inline"/>
              <w:suppressOverlap w:val="0"/>
              <w:rPr>
                <w:color w:val="000000" w:themeColor="text1"/>
              </w:rPr>
            </w:pPr>
            <w:r w:rsidRPr="001428E8">
              <w:rPr>
                <w:color w:val="000000" w:themeColor="text1"/>
              </w:rPr>
              <w:t>Low</w:t>
            </w:r>
          </w:p>
        </w:tc>
        <w:tc>
          <w:tcPr>
            <w:tcW w:w="1630" w:type="dxa"/>
            <w:shd w:val="clear" w:color="auto" w:fill="auto"/>
          </w:tcPr>
          <w:p w14:paraId="41932249" w14:textId="77A737BD" w:rsidR="00835128" w:rsidRPr="001428E8" w:rsidRDefault="00835128" w:rsidP="00A36499">
            <w:pPr>
              <w:pStyle w:val="2024TABLETEXT"/>
              <w:framePr w:hSpace="0" w:wrap="auto" w:vAnchor="margin" w:yAlign="inline"/>
              <w:suppressOverlap w:val="0"/>
              <w:rPr>
                <w:color w:val="000000" w:themeColor="text1"/>
              </w:rPr>
            </w:pPr>
            <w:r w:rsidRPr="001428E8">
              <w:rPr>
                <w:color w:val="000000" w:themeColor="text1"/>
              </w:rPr>
              <w:t>Low</w:t>
            </w:r>
          </w:p>
        </w:tc>
        <w:tc>
          <w:tcPr>
            <w:tcW w:w="1631" w:type="dxa"/>
            <w:shd w:val="clear" w:color="auto" w:fill="auto"/>
          </w:tcPr>
          <w:p w14:paraId="44971500" w14:textId="64039862" w:rsidR="00835128" w:rsidRPr="001428E8" w:rsidRDefault="00200967" w:rsidP="00A36499">
            <w:pPr>
              <w:pStyle w:val="2024TABLETEXT"/>
              <w:framePr w:hSpace="0" w:wrap="auto" w:vAnchor="margin" w:yAlign="inline"/>
              <w:suppressOverlap w:val="0"/>
              <w:rPr>
                <w:color w:val="000000" w:themeColor="text1"/>
              </w:rPr>
            </w:pPr>
            <w:r w:rsidRPr="001428E8">
              <w:rPr>
                <w:color w:val="000000" w:themeColor="text1"/>
              </w:rPr>
              <w:t>High</w:t>
            </w:r>
          </w:p>
        </w:tc>
        <w:tc>
          <w:tcPr>
            <w:tcW w:w="1229" w:type="dxa"/>
            <w:shd w:val="clear" w:color="auto" w:fill="auto"/>
          </w:tcPr>
          <w:p w14:paraId="730D699A" w14:textId="5153591F" w:rsidR="00835128" w:rsidRPr="001428E8" w:rsidRDefault="00200967" w:rsidP="00A36499">
            <w:pPr>
              <w:pStyle w:val="2024TABLETEXT"/>
              <w:framePr w:hSpace="0" w:wrap="auto" w:vAnchor="margin" w:yAlign="inline"/>
              <w:suppressOverlap w:val="0"/>
              <w:rPr>
                <w:color w:val="000000" w:themeColor="text1"/>
              </w:rPr>
            </w:pPr>
            <w:r w:rsidRPr="001428E8">
              <w:rPr>
                <w:color w:val="000000" w:themeColor="text1"/>
              </w:rPr>
              <w:t xml:space="preserve">High </w:t>
            </w:r>
            <w:r w:rsidR="00835128" w:rsidRPr="001428E8">
              <w:rPr>
                <w:color w:val="000000" w:themeColor="text1"/>
              </w:rPr>
              <w:t>risk</w:t>
            </w:r>
          </w:p>
        </w:tc>
      </w:tr>
    </w:tbl>
    <w:p w14:paraId="6C92D412" w14:textId="77777777" w:rsidR="00362896" w:rsidRPr="0054775B" w:rsidRDefault="00362896" w:rsidP="009E6F7F">
      <w:pPr>
        <w:pStyle w:val="2024HEADER3"/>
        <w:rPr>
          <w:rFonts w:ascii="Aptos" w:hAnsi="Aptos"/>
        </w:rPr>
      </w:pPr>
      <w:r w:rsidRPr="0054775B">
        <w:rPr>
          <w:rFonts w:ascii="Aptos" w:hAnsi="Aptos"/>
        </w:rPr>
        <w:t xml:space="preserve">Results </w:t>
      </w:r>
    </w:p>
    <w:p w14:paraId="56DCC45F" w14:textId="69BFE9ED" w:rsidR="004E349C" w:rsidRPr="0054775B" w:rsidRDefault="004E349C" w:rsidP="004E349C">
      <w:r>
        <w:t>Preferred</w:t>
      </w:r>
      <w:r w:rsidRPr="0054775B">
        <w:t xml:space="preserve"> contributing reviews are listed in the population-intervention matrix in </w:t>
      </w:r>
      <w:r>
        <w:t xml:space="preserve">Table </w:t>
      </w:r>
      <w:r w:rsidR="005B095B">
        <w:t>52</w:t>
      </w:r>
      <w:r>
        <w:t xml:space="preserve">. </w:t>
      </w:r>
      <w:r w:rsidR="000354A4">
        <w:t>Ev</w:t>
      </w:r>
      <w:r w:rsidR="00362896" w:rsidRPr="0054775B">
        <w:t>idence</w:t>
      </w:r>
      <w:r w:rsidR="00362896" w:rsidRPr="0054775B" w:rsidDel="00F00B6C">
        <w:t xml:space="preserve"> from the most relevant</w:t>
      </w:r>
      <w:r w:rsidR="00300FDF" w:rsidDel="00F00B6C">
        <w:t>, recent</w:t>
      </w:r>
      <w:r w:rsidR="00362896" w:rsidRPr="0054775B" w:rsidDel="00F00B6C">
        <w:t xml:space="preserve"> and/or comprehensive review was chosen for each outcome. </w:t>
      </w:r>
      <w:r w:rsidRPr="0054775B">
        <w:t>Jibril et al. (2022) was selected as the preferred review (equally most recent and lowest risk of bias, and most comprehensive</w:t>
      </w:r>
      <w:r>
        <w:t xml:space="preserve"> conducting a dose-response meta-analysis</w:t>
      </w:r>
      <w:r w:rsidR="00E93950" w:rsidRPr="0054775B">
        <w:t>) and</w:t>
      </w:r>
      <w:r w:rsidRPr="0054775B">
        <w:t xml:space="preserve"> report</w:t>
      </w:r>
      <w:r>
        <w:t>ed</w:t>
      </w:r>
      <w:r w:rsidRPr="0054775B">
        <w:t xml:space="preserve"> outcomes for fasting blood glucose (FBG)</w:t>
      </w:r>
      <w:r>
        <w:t xml:space="preserve">, </w:t>
      </w:r>
      <w:r w:rsidRPr="0054775B">
        <w:t>Hb1AC</w:t>
      </w:r>
      <w:r>
        <w:t xml:space="preserve"> and blood pressures</w:t>
      </w:r>
      <w:r w:rsidRPr="0054775B">
        <w:t xml:space="preserve">. Dludla </w:t>
      </w:r>
      <w:r>
        <w:t>et al. (</w:t>
      </w:r>
      <w:r w:rsidRPr="0054775B">
        <w:t>2020</w:t>
      </w:r>
      <w:r>
        <w:t>)</w:t>
      </w:r>
      <w:r w:rsidRPr="0054775B">
        <w:t xml:space="preserve"> </w:t>
      </w:r>
      <w:r>
        <w:t xml:space="preserve">and </w:t>
      </w:r>
      <w:r w:rsidRPr="0054775B">
        <w:t xml:space="preserve">Kim </w:t>
      </w:r>
      <w:r>
        <w:t>et al. (</w:t>
      </w:r>
      <w:r w:rsidRPr="0054775B">
        <w:t>2022</w:t>
      </w:r>
      <w:r>
        <w:t>)</w:t>
      </w:r>
      <w:r w:rsidRPr="0054775B">
        <w:t xml:space="preserve"> </w:t>
      </w:r>
      <w:r>
        <w:t>were</w:t>
      </w:r>
      <w:r w:rsidRPr="0054775B">
        <w:t xml:space="preserve"> the preferred review</w:t>
      </w:r>
      <w:r>
        <w:t>s</w:t>
      </w:r>
      <w:r w:rsidRPr="0054775B">
        <w:t xml:space="preserve"> to report on fasting blood insulin</w:t>
      </w:r>
      <w:r>
        <w:t xml:space="preserve"> and</w:t>
      </w:r>
      <w:r w:rsidRPr="00191107">
        <w:t xml:space="preserve"> </w:t>
      </w:r>
      <w:r w:rsidRPr="0054775B">
        <w:t>HOMA-IR</w:t>
      </w:r>
      <w:r>
        <w:t xml:space="preserve">, respectively </w:t>
      </w:r>
      <w:r w:rsidR="00227084">
        <w:rPr>
          <w:noProof/>
        </w:rPr>
        <w:t>(205)</w:t>
      </w:r>
      <w:r w:rsidRPr="0054775B">
        <w:t xml:space="preserve">. </w:t>
      </w:r>
    </w:p>
    <w:p w14:paraId="102C6B80" w14:textId="6F866D5E" w:rsidR="00362896" w:rsidRPr="0054775B" w:rsidRDefault="004E349C" w:rsidP="009E6F7F">
      <w:r w:rsidRPr="0054775B">
        <w:t>Wang</w:t>
      </w:r>
      <w:r>
        <w:t xml:space="preserve"> et al. (2</w:t>
      </w:r>
      <w:r w:rsidRPr="0054775B">
        <w:t>022</w:t>
      </w:r>
      <w:r>
        <w:t>)</w:t>
      </w:r>
      <w:r w:rsidRPr="0054775B">
        <w:t xml:space="preserve"> conducted a meta-analysis examining the use of antioxidants for obese individuals (BMI ≥30 kg/m2) </w:t>
      </w:r>
      <w:r w:rsidR="00A61385">
        <w:rPr>
          <w:noProof/>
        </w:rPr>
        <w:t>(42)</w:t>
      </w:r>
      <w:r w:rsidR="00B13696">
        <w:t>, considered a population at risk of T</w:t>
      </w:r>
      <w:r w:rsidR="002567F6">
        <w:t>2DM</w:t>
      </w:r>
      <w:r w:rsidRPr="0054775B">
        <w:t xml:space="preserve">. </w:t>
      </w:r>
    </w:p>
    <w:p w14:paraId="1324D5A9" w14:textId="1DF86496" w:rsidR="00362896" w:rsidRPr="0054775B" w:rsidRDefault="00362896" w:rsidP="006F63D3">
      <w:pPr>
        <w:pStyle w:val="2024TABLECAPTION"/>
        <w:rPr>
          <w:rFonts w:ascii="Aptos" w:hAnsi="Aptos"/>
        </w:rPr>
      </w:pPr>
      <w:bookmarkStart w:id="139" w:name="_Toc185261630"/>
      <w:r w:rsidRPr="0054775B">
        <w:rPr>
          <w:rFonts w:ascii="Aptos" w:hAnsi="Aptos"/>
        </w:rPr>
        <w:t xml:space="preserve">Table </w:t>
      </w:r>
      <w:r w:rsidRPr="0054775B">
        <w:rPr>
          <w:rFonts w:ascii="Aptos" w:hAnsi="Aptos"/>
        </w:rPr>
        <w:fldChar w:fldCharType="begin"/>
      </w:r>
      <w:r w:rsidRPr="0054775B">
        <w:rPr>
          <w:rFonts w:ascii="Aptos" w:hAnsi="Aptos"/>
        </w:rPr>
        <w:instrText>SEQ Table \* ARABIC</w:instrText>
      </w:r>
      <w:r w:rsidRPr="0054775B">
        <w:rPr>
          <w:rFonts w:ascii="Aptos" w:hAnsi="Aptos"/>
        </w:rPr>
        <w:fldChar w:fldCharType="separate"/>
      </w:r>
      <w:r w:rsidR="00651E04">
        <w:rPr>
          <w:rFonts w:ascii="Aptos" w:hAnsi="Aptos"/>
          <w:noProof/>
        </w:rPr>
        <w:t>52</w:t>
      </w:r>
      <w:r w:rsidRPr="0054775B">
        <w:rPr>
          <w:rFonts w:ascii="Aptos" w:hAnsi="Aptos"/>
        </w:rPr>
        <w:fldChar w:fldCharType="end"/>
      </w:r>
      <w:r w:rsidRPr="0054775B">
        <w:rPr>
          <w:rFonts w:ascii="Aptos" w:hAnsi="Aptos"/>
        </w:rPr>
        <w:t xml:space="preserve">. </w:t>
      </w:r>
      <w:r w:rsidR="00A36499" w:rsidRPr="0054775B">
        <w:rPr>
          <w:rFonts w:ascii="Aptos" w:hAnsi="Aptos"/>
        </w:rPr>
        <w:t>Contributing</w:t>
      </w:r>
      <w:r w:rsidRPr="0054775B">
        <w:rPr>
          <w:rFonts w:ascii="Aptos" w:hAnsi="Aptos"/>
        </w:rPr>
        <w:t xml:space="preserve"> reviews for types of populations and interventions examined in each review – Diabetes (Type </w:t>
      </w:r>
      <w:r w:rsidR="00B84C75" w:rsidRPr="0054775B">
        <w:rPr>
          <w:rFonts w:ascii="Aptos" w:hAnsi="Aptos"/>
        </w:rPr>
        <w:t>I</w:t>
      </w:r>
      <w:r w:rsidRPr="0054775B">
        <w:rPr>
          <w:rFonts w:ascii="Aptos" w:hAnsi="Aptos"/>
        </w:rPr>
        <w:t xml:space="preserve">I) (including metabolic syndrome), antioxidants (specifically CoQ10 and </w:t>
      </w:r>
      <w:r w:rsidR="00B84C75" w:rsidRPr="0054775B">
        <w:rPr>
          <w:rFonts w:ascii="Aptos" w:hAnsi="Aptos"/>
        </w:rPr>
        <w:t>ALA</w:t>
      </w:r>
      <w:r w:rsidRPr="0054775B">
        <w:rPr>
          <w:rFonts w:ascii="Aptos" w:hAnsi="Aptos"/>
        </w:rPr>
        <w:t>)</w:t>
      </w:r>
      <w:bookmarkEnd w:id="139"/>
    </w:p>
    <w:tbl>
      <w:tblPr>
        <w:tblStyle w:val="TableGrid"/>
        <w:tblW w:w="0" w:type="auto"/>
        <w:tblLook w:val="04A0" w:firstRow="1" w:lastRow="0" w:firstColumn="1" w:lastColumn="0" w:noHBand="0" w:noVBand="1"/>
      </w:tblPr>
      <w:tblGrid>
        <w:gridCol w:w="3539"/>
        <w:gridCol w:w="2835"/>
        <w:gridCol w:w="2842"/>
      </w:tblGrid>
      <w:tr w:rsidR="00A36499" w:rsidRPr="0054775B" w14:paraId="6F3955C3" w14:textId="77777777">
        <w:trPr>
          <w:trHeight w:val="68"/>
        </w:trPr>
        <w:tc>
          <w:tcPr>
            <w:tcW w:w="3539" w:type="dxa"/>
            <w:shd w:val="clear" w:color="auto" w:fill="D9D9D9" w:themeFill="background1" w:themeFillShade="D9"/>
          </w:tcPr>
          <w:p w14:paraId="2BB53CEA" w14:textId="77777777" w:rsidR="00A36499" w:rsidRPr="0054775B" w:rsidRDefault="00A36499">
            <w:pPr>
              <w:pStyle w:val="2024TABLEHEADER"/>
            </w:pPr>
          </w:p>
        </w:tc>
        <w:tc>
          <w:tcPr>
            <w:tcW w:w="2835" w:type="dxa"/>
            <w:shd w:val="clear" w:color="auto" w:fill="D9D9D9" w:themeFill="background1" w:themeFillShade="D9"/>
          </w:tcPr>
          <w:p w14:paraId="62EEB054" w14:textId="6D334F46" w:rsidR="00A36499" w:rsidRPr="0054775B" w:rsidRDefault="00A36499">
            <w:pPr>
              <w:pStyle w:val="2024TABLEHEADER"/>
            </w:pPr>
            <w:r w:rsidRPr="0054775B">
              <w:t>With T2DM</w:t>
            </w:r>
          </w:p>
        </w:tc>
        <w:tc>
          <w:tcPr>
            <w:tcW w:w="2842" w:type="dxa"/>
            <w:shd w:val="clear" w:color="auto" w:fill="D9D9D9" w:themeFill="background1" w:themeFillShade="D9"/>
          </w:tcPr>
          <w:p w14:paraId="79EF5FC1" w14:textId="417D2569" w:rsidR="00A36499" w:rsidRPr="0054775B" w:rsidRDefault="00A36499">
            <w:pPr>
              <w:pStyle w:val="2024TABLEHEADER"/>
            </w:pPr>
            <w:r w:rsidRPr="0054775B">
              <w:t>At risk of T2DM</w:t>
            </w:r>
          </w:p>
        </w:tc>
      </w:tr>
      <w:tr w:rsidR="00A36499" w:rsidRPr="0054775B" w14:paraId="27F299DB" w14:textId="77777777">
        <w:trPr>
          <w:trHeight w:val="68"/>
        </w:trPr>
        <w:tc>
          <w:tcPr>
            <w:tcW w:w="3539" w:type="dxa"/>
            <w:shd w:val="clear" w:color="auto" w:fill="D9D9D9" w:themeFill="background1" w:themeFillShade="D9"/>
          </w:tcPr>
          <w:p w14:paraId="059C1434" w14:textId="4EABF9F3" w:rsidR="00A36499" w:rsidRPr="0054775B" w:rsidRDefault="00A36499">
            <w:pPr>
              <w:pStyle w:val="2024TABLEHEADER"/>
            </w:pPr>
            <w:r w:rsidRPr="0054775B">
              <w:t>Antioxidants VS placebo/sham/inactive control</w:t>
            </w:r>
          </w:p>
        </w:tc>
        <w:tc>
          <w:tcPr>
            <w:tcW w:w="2835" w:type="dxa"/>
            <w:shd w:val="clear" w:color="auto" w:fill="auto"/>
          </w:tcPr>
          <w:p w14:paraId="51A54B46" w14:textId="6F7A8CDA" w:rsidR="00A36499" w:rsidRPr="0054775B" w:rsidRDefault="00A36499" w:rsidP="00A36499">
            <w:pPr>
              <w:pStyle w:val="2024TABLEHEADER"/>
              <w:rPr>
                <w:b w:val="0"/>
                <w:bCs w:val="0"/>
              </w:rPr>
            </w:pPr>
            <w:r w:rsidRPr="0054775B">
              <w:rPr>
                <w:b w:val="0"/>
                <w:bCs w:val="0"/>
              </w:rPr>
              <w:t>Jibril 2022</w:t>
            </w:r>
          </w:p>
          <w:p w14:paraId="2642D681" w14:textId="77777777" w:rsidR="0040565C" w:rsidRDefault="00A36499" w:rsidP="00A36499">
            <w:pPr>
              <w:pStyle w:val="2024TABLEHEADER"/>
              <w:rPr>
                <w:b w:val="0"/>
                <w:bCs w:val="0"/>
              </w:rPr>
            </w:pPr>
            <w:r w:rsidRPr="0054775B">
              <w:rPr>
                <w:b w:val="0"/>
                <w:bCs w:val="0"/>
              </w:rPr>
              <w:t>Kim 2022</w:t>
            </w:r>
          </w:p>
          <w:p w14:paraId="4EA94FE4" w14:textId="78BA830F" w:rsidR="00A36499" w:rsidRPr="0054775B" w:rsidRDefault="00FA12AC" w:rsidP="00A36499">
            <w:pPr>
              <w:pStyle w:val="2024TABLEHEADER"/>
              <w:rPr>
                <w:b w:val="0"/>
                <w:bCs w:val="0"/>
              </w:rPr>
            </w:pPr>
            <w:r w:rsidRPr="0054775B">
              <w:rPr>
                <w:b w:val="0"/>
                <w:bCs w:val="0"/>
              </w:rPr>
              <w:t>Dludla 2020</w:t>
            </w:r>
          </w:p>
        </w:tc>
        <w:tc>
          <w:tcPr>
            <w:tcW w:w="2842" w:type="dxa"/>
            <w:shd w:val="clear" w:color="auto" w:fill="auto"/>
          </w:tcPr>
          <w:p w14:paraId="506AB019" w14:textId="5465730A" w:rsidR="00FA12AC" w:rsidRPr="0054775B" w:rsidRDefault="00FA12AC">
            <w:pPr>
              <w:pStyle w:val="2024TABLEHEADER"/>
              <w:rPr>
                <w:b w:val="0"/>
                <w:bCs w:val="0"/>
                <w:color w:val="000000"/>
              </w:rPr>
            </w:pPr>
            <w:r w:rsidRPr="0054775B">
              <w:rPr>
                <w:b w:val="0"/>
                <w:bCs w:val="0"/>
                <w:color w:val="000000"/>
              </w:rPr>
              <w:t>Wang 2022</w:t>
            </w:r>
          </w:p>
        </w:tc>
      </w:tr>
      <w:tr w:rsidR="00A36499" w:rsidRPr="0054775B" w14:paraId="5FEB2CC3" w14:textId="77777777">
        <w:trPr>
          <w:trHeight w:val="68"/>
        </w:trPr>
        <w:tc>
          <w:tcPr>
            <w:tcW w:w="3539" w:type="dxa"/>
            <w:shd w:val="clear" w:color="auto" w:fill="D9D9D9" w:themeFill="background1" w:themeFillShade="D9"/>
          </w:tcPr>
          <w:p w14:paraId="21053A2E" w14:textId="5099B22C" w:rsidR="00A36499" w:rsidRPr="0054775B" w:rsidRDefault="00A36499">
            <w:pPr>
              <w:pStyle w:val="2024TABLEHEADER"/>
              <w:rPr>
                <w:rFonts w:eastAsiaTheme="minorHAnsi"/>
                <w:color w:val="000000" w:themeColor="text1"/>
                <w:lang w:eastAsia="en-US"/>
              </w:rPr>
            </w:pPr>
            <w:r w:rsidRPr="0054775B">
              <w:t>Antioxidants VS placebo/sham/inactive control</w:t>
            </w:r>
          </w:p>
        </w:tc>
        <w:tc>
          <w:tcPr>
            <w:tcW w:w="2835" w:type="dxa"/>
            <w:shd w:val="clear" w:color="auto" w:fill="auto"/>
          </w:tcPr>
          <w:p w14:paraId="6095C575" w14:textId="77777777" w:rsidR="00A36499" w:rsidRPr="0054775B" w:rsidRDefault="00A36499">
            <w:pPr>
              <w:pStyle w:val="2024TABLEHEADER"/>
              <w:framePr w:hSpace="180" w:wrap="around" w:vAnchor="text" w:hAnchor="text" w:y="1"/>
              <w:suppressOverlap/>
              <w:rPr>
                <w:b w:val="0"/>
                <w:bCs w:val="0"/>
                <w:color w:val="000000"/>
              </w:rPr>
            </w:pPr>
            <w:r w:rsidRPr="0054775B">
              <w:rPr>
                <w:b w:val="0"/>
                <w:bCs w:val="0"/>
                <w:color w:val="000000"/>
              </w:rPr>
              <w:t>-</w:t>
            </w:r>
          </w:p>
        </w:tc>
        <w:tc>
          <w:tcPr>
            <w:tcW w:w="2842" w:type="dxa"/>
            <w:shd w:val="clear" w:color="auto" w:fill="auto"/>
          </w:tcPr>
          <w:p w14:paraId="6CC51608" w14:textId="77777777" w:rsidR="00A36499" w:rsidRPr="0054775B" w:rsidRDefault="00A36499">
            <w:pPr>
              <w:pStyle w:val="2024TABLEHEADER"/>
              <w:framePr w:hSpace="180" w:wrap="around" w:vAnchor="text" w:hAnchor="text" w:y="1"/>
              <w:suppressOverlap/>
              <w:rPr>
                <w:b w:val="0"/>
                <w:bCs w:val="0"/>
                <w:color w:val="000000"/>
              </w:rPr>
            </w:pPr>
            <w:r w:rsidRPr="0054775B">
              <w:rPr>
                <w:b w:val="0"/>
                <w:bCs w:val="0"/>
                <w:color w:val="000000"/>
              </w:rPr>
              <w:t>-</w:t>
            </w:r>
          </w:p>
        </w:tc>
      </w:tr>
    </w:tbl>
    <w:p w14:paraId="47FD0001" w14:textId="77777777" w:rsidR="00604987" w:rsidRPr="0054775B" w:rsidRDefault="00604987" w:rsidP="009E6F7F">
      <w:pPr>
        <w:rPr>
          <w:color w:val="C00000"/>
          <w:sz w:val="24"/>
          <w:szCs w:val="24"/>
        </w:rPr>
      </w:pPr>
      <w:r w:rsidRPr="0054775B">
        <w:br w:type="page"/>
      </w:r>
    </w:p>
    <w:p w14:paraId="2CB48E14" w14:textId="77777777" w:rsidR="00604987" w:rsidRPr="0054775B" w:rsidRDefault="00604987" w:rsidP="009E6F7F">
      <w:pPr>
        <w:pStyle w:val="2024HEADER3"/>
        <w:rPr>
          <w:rFonts w:ascii="Aptos" w:hAnsi="Aptos"/>
        </w:rPr>
        <w:sectPr w:rsidR="00604987" w:rsidRPr="0054775B" w:rsidSect="006A72DC">
          <w:pgSz w:w="11910" w:h="16840"/>
          <w:pgMar w:top="1356" w:right="1340" w:bottom="278" w:left="1340" w:header="720" w:footer="720" w:gutter="0"/>
          <w:cols w:space="720"/>
        </w:sectPr>
      </w:pPr>
    </w:p>
    <w:p w14:paraId="4154D336" w14:textId="77777777" w:rsidR="00857C4E" w:rsidRPr="00857C4E" w:rsidRDefault="00857C4E" w:rsidP="00857C4E">
      <w:pPr>
        <w:pStyle w:val="2024HEADER3"/>
        <w:rPr>
          <w:rFonts w:ascii="Aptos" w:hAnsi="Aptos"/>
        </w:rPr>
      </w:pPr>
      <w:r w:rsidRPr="00857C4E">
        <w:rPr>
          <w:rFonts w:ascii="Aptos" w:hAnsi="Aptos"/>
        </w:rPr>
        <w:lastRenderedPageBreak/>
        <w:t>Summary of findings and evidence statements</w:t>
      </w:r>
    </w:p>
    <w:p w14:paraId="0C54913D" w14:textId="11A2ABB2" w:rsidR="00835CC3" w:rsidRPr="0054775B" w:rsidRDefault="00835CC3" w:rsidP="006F63D3">
      <w:pPr>
        <w:pStyle w:val="2024TABLECAPTION"/>
        <w:rPr>
          <w:rFonts w:ascii="Aptos" w:hAnsi="Aptos"/>
        </w:rPr>
      </w:pPr>
      <w:bookmarkStart w:id="140" w:name="_Toc185261631"/>
      <w:r w:rsidRPr="0054775B">
        <w:rPr>
          <w:rFonts w:ascii="Aptos" w:hAnsi="Aptos"/>
        </w:rPr>
        <w:t xml:space="preserve">Table </w:t>
      </w:r>
      <w:r w:rsidRPr="0054775B">
        <w:rPr>
          <w:rFonts w:ascii="Aptos" w:hAnsi="Aptos"/>
        </w:rPr>
        <w:fldChar w:fldCharType="begin"/>
      </w:r>
      <w:r w:rsidRPr="0054775B">
        <w:rPr>
          <w:rFonts w:ascii="Aptos" w:hAnsi="Aptos"/>
        </w:rPr>
        <w:instrText>SEQ Table \* ARABIC</w:instrText>
      </w:r>
      <w:r w:rsidRPr="0054775B">
        <w:rPr>
          <w:rFonts w:ascii="Aptos" w:hAnsi="Aptos"/>
        </w:rPr>
        <w:fldChar w:fldCharType="separate"/>
      </w:r>
      <w:r w:rsidR="00651E04">
        <w:rPr>
          <w:rFonts w:ascii="Aptos" w:hAnsi="Aptos"/>
          <w:noProof/>
        </w:rPr>
        <w:t>53</w:t>
      </w:r>
      <w:r w:rsidRPr="0054775B">
        <w:rPr>
          <w:rFonts w:ascii="Aptos" w:hAnsi="Aptos"/>
        </w:rPr>
        <w:fldChar w:fldCharType="end"/>
      </w:r>
      <w:r w:rsidRPr="0054775B">
        <w:rPr>
          <w:rFonts w:ascii="Aptos" w:hAnsi="Aptos"/>
        </w:rPr>
        <w:t>. Antioxidants compared to placebo</w:t>
      </w:r>
      <w:r w:rsidR="003F2A20" w:rsidRPr="0054775B">
        <w:rPr>
          <w:rFonts w:ascii="Aptos" w:hAnsi="Aptos"/>
        </w:rPr>
        <w:t>/</w:t>
      </w:r>
      <w:r w:rsidR="003F2A20" w:rsidRPr="001428E8">
        <w:rPr>
          <w:rFonts w:ascii="Aptos" w:hAnsi="Aptos"/>
        </w:rPr>
        <w:t>inactive control</w:t>
      </w:r>
      <w:r w:rsidRPr="0054775B">
        <w:rPr>
          <w:rFonts w:ascii="Aptos" w:hAnsi="Aptos"/>
        </w:rPr>
        <w:t xml:space="preserve"> for people with T2DM</w:t>
      </w:r>
      <w:bookmarkEnd w:id="140"/>
    </w:p>
    <w:tbl>
      <w:tblPr>
        <w:tblpPr w:leftFromText="180" w:rightFromText="180" w:vertAnchor="text" w:tblpY="1"/>
        <w:tblOverlap w:val="never"/>
        <w:tblW w:w="4662" w:type="pct"/>
        <w:tblLayout w:type="fixed"/>
        <w:tblCellMar>
          <w:top w:w="28" w:type="dxa"/>
          <w:left w:w="57" w:type="dxa"/>
          <w:bottom w:w="28" w:type="dxa"/>
          <w:right w:w="28" w:type="dxa"/>
        </w:tblCellMar>
        <w:tblLook w:val="04A0" w:firstRow="1" w:lastRow="0" w:firstColumn="1" w:lastColumn="0" w:noHBand="0" w:noVBand="1"/>
      </w:tblPr>
      <w:tblGrid>
        <w:gridCol w:w="853"/>
        <w:gridCol w:w="3399"/>
        <w:gridCol w:w="1276"/>
        <w:gridCol w:w="2268"/>
        <w:gridCol w:w="1276"/>
        <w:gridCol w:w="1276"/>
        <w:gridCol w:w="3828"/>
      </w:tblGrid>
      <w:tr w:rsidR="00835CC3" w:rsidRPr="0054775B" w14:paraId="413F05A9" w14:textId="77777777" w:rsidTr="006F63D3">
        <w:trPr>
          <w:cantSplit/>
        </w:trPr>
        <w:tc>
          <w:tcPr>
            <w:tcW w:w="5000" w:type="pct"/>
            <w:gridSpan w:val="7"/>
            <w:tcBorders>
              <w:top w:val="single" w:sz="12" w:space="0" w:color="000000"/>
              <w:left w:val="nil"/>
              <w:bottom w:val="single" w:sz="12" w:space="0" w:color="000000"/>
              <w:right w:val="nil"/>
            </w:tcBorders>
          </w:tcPr>
          <w:p w14:paraId="23549A5E" w14:textId="52AA8416" w:rsidR="00835CC3" w:rsidRPr="0054775B" w:rsidRDefault="00835CC3" w:rsidP="00E842B9">
            <w:pPr>
              <w:pStyle w:val="2024TABLETEXT"/>
              <w:framePr w:hSpace="0" w:wrap="auto" w:vAnchor="margin" w:yAlign="inline"/>
              <w:suppressOverlap w:val="0"/>
              <w:rPr>
                <w:b/>
                <w:bCs/>
              </w:rPr>
            </w:pPr>
            <w:r w:rsidRPr="0054775B">
              <w:t>Patient or population:</w:t>
            </w:r>
            <w:r w:rsidRPr="0054775B">
              <w:rPr>
                <w:b/>
                <w:bCs/>
              </w:rPr>
              <w:t xml:space="preserve"> T2DM</w:t>
            </w:r>
          </w:p>
          <w:p w14:paraId="7FB2CD61" w14:textId="77777777" w:rsidR="00835CC3" w:rsidRPr="0054775B" w:rsidRDefault="00835CC3" w:rsidP="00E842B9">
            <w:pPr>
              <w:pStyle w:val="2024TABLETEXT"/>
              <w:framePr w:hSpace="0" w:wrap="auto" w:vAnchor="margin" w:yAlign="inline"/>
              <w:suppressOverlap w:val="0"/>
              <w:rPr>
                <w:b/>
                <w:bCs/>
              </w:rPr>
            </w:pPr>
            <w:r w:rsidRPr="0054775B">
              <w:t>Intervention:</w:t>
            </w:r>
            <w:r w:rsidRPr="0054775B">
              <w:rPr>
                <w:b/>
                <w:bCs/>
              </w:rPr>
              <w:t xml:space="preserve"> Antioxidants</w:t>
            </w:r>
          </w:p>
          <w:p w14:paraId="097DFC26" w14:textId="129EAFE8" w:rsidR="00835CC3" w:rsidRPr="0054775B" w:rsidRDefault="00835CC3" w:rsidP="00E842B9">
            <w:pPr>
              <w:pStyle w:val="2024TABLETEXT"/>
              <w:framePr w:hSpace="0" w:wrap="auto" w:vAnchor="margin" w:yAlign="inline"/>
              <w:suppressOverlap w:val="0"/>
            </w:pPr>
            <w:r w:rsidRPr="0054775B">
              <w:t>Comparison:</w:t>
            </w:r>
            <w:r w:rsidRPr="0054775B">
              <w:rPr>
                <w:b/>
                <w:bCs/>
              </w:rPr>
              <w:t xml:space="preserve"> Placebo</w:t>
            </w:r>
            <w:r w:rsidR="003F2A20" w:rsidRPr="0054775B">
              <w:rPr>
                <w:b/>
                <w:bCs/>
              </w:rPr>
              <w:t>/inactive control</w:t>
            </w:r>
          </w:p>
        </w:tc>
      </w:tr>
      <w:tr w:rsidR="00416385" w:rsidRPr="0054775B" w14:paraId="5EBE2624" w14:textId="77777777" w:rsidTr="0094609E">
        <w:trPr>
          <w:cantSplit/>
          <w:trHeight w:val="916"/>
        </w:trPr>
        <w:tc>
          <w:tcPr>
            <w:tcW w:w="301" w:type="pct"/>
            <w:tcBorders>
              <w:right w:val="single" w:sz="6" w:space="0" w:color="EFEFEF"/>
            </w:tcBorders>
            <w:shd w:val="clear" w:color="auto" w:fill="FFE599" w:themeFill="accent4" w:themeFillTint="66"/>
          </w:tcPr>
          <w:p w14:paraId="29C905A7" w14:textId="77777777" w:rsidR="00554169" w:rsidRPr="0054775B" w:rsidRDefault="00554169" w:rsidP="006F63D3">
            <w:pPr>
              <w:pStyle w:val="2024TABLEHEADER"/>
            </w:pPr>
            <w:r w:rsidRPr="0054775B">
              <w:t>NTWC Rating*</w:t>
            </w:r>
          </w:p>
        </w:tc>
        <w:tc>
          <w:tcPr>
            <w:tcW w:w="1199" w:type="pct"/>
            <w:tcBorders>
              <w:right w:val="single" w:sz="6" w:space="0" w:color="EFEFEF"/>
            </w:tcBorders>
            <w:shd w:val="clear" w:color="auto" w:fill="FFE599" w:themeFill="accent4" w:themeFillTint="66"/>
            <w:hideMark/>
          </w:tcPr>
          <w:p w14:paraId="1FEAA8AB" w14:textId="77777777" w:rsidR="00554169" w:rsidRPr="0054775B" w:rsidRDefault="00554169" w:rsidP="006F63D3">
            <w:pPr>
              <w:pStyle w:val="2024TABLEHEADER"/>
            </w:pPr>
            <w:r w:rsidRPr="0054775B">
              <w:t>Outcomes</w:t>
            </w:r>
          </w:p>
        </w:tc>
        <w:tc>
          <w:tcPr>
            <w:tcW w:w="450" w:type="pct"/>
            <w:shd w:val="clear" w:color="auto" w:fill="FFF2CC" w:themeFill="accent4" w:themeFillTint="33"/>
          </w:tcPr>
          <w:p w14:paraId="0855692A" w14:textId="7DA924E7" w:rsidR="00554169" w:rsidRPr="0054775B" w:rsidRDefault="00554169" w:rsidP="006F63D3">
            <w:pPr>
              <w:pStyle w:val="2024TABLEHEADER"/>
            </w:pPr>
            <w:r w:rsidRPr="0054775B">
              <w:t>Contributing review</w:t>
            </w:r>
          </w:p>
        </w:tc>
        <w:tc>
          <w:tcPr>
            <w:tcW w:w="800" w:type="pct"/>
            <w:tcBorders>
              <w:right w:val="single" w:sz="6" w:space="0" w:color="EFEFEF"/>
            </w:tcBorders>
            <w:shd w:val="clear" w:color="auto" w:fill="E0E0E0"/>
          </w:tcPr>
          <w:p w14:paraId="31694B37" w14:textId="4D107C1D" w:rsidR="00554169" w:rsidRPr="0054775B" w:rsidRDefault="00554169" w:rsidP="006F63D3">
            <w:pPr>
              <w:pStyle w:val="2024TABLEHEADER"/>
            </w:pPr>
            <w:r w:rsidRPr="0054775B">
              <w:t>Relative effect</w:t>
            </w:r>
            <w:r w:rsidRPr="0054775B">
              <w:br/>
              <w:t>(95% CI)</w:t>
            </w:r>
            <w:r w:rsidR="002141A4" w:rsidRPr="0054775B">
              <w:t>^</w:t>
            </w:r>
          </w:p>
        </w:tc>
        <w:tc>
          <w:tcPr>
            <w:tcW w:w="450" w:type="pct"/>
            <w:tcBorders>
              <w:right w:val="single" w:sz="6" w:space="0" w:color="EFEFEF"/>
            </w:tcBorders>
            <w:shd w:val="clear" w:color="auto" w:fill="FFE599" w:themeFill="accent4" w:themeFillTint="66"/>
            <w:hideMark/>
          </w:tcPr>
          <w:p w14:paraId="2F77424A" w14:textId="77777777" w:rsidR="00554169" w:rsidRPr="0054775B" w:rsidRDefault="00554169" w:rsidP="006F63D3">
            <w:pPr>
              <w:pStyle w:val="2024TABLEHEADER"/>
            </w:pPr>
            <w:r w:rsidRPr="0054775B">
              <w:t>№ of participants</w:t>
            </w:r>
            <w:r w:rsidRPr="0054775B">
              <w:br/>
              <w:t>(studies)</w:t>
            </w:r>
          </w:p>
        </w:tc>
        <w:tc>
          <w:tcPr>
            <w:tcW w:w="450" w:type="pct"/>
            <w:tcBorders>
              <w:right w:val="single" w:sz="6" w:space="0" w:color="EFEFEF"/>
            </w:tcBorders>
            <w:shd w:val="clear" w:color="auto" w:fill="FFE599" w:themeFill="accent4" w:themeFillTint="66"/>
            <w:hideMark/>
          </w:tcPr>
          <w:p w14:paraId="0D36EB66" w14:textId="77777777" w:rsidR="00554169" w:rsidRPr="0054775B" w:rsidRDefault="00554169" w:rsidP="006F63D3">
            <w:pPr>
              <w:pStyle w:val="2024TABLEHEADER"/>
            </w:pPr>
            <w:r w:rsidRPr="0054775B">
              <w:t>Certainty of the evidence</w:t>
            </w:r>
            <w:r w:rsidRPr="0054775B">
              <w:br/>
              <w:t>(GRADE)</w:t>
            </w:r>
          </w:p>
        </w:tc>
        <w:tc>
          <w:tcPr>
            <w:tcW w:w="1350" w:type="pct"/>
            <w:tcBorders>
              <w:right w:val="single" w:sz="6" w:space="0" w:color="EFEFEF"/>
            </w:tcBorders>
            <w:shd w:val="clear" w:color="auto" w:fill="FFE599" w:themeFill="accent4" w:themeFillTint="66"/>
            <w:hideMark/>
          </w:tcPr>
          <w:p w14:paraId="0EF16BB8" w14:textId="08BE26E7" w:rsidR="00554169" w:rsidRPr="0054775B" w:rsidRDefault="00E43FB5" w:rsidP="006F63D3">
            <w:pPr>
              <w:pStyle w:val="2024TABLEHEADER"/>
            </w:pPr>
            <w:r w:rsidRPr="0054775B">
              <w:t>Evidence statement</w:t>
            </w:r>
          </w:p>
        </w:tc>
      </w:tr>
      <w:tr w:rsidR="00416385" w:rsidRPr="0054775B" w14:paraId="06460C37" w14:textId="77777777" w:rsidTr="0094609E">
        <w:trPr>
          <w:cantSplit/>
          <w:trHeight w:val="36"/>
        </w:trPr>
        <w:tc>
          <w:tcPr>
            <w:tcW w:w="301" w:type="pct"/>
            <w:vMerge w:val="restart"/>
            <w:tcBorders>
              <w:top w:val="single" w:sz="6" w:space="0" w:color="000000"/>
              <w:left w:val="nil"/>
              <w:right w:val="nil"/>
            </w:tcBorders>
            <w:vAlign w:val="center"/>
          </w:tcPr>
          <w:p w14:paraId="7C739AF0" w14:textId="77777777" w:rsidR="00554169" w:rsidRPr="0054775B" w:rsidRDefault="00554169" w:rsidP="00C571AC">
            <w:pPr>
              <w:pStyle w:val="2024TABLETEXT"/>
              <w:framePr w:hSpace="0" w:wrap="auto" w:vAnchor="margin" w:yAlign="inline"/>
              <w:suppressOverlap w:val="0"/>
            </w:pPr>
            <w:r w:rsidRPr="0054775B">
              <w:t>8</w:t>
            </w:r>
          </w:p>
        </w:tc>
        <w:tc>
          <w:tcPr>
            <w:tcW w:w="1199" w:type="pct"/>
            <w:tcBorders>
              <w:top w:val="single" w:sz="6" w:space="0" w:color="000000"/>
              <w:left w:val="nil"/>
              <w:bottom w:val="single" w:sz="6" w:space="0" w:color="000000"/>
              <w:right w:val="nil"/>
            </w:tcBorders>
            <w:vAlign w:val="center"/>
            <w:hideMark/>
          </w:tcPr>
          <w:p w14:paraId="58DCA33E" w14:textId="56177EEA" w:rsidR="00554169" w:rsidRPr="0054775B" w:rsidRDefault="00554169" w:rsidP="00C571AC">
            <w:pPr>
              <w:pStyle w:val="2024TABLETEXT"/>
              <w:framePr w:hSpace="0" w:wrap="auto" w:vAnchor="margin" w:yAlign="inline"/>
              <w:suppressOverlap w:val="0"/>
            </w:pPr>
            <w:r w:rsidRPr="0054775B">
              <w:rPr>
                <w:b/>
                <w:bCs/>
              </w:rPr>
              <w:t>Glycaemic control</w:t>
            </w:r>
          </w:p>
        </w:tc>
        <w:tc>
          <w:tcPr>
            <w:tcW w:w="450" w:type="pct"/>
            <w:tcBorders>
              <w:top w:val="single" w:sz="6" w:space="0" w:color="000000"/>
              <w:left w:val="nil"/>
              <w:bottom w:val="single" w:sz="6" w:space="0" w:color="000000"/>
              <w:right w:val="nil"/>
            </w:tcBorders>
            <w:vAlign w:val="center"/>
          </w:tcPr>
          <w:p w14:paraId="236F5658" w14:textId="6A83C66B" w:rsidR="00554169" w:rsidRPr="0054775B" w:rsidRDefault="00554169" w:rsidP="00C571AC">
            <w:pPr>
              <w:pStyle w:val="2024TABLETEXT"/>
              <w:framePr w:hSpace="0" w:wrap="auto" w:vAnchor="margin" w:yAlign="inline"/>
              <w:suppressOverlap w:val="0"/>
            </w:pPr>
          </w:p>
        </w:tc>
        <w:tc>
          <w:tcPr>
            <w:tcW w:w="800" w:type="pct"/>
            <w:tcBorders>
              <w:top w:val="single" w:sz="6" w:space="0" w:color="000000"/>
              <w:left w:val="nil"/>
              <w:bottom w:val="single" w:sz="6" w:space="0" w:color="000000"/>
              <w:right w:val="nil"/>
            </w:tcBorders>
            <w:vAlign w:val="center"/>
          </w:tcPr>
          <w:p w14:paraId="5368AED5" w14:textId="53CAF442" w:rsidR="00554169" w:rsidRPr="0054775B" w:rsidRDefault="00554169" w:rsidP="00C571AC">
            <w:pPr>
              <w:pStyle w:val="2024TABLETEXT"/>
              <w:framePr w:hSpace="0" w:wrap="auto" w:vAnchor="margin" w:yAlign="inline"/>
              <w:suppressOverlap w:val="0"/>
            </w:pPr>
          </w:p>
        </w:tc>
        <w:tc>
          <w:tcPr>
            <w:tcW w:w="450" w:type="pct"/>
            <w:tcBorders>
              <w:top w:val="single" w:sz="6" w:space="0" w:color="000000"/>
              <w:left w:val="nil"/>
              <w:bottom w:val="single" w:sz="6" w:space="0" w:color="000000"/>
              <w:right w:val="nil"/>
            </w:tcBorders>
            <w:vAlign w:val="center"/>
          </w:tcPr>
          <w:p w14:paraId="7207FE5D" w14:textId="677D7A55" w:rsidR="00554169" w:rsidRPr="0054775B" w:rsidRDefault="00554169" w:rsidP="00C571AC">
            <w:pPr>
              <w:pStyle w:val="2024TABLETEXT"/>
              <w:framePr w:hSpace="0" w:wrap="auto" w:vAnchor="margin" w:yAlign="inline"/>
              <w:suppressOverlap w:val="0"/>
            </w:pPr>
          </w:p>
        </w:tc>
        <w:tc>
          <w:tcPr>
            <w:tcW w:w="450" w:type="pct"/>
            <w:tcBorders>
              <w:top w:val="single" w:sz="6" w:space="0" w:color="000000"/>
              <w:left w:val="nil"/>
              <w:bottom w:val="single" w:sz="6" w:space="0" w:color="000000"/>
              <w:right w:val="nil"/>
            </w:tcBorders>
            <w:vAlign w:val="center"/>
          </w:tcPr>
          <w:p w14:paraId="37B61F96" w14:textId="77777777" w:rsidR="00554169" w:rsidRPr="0054775B" w:rsidRDefault="00554169" w:rsidP="00C571AC">
            <w:pPr>
              <w:pStyle w:val="2024TABLETEXT"/>
              <w:framePr w:hSpace="0" w:wrap="auto" w:vAnchor="margin" w:yAlign="inline"/>
              <w:suppressOverlap w:val="0"/>
              <w:rPr>
                <w:rStyle w:val="FootnoteReference"/>
                <w:caps/>
                <w:highlight w:val="yellow"/>
              </w:rPr>
            </w:pPr>
          </w:p>
        </w:tc>
        <w:tc>
          <w:tcPr>
            <w:tcW w:w="1350" w:type="pct"/>
            <w:tcBorders>
              <w:top w:val="single" w:sz="6" w:space="0" w:color="000000"/>
              <w:left w:val="nil"/>
              <w:bottom w:val="single" w:sz="6" w:space="0" w:color="000000"/>
              <w:right w:val="nil"/>
            </w:tcBorders>
            <w:vAlign w:val="center"/>
          </w:tcPr>
          <w:p w14:paraId="60E68340" w14:textId="77777777" w:rsidR="00554169" w:rsidRPr="0054775B" w:rsidRDefault="00554169" w:rsidP="00C571AC">
            <w:pPr>
              <w:pStyle w:val="2024TABLETEXT"/>
              <w:framePr w:hSpace="0" w:wrap="auto" w:vAnchor="margin" w:yAlign="inline"/>
              <w:suppressOverlap w:val="0"/>
              <w:rPr>
                <w:highlight w:val="yellow"/>
              </w:rPr>
            </w:pPr>
          </w:p>
        </w:tc>
      </w:tr>
      <w:tr w:rsidR="003E3CB9" w:rsidRPr="0054775B" w14:paraId="7D65F70B" w14:textId="77777777" w:rsidTr="0094609E">
        <w:trPr>
          <w:cantSplit/>
          <w:trHeight w:val="36"/>
        </w:trPr>
        <w:tc>
          <w:tcPr>
            <w:tcW w:w="301" w:type="pct"/>
            <w:vMerge/>
            <w:tcBorders>
              <w:left w:val="nil"/>
              <w:right w:val="nil"/>
            </w:tcBorders>
            <w:vAlign w:val="center"/>
          </w:tcPr>
          <w:p w14:paraId="65B17C20" w14:textId="77777777" w:rsidR="003E3CB9" w:rsidRPr="0054775B" w:rsidRDefault="003E3CB9" w:rsidP="003E3CB9">
            <w:pPr>
              <w:pStyle w:val="2024TABLETEXT"/>
              <w:framePr w:hSpace="0" w:wrap="auto" w:vAnchor="margin" w:yAlign="inline"/>
              <w:suppressOverlap w:val="0"/>
            </w:pPr>
          </w:p>
        </w:tc>
        <w:tc>
          <w:tcPr>
            <w:tcW w:w="1199" w:type="pct"/>
            <w:tcBorders>
              <w:top w:val="single" w:sz="6" w:space="0" w:color="000000"/>
              <w:left w:val="nil"/>
              <w:bottom w:val="single" w:sz="6" w:space="0" w:color="000000"/>
              <w:right w:val="nil"/>
            </w:tcBorders>
            <w:vAlign w:val="center"/>
          </w:tcPr>
          <w:p w14:paraId="7919BCD6" w14:textId="77777777" w:rsidR="003E3CB9" w:rsidRPr="00BA7FA3" w:rsidRDefault="003E3CB9" w:rsidP="003E3CB9">
            <w:pPr>
              <w:pStyle w:val="2024TABLETEXT"/>
              <w:framePr w:hSpace="0" w:wrap="auto" w:vAnchor="margin" w:yAlign="inline"/>
              <w:ind w:left="368"/>
              <w:suppressOverlap w:val="0"/>
              <w:rPr>
                <w:b/>
                <w:bCs/>
              </w:rPr>
            </w:pPr>
            <w:r w:rsidRPr="00BA7FA3">
              <w:rPr>
                <w:b/>
                <w:bCs/>
              </w:rPr>
              <w:t>Fasting blood insulin</w:t>
            </w:r>
          </w:p>
          <w:p w14:paraId="6B6E50AE" w14:textId="598B9ED6" w:rsidR="003E3CB9" w:rsidRPr="00BA7FA3" w:rsidRDefault="003E3CB9" w:rsidP="003E3CB9">
            <w:pPr>
              <w:pStyle w:val="2024TABLETEXT"/>
              <w:framePr w:hSpace="0" w:wrap="auto" w:vAnchor="margin" w:yAlign="inline"/>
              <w:ind w:left="648"/>
              <w:suppressOverlap w:val="0"/>
            </w:pPr>
            <w:r w:rsidRPr="00BA7FA3">
              <w:rPr>
                <w:b/>
                <w:bCs/>
              </w:rPr>
              <w:t>Dose:</w:t>
            </w:r>
            <w:r w:rsidRPr="00BA7FA3">
              <w:t xml:space="preserve">  CoQ10 100-200mg daily for 8 to 12 weeks</w:t>
            </w:r>
          </w:p>
          <w:p w14:paraId="64F3BB94" w14:textId="20F51CE4" w:rsidR="003E3CB9" w:rsidRPr="00BA7FA3" w:rsidRDefault="003E3CB9" w:rsidP="003E3CB9">
            <w:pPr>
              <w:pStyle w:val="2024TABLETEXT"/>
              <w:framePr w:hSpace="0" w:wrap="auto" w:vAnchor="margin" w:yAlign="inline"/>
              <w:ind w:left="648"/>
              <w:suppressOverlap w:val="0"/>
              <w:rPr>
                <w:b/>
                <w:bCs/>
              </w:rPr>
            </w:pPr>
            <w:r w:rsidRPr="00BA7FA3">
              <w:rPr>
                <w:b/>
                <w:bCs/>
              </w:rPr>
              <w:t xml:space="preserve">Follow-up: </w:t>
            </w:r>
            <w:r w:rsidRPr="00BA7FA3">
              <w:t>8 to 12 weeks</w:t>
            </w:r>
          </w:p>
        </w:tc>
        <w:tc>
          <w:tcPr>
            <w:tcW w:w="450" w:type="pct"/>
            <w:tcBorders>
              <w:top w:val="single" w:sz="6" w:space="0" w:color="000000"/>
              <w:left w:val="nil"/>
              <w:bottom w:val="single" w:sz="6" w:space="0" w:color="000000"/>
              <w:right w:val="nil"/>
            </w:tcBorders>
            <w:vAlign w:val="center"/>
          </w:tcPr>
          <w:p w14:paraId="75700271" w14:textId="5A281396" w:rsidR="003E3CB9" w:rsidRPr="00BA7FA3" w:rsidRDefault="003E3CB9" w:rsidP="003E3CB9">
            <w:pPr>
              <w:pStyle w:val="2024TABLETEXT"/>
              <w:framePr w:hSpace="0" w:wrap="auto" w:vAnchor="margin" w:yAlign="inline"/>
              <w:suppressOverlap w:val="0"/>
            </w:pPr>
            <w:r w:rsidRPr="00BA7FA3">
              <w:t>Dludla 2020</w:t>
            </w:r>
          </w:p>
        </w:tc>
        <w:tc>
          <w:tcPr>
            <w:tcW w:w="800" w:type="pct"/>
            <w:tcBorders>
              <w:top w:val="single" w:sz="6" w:space="0" w:color="000000"/>
              <w:left w:val="nil"/>
              <w:bottom w:val="single" w:sz="6" w:space="0" w:color="000000"/>
              <w:right w:val="nil"/>
            </w:tcBorders>
            <w:vAlign w:val="center"/>
          </w:tcPr>
          <w:p w14:paraId="28E0A4AB" w14:textId="2366B69C" w:rsidR="003E3CB9" w:rsidRPr="00BA7FA3" w:rsidRDefault="003E3CB9" w:rsidP="003E3CB9">
            <w:pPr>
              <w:pStyle w:val="2024TABLETEXT"/>
              <w:framePr w:hSpace="0" w:wrap="auto" w:vAnchor="margin" w:yAlign="inline"/>
              <w:suppressOverlap w:val="0"/>
            </w:pPr>
            <w:r w:rsidRPr="00BA7FA3">
              <w:t>SMD = 0.19 (−0.30 to 0.68)^</w:t>
            </w:r>
          </w:p>
        </w:tc>
        <w:tc>
          <w:tcPr>
            <w:tcW w:w="450" w:type="pct"/>
            <w:tcBorders>
              <w:top w:val="single" w:sz="6" w:space="0" w:color="000000"/>
              <w:left w:val="nil"/>
              <w:bottom w:val="single" w:sz="6" w:space="0" w:color="000000"/>
              <w:right w:val="nil"/>
            </w:tcBorders>
            <w:vAlign w:val="center"/>
          </w:tcPr>
          <w:p w14:paraId="4D19EC8B" w14:textId="709070B6" w:rsidR="003E3CB9" w:rsidRPr="00BA7FA3" w:rsidRDefault="003E3CB9" w:rsidP="003E3CB9">
            <w:pPr>
              <w:pStyle w:val="2024TABLETEXT"/>
              <w:framePr w:hSpace="0" w:wrap="auto" w:vAnchor="margin" w:yAlign="inline"/>
              <w:suppressOverlap w:val="0"/>
            </w:pPr>
            <w:r w:rsidRPr="00BA7FA3">
              <w:t>308 (5)</w:t>
            </w:r>
          </w:p>
        </w:tc>
        <w:tc>
          <w:tcPr>
            <w:tcW w:w="450" w:type="pct"/>
            <w:tcBorders>
              <w:top w:val="single" w:sz="6" w:space="0" w:color="000000"/>
              <w:left w:val="nil"/>
              <w:bottom w:val="single" w:sz="6" w:space="0" w:color="000000"/>
              <w:right w:val="nil"/>
            </w:tcBorders>
            <w:vAlign w:val="center"/>
          </w:tcPr>
          <w:p w14:paraId="769461B7" w14:textId="0763FB91" w:rsidR="003E3CB9" w:rsidRPr="001428E8" w:rsidRDefault="003E3CB9" w:rsidP="003E3CB9">
            <w:pPr>
              <w:pStyle w:val="2024TABLETEXT"/>
              <w:framePr w:hSpace="0" w:wrap="auto" w:vAnchor="margin" w:yAlign="inline"/>
              <w:suppressOverlap w:val="0"/>
              <w:rPr>
                <w:rStyle w:val="FootnoteReference"/>
                <w:caps/>
              </w:rPr>
            </w:pPr>
            <w:r w:rsidRPr="00BA7FA3">
              <w:rPr>
                <w:rFonts w:ascii="Cambria Math" w:hAnsi="Cambria Math" w:cs="Cambria Math"/>
                <w:sz w:val="22"/>
                <w:szCs w:val="22"/>
              </w:rPr>
              <w:t>⨁</w:t>
            </w:r>
            <w:r w:rsidRPr="00BA7FA3">
              <w:rPr>
                <w:rFonts w:ascii="Segoe UI Symbol" w:hAnsi="Segoe UI Symbol" w:cs="Segoe UI Symbol"/>
              </w:rPr>
              <w:t>◯◯◯</w:t>
            </w:r>
            <w:r w:rsidRPr="00BA7FA3">
              <w:br/>
              <w:t>VERY LOW</w:t>
            </w:r>
            <w:r w:rsidRPr="00CD4FE9">
              <w:rPr>
                <w:vertAlign w:val="superscript"/>
              </w:rPr>
              <w:t>a</w:t>
            </w:r>
          </w:p>
        </w:tc>
        <w:tc>
          <w:tcPr>
            <w:tcW w:w="1350" w:type="pct"/>
            <w:tcBorders>
              <w:top w:val="single" w:sz="6" w:space="0" w:color="000000"/>
              <w:left w:val="nil"/>
              <w:bottom w:val="single" w:sz="6" w:space="0" w:color="000000"/>
              <w:right w:val="nil"/>
            </w:tcBorders>
            <w:vAlign w:val="center"/>
          </w:tcPr>
          <w:p w14:paraId="0308F334" w14:textId="1885D9CD" w:rsidR="003E3CB9" w:rsidRPr="00BA7FA3" w:rsidRDefault="003E3CB9" w:rsidP="003E3CB9">
            <w:pPr>
              <w:pStyle w:val="2024TABLETEXT"/>
              <w:framePr w:hSpace="0" w:wrap="auto" w:vAnchor="margin" w:yAlign="inline"/>
              <w:suppressOverlap w:val="0"/>
            </w:pPr>
            <w:r w:rsidRPr="00BA7FA3">
              <w:t>The evidence is very uncertain about the effect of antioxidants on fasting blood insulin</w:t>
            </w:r>
          </w:p>
          <w:p w14:paraId="3575A5CA" w14:textId="4DE3C4E6" w:rsidR="003E3CB9" w:rsidRPr="001428E8" w:rsidRDefault="003E3CB9" w:rsidP="003E3CB9">
            <w:pPr>
              <w:pStyle w:val="2024TABLETEXT"/>
              <w:framePr w:hSpace="0" w:wrap="auto" w:vAnchor="margin" w:yAlign="inline"/>
              <w:suppressOverlap w:val="0"/>
            </w:pPr>
            <w:r w:rsidRPr="00BA7FA3">
              <w:t>in T2DM.</w:t>
            </w:r>
          </w:p>
        </w:tc>
      </w:tr>
      <w:tr w:rsidR="00416385" w:rsidRPr="0054775B" w14:paraId="13BA909C" w14:textId="77777777" w:rsidTr="0094609E">
        <w:trPr>
          <w:cantSplit/>
          <w:trHeight w:val="36"/>
        </w:trPr>
        <w:tc>
          <w:tcPr>
            <w:tcW w:w="301" w:type="pct"/>
            <w:vMerge/>
            <w:tcBorders>
              <w:left w:val="nil"/>
              <w:right w:val="nil"/>
            </w:tcBorders>
            <w:vAlign w:val="center"/>
          </w:tcPr>
          <w:p w14:paraId="484F44EA" w14:textId="77777777" w:rsidR="00554169" w:rsidRPr="0054775B" w:rsidRDefault="00554169" w:rsidP="000F23E1">
            <w:pPr>
              <w:pStyle w:val="2024TABLETEXT"/>
              <w:framePr w:hSpace="0" w:wrap="auto" w:vAnchor="margin" w:yAlign="inline"/>
              <w:suppressOverlap w:val="0"/>
            </w:pPr>
          </w:p>
        </w:tc>
        <w:tc>
          <w:tcPr>
            <w:tcW w:w="1199" w:type="pct"/>
            <w:tcBorders>
              <w:top w:val="single" w:sz="6" w:space="0" w:color="000000"/>
              <w:left w:val="nil"/>
              <w:bottom w:val="single" w:sz="6" w:space="0" w:color="000000"/>
              <w:right w:val="nil"/>
            </w:tcBorders>
            <w:vAlign w:val="center"/>
          </w:tcPr>
          <w:p w14:paraId="31240955" w14:textId="77777777" w:rsidR="00554169" w:rsidRPr="00BA7FA3" w:rsidRDefault="00554169" w:rsidP="007B61AE">
            <w:pPr>
              <w:pStyle w:val="2024TABLETEXT"/>
              <w:framePr w:hSpace="0" w:wrap="auto" w:vAnchor="margin" w:yAlign="inline"/>
              <w:ind w:left="368"/>
              <w:suppressOverlap w:val="0"/>
              <w:rPr>
                <w:b/>
                <w:bCs/>
              </w:rPr>
            </w:pPr>
            <w:r w:rsidRPr="00BA7FA3">
              <w:rPr>
                <w:b/>
                <w:bCs/>
              </w:rPr>
              <w:t>Fasting blood glucose</w:t>
            </w:r>
          </w:p>
          <w:p w14:paraId="4E86DA98" w14:textId="6864B602" w:rsidR="00974F09" w:rsidRPr="00BA7FA3" w:rsidRDefault="00974F09" w:rsidP="00974F09">
            <w:pPr>
              <w:pStyle w:val="2024TABLETEXT"/>
              <w:framePr w:hSpace="0" w:wrap="auto" w:vAnchor="margin" w:yAlign="inline"/>
              <w:ind w:left="648"/>
              <w:suppressOverlap w:val="0"/>
            </w:pPr>
            <w:r w:rsidRPr="00BA7FA3">
              <w:rPr>
                <w:b/>
                <w:bCs/>
              </w:rPr>
              <w:t>Dose:</w:t>
            </w:r>
            <w:r w:rsidRPr="00BA7FA3">
              <w:t xml:space="preserve">  ALA </w:t>
            </w:r>
            <w:r w:rsidR="00DA06C0" w:rsidRPr="00BA7FA3">
              <w:t>2</w:t>
            </w:r>
            <w:r w:rsidRPr="00BA7FA3">
              <w:t>00-</w:t>
            </w:r>
            <w:r w:rsidR="00DA06C0" w:rsidRPr="00BA7FA3">
              <w:t>1</w:t>
            </w:r>
            <w:r w:rsidRPr="00BA7FA3">
              <w:t xml:space="preserve">200mg daily for </w:t>
            </w:r>
            <w:r w:rsidR="00A27110" w:rsidRPr="00BA7FA3">
              <w:t>8</w:t>
            </w:r>
            <w:r w:rsidRPr="00BA7FA3">
              <w:t xml:space="preserve"> to </w:t>
            </w:r>
            <w:r w:rsidR="00A27110" w:rsidRPr="00BA7FA3">
              <w:t>26</w:t>
            </w:r>
            <w:r w:rsidRPr="00BA7FA3">
              <w:t xml:space="preserve"> weeks</w:t>
            </w:r>
          </w:p>
          <w:p w14:paraId="2413A1EC" w14:textId="5FF77214" w:rsidR="00974F09" w:rsidRPr="00BA7FA3" w:rsidRDefault="00974F09" w:rsidP="000E29A4">
            <w:pPr>
              <w:pStyle w:val="2024TABLETEXT"/>
              <w:framePr w:hSpace="0" w:wrap="auto" w:vAnchor="margin" w:yAlign="inline"/>
              <w:ind w:left="648"/>
              <w:suppressOverlap w:val="0"/>
              <w:rPr>
                <w:b/>
                <w:bCs/>
              </w:rPr>
            </w:pPr>
            <w:r w:rsidRPr="00BA7FA3">
              <w:rPr>
                <w:b/>
                <w:bCs/>
              </w:rPr>
              <w:t xml:space="preserve">Follow-up: </w:t>
            </w:r>
            <w:r w:rsidR="00A27110" w:rsidRPr="00BA7FA3">
              <w:t>8</w:t>
            </w:r>
            <w:r w:rsidRPr="00BA7FA3">
              <w:t xml:space="preserve"> to </w:t>
            </w:r>
            <w:r w:rsidR="00A27110" w:rsidRPr="00BA7FA3">
              <w:t>26</w:t>
            </w:r>
            <w:r w:rsidRPr="00BA7FA3">
              <w:t xml:space="preserve"> weeks</w:t>
            </w:r>
          </w:p>
        </w:tc>
        <w:tc>
          <w:tcPr>
            <w:tcW w:w="450" w:type="pct"/>
            <w:tcBorders>
              <w:top w:val="single" w:sz="6" w:space="0" w:color="000000"/>
              <w:left w:val="nil"/>
              <w:bottom w:val="single" w:sz="6" w:space="0" w:color="000000"/>
              <w:right w:val="nil"/>
            </w:tcBorders>
            <w:vAlign w:val="center"/>
          </w:tcPr>
          <w:p w14:paraId="20379734" w14:textId="62AF1745" w:rsidR="00554169" w:rsidRPr="00BA7FA3" w:rsidRDefault="00554169" w:rsidP="000F23E1">
            <w:pPr>
              <w:pStyle w:val="2024TABLETEXT"/>
              <w:framePr w:hSpace="0" w:wrap="auto" w:vAnchor="margin" w:yAlign="inline"/>
              <w:suppressOverlap w:val="0"/>
              <w:rPr>
                <w:rFonts w:eastAsia="Calibri"/>
              </w:rPr>
            </w:pPr>
            <w:r w:rsidRPr="00BA7FA3">
              <w:t>Jibril 2022</w:t>
            </w:r>
          </w:p>
        </w:tc>
        <w:tc>
          <w:tcPr>
            <w:tcW w:w="800" w:type="pct"/>
            <w:tcBorders>
              <w:top w:val="single" w:sz="6" w:space="0" w:color="000000"/>
              <w:left w:val="nil"/>
              <w:bottom w:val="single" w:sz="6" w:space="0" w:color="000000"/>
              <w:right w:val="nil"/>
            </w:tcBorders>
            <w:vAlign w:val="center"/>
          </w:tcPr>
          <w:p w14:paraId="28A4CAFD" w14:textId="450FCA88" w:rsidR="00554169" w:rsidRPr="00BA7FA3" w:rsidRDefault="00554169" w:rsidP="000F23E1">
            <w:pPr>
              <w:pStyle w:val="2024TABLETEXT"/>
              <w:framePr w:hSpace="0" w:wrap="auto" w:vAnchor="margin" w:yAlign="inline"/>
              <w:suppressOverlap w:val="0"/>
            </w:pPr>
            <w:r w:rsidRPr="00BA7FA3">
              <w:t>MD = −6.08 mg/dL (−9.74</w:t>
            </w:r>
            <w:r w:rsidR="00326691" w:rsidRPr="00BA7FA3">
              <w:t xml:space="preserve"> to</w:t>
            </w:r>
            <w:r w:rsidRPr="00BA7FA3">
              <w:t xml:space="preserve"> −2.42)</w:t>
            </w:r>
            <w:r w:rsidR="005617C5" w:rsidRPr="00BA7FA3">
              <w:t>#</w:t>
            </w:r>
          </w:p>
        </w:tc>
        <w:tc>
          <w:tcPr>
            <w:tcW w:w="450" w:type="pct"/>
            <w:tcBorders>
              <w:top w:val="single" w:sz="6" w:space="0" w:color="000000"/>
              <w:left w:val="nil"/>
              <w:bottom w:val="single" w:sz="6" w:space="0" w:color="000000"/>
              <w:right w:val="nil"/>
            </w:tcBorders>
            <w:vAlign w:val="center"/>
          </w:tcPr>
          <w:p w14:paraId="550C1710" w14:textId="05E4EB17" w:rsidR="00554169" w:rsidRPr="00BA7FA3" w:rsidRDefault="00554169" w:rsidP="000F23E1">
            <w:pPr>
              <w:pStyle w:val="2024TABLETEXT"/>
              <w:framePr w:hSpace="0" w:wrap="auto" w:vAnchor="margin" w:yAlign="inline"/>
              <w:suppressOverlap w:val="0"/>
            </w:pPr>
            <w:r w:rsidRPr="00BA7FA3">
              <w:t>620 (9)</w:t>
            </w:r>
          </w:p>
        </w:tc>
        <w:tc>
          <w:tcPr>
            <w:tcW w:w="450" w:type="pct"/>
            <w:tcBorders>
              <w:top w:val="single" w:sz="6" w:space="0" w:color="000000"/>
              <w:left w:val="nil"/>
              <w:bottom w:val="single" w:sz="6" w:space="0" w:color="000000"/>
              <w:right w:val="nil"/>
            </w:tcBorders>
            <w:vAlign w:val="center"/>
          </w:tcPr>
          <w:p w14:paraId="4BDDA1C5" w14:textId="0B3A48BA" w:rsidR="00554169" w:rsidRPr="001428E8" w:rsidRDefault="00554169" w:rsidP="000F23E1">
            <w:pPr>
              <w:pStyle w:val="2024TABLETEXT"/>
              <w:framePr w:hSpace="0" w:wrap="auto" w:vAnchor="margin" w:yAlign="inline"/>
              <w:suppressOverlap w:val="0"/>
              <w:rPr>
                <w:rStyle w:val="FootnoteReference"/>
                <w:caps/>
              </w:rPr>
            </w:pPr>
            <w:r w:rsidRPr="00BA7FA3">
              <w:rPr>
                <w:rFonts w:ascii="Cambria Math" w:hAnsi="Cambria Math" w:cs="Cambria Math"/>
                <w:sz w:val="22"/>
                <w:szCs w:val="22"/>
              </w:rPr>
              <w:t>⨁⨁</w:t>
            </w:r>
            <w:r w:rsidR="00EA0241" w:rsidRPr="00BA7FA3">
              <w:rPr>
                <w:rFonts w:ascii="Cambria Math" w:hAnsi="Cambria Math" w:cs="Cambria Math"/>
                <w:sz w:val="22"/>
                <w:szCs w:val="22"/>
              </w:rPr>
              <w:t>⨁</w:t>
            </w:r>
            <w:r w:rsidRPr="00BA7FA3">
              <w:rPr>
                <w:rFonts w:ascii="Segoe UI Symbol" w:hAnsi="Segoe UI Symbol" w:cs="Segoe UI Symbol"/>
              </w:rPr>
              <w:t>◯</w:t>
            </w:r>
            <w:r w:rsidRPr="00BA7FA3">
              <w:br/>
            </w:r>
            <w:r w:rsidR="00EA0241" w:rsidRPr="00BA7FA3">
              <w:t>MODERATE</w:t>
            </w:r>
            <w:r w:rsidRPr="00BA7FA3">
              <w:rPr>
                <w:vertAlign w:val="superscript"/>
              </w:rPr>
              <w:t>b</w:t>
            </w:r>
          </w:p>
        </w:tc>
        <w:tc>
          <w:tcPr>
            <w:tcW w:w="1350" w:type="pct"/>
            <w:tcBorders>
              <w:top w:val="single" w:sz="6" w:space="0" w:color="000000"/>
              <w:left w:val="nil"/>
              <w:bottom w:val="single" w:sz="6" w:space="0" w:color="000000"/>
              <w:right w:val="nil"/>
            </w:tcBorders>
            <w:vAlign w:val="center"/>
          </w:tcPr>
          <w:p w14:paraId="1093DE0F" w14:textId="5038FBCE" w:rsidR="00554169" w:rsidRPr="001428E8" w:rsidRDefault="00554169" w:rsidP="000F23E1">
            <w:pPr>
              <w:pStyle w:val="2024TABLETEXT"/>
              <w:framePr w:hSpace="0" w:wrap="auto" w:vAnchor="margin" w:yAlign="inline"/>
              <w:suppressOverlap w:val="0"/>
            </w:pPr>
            <w:r w:rsidRPr="00BA7FA3">
              <w:t xml:space="preserve">Antioxidants </w:t>
            </w:r>
            <w:r w:rsidR="00131CFE" w:rsidRPr="00BA7FA3">
              <w:t xml:space="preserve">probably </w:t>
            </w:r>
            <w:r w:rsidR="0074112C" w:rsidRPr="00BA7FA3">
              <w:t>result in little to no difference</w:t>
            </w:r>
            <w:r w:rsidRPr="00BA7FA3" w:rsidDel="0074112C">
              <w:t xml:space="preserve"> </w:t>
            </w:r>
            <w:r w:rsidRPr="00BA7FA3">
              <w:t>in fasting blood glucose in T2DM.</w:t>
            </w:r>
          </w:p>
        </w:tc>
      </w:tr>
      <w:tr w:rsidR="00416385" w:rsidRPr="0054775B" w14:paraId="77F9213E" w14:textId="77777777" w:rsidTr="0094609E">
        <w:trPr>
          <w:cantSplit/>
          <w:trHeight w:val="36"/>
        </w:trPr>
        <w:tc>
          <w:tcPr>
            <w:tcW w:w="301" w:type="pct"/>
            <w:vMerge/>
            <w:tcBorders>
              <w:left w:val="nil"/>
              <w:right w:val="nil"/>
            </w:tcBorders>
            <w:vAlign w:val="center"/>
          </w:tcPr>
          <w:p w14:paraId="2B298CEC" w14:textId="77777777" w:rsidR="00554169" w:rsidRPr="0054775B" w:rsidRDefault="00554169" w:rsidP="000F23E1">
            <w:pPr>
              <w:pStyle w:val="2024TABLETEXT"/>
              <w:framePr w:hSpace="0" w:wrap="auto" w:vAnchor="margin" w:yAlign="inline"/>
              <w:suppressOverlap w:val="0"/>
            </w:pPr>
          </w:p>
        </w:tc>
        <w:tc>
          <w:tcPr>
            <w:tcW w:w="1199" w:type="pct"/>
            <w:tcBorders>
              <w:top w:val="single" w:sz="6" w:space="0" w:color="000000"/>
              <w:left w:val="nil"/>
              <w:bottom w:val="single" w:sz="6" w:space="0" w:color="000000"/>
              <w:right w:val="nil"/>
            </w:tcBorders>
            <w:vAlign w:val="center"/>
          </w:tcPr>
          <w:p w14:paraId="358E201C" w14:textId="33D8E6B8" w:rsidR="00554169" w:rsidRPr="00BA7FA3" w:rsidRDefault="00554169" w:rsidP="007B61AE">
            <w:pPr>
              <w:pStyle w:val="2024TABLETEXT"/>
              <w:framePr w:hSpace="0" w:wrap="auto" w:vAnchor="margin" w:yAlign="inline"/>
              <w:ind w:left="368"/>
              <w:suppressOverlap w:val="0"/>
              <w:rPr>
                <w:b/>
                <w:bCs/>
              </w:rPr>
            </w:pPr>
            <w:r w:rsidRPr="00BA7FA3">
              <w:rPr>
                <w:b/>
                <w:bCs/>
              </w:rPr>
              <w:t>Hb1AC</w:t>
            </w:r>
          </w:p>
          <w:p w14:paraId="28729948" w14:textId="3D5FF381" w:rsidR="000E29A4" w:rsidRPr="00BA7FA3" w:rsidRDefault="000E29A4" w:rsidP="000E29A4">
            <w:pPr>
              <w:pStyle w:val="2024TABLETEXT"/>
              <w:framePr w:hSpace="0" w:wrap="auto" w:vAnchor="margin" w:yAlign="inline"/>
              <w:ind w:left="648"/>
              <w:suppressOverlap w:val="0"/>
            </w:pPr>
            <w:r w:rsidRPr="00BA7FA3">
              <w:rPr>
                <w:b/>
                <w:bCs/>
              </w:rPr>
              <w:t>Dose:</w:t>
            </w:r>
            <w:r w:rsidRPr="00BA7FA3">
              <w:t xml:space="preserve">  ALA </w:t>
            </w:r>
            <w:r w:rsidR="0026067D" w:rsidRPr="00BA7FA3">
              <w:t>57</w:t>
            </w:r>
            <w:r w:rsidRPr="00BA7FA3">
              <w:t>0-</w:t>
            </w:r>
            <w:r w:rsidR="0026067D" w:rsidRPr="00BA7FA3">
              <w:t>8</w:t>
            </w:r>
            <w:r w:rsidRPr="00BA7FA3">
              <w:t xml:space="preserve">00mg daily for </w:t>
            </w:r>
            <w:r w:rsidR="00D64519" w:rsidRPr="00BA7FA3">
              <w:t>12</w:t>
            </w:r>
            <w:r w:rsidRPr="00BA7FA3">
              <w:t xml:space="preserve"> to </w:t>
            </w:r>
            <w:r w:rsidR="00D64519" w:rsidRPr="00BA7FA3">
              <w:t xml:space="preserve">52 </w:t>
            </w:r>
            <w:r w:rsidRPr="00BA7FA3">
              <w:t>weeks</w:t>
            </w:r>
          </w:p>
          <w:p w14:paraId="740FFFCA" w14:textId="0F9416FC" w:rsidR="000E29A4" w:rsidRPr="00BA7FA3" w:rsidRDefault="000E29A4" w:rsidP="000E29A4">
            <w:pPr>
              <w:pStyle w:val="2024TABLETEXT"/>
              <w:framePr w:hSpace="0" w:wrap="auto" w:vAnchor="margin" w:yAlign="inline"/>
              <w:ind w:left="648"/>
              <w:suppressOverlap w:val="0"/>
              <w:rPr>
                <w:b/>
                <w:bCs/>
              </w:rPr>
            </w:pPr>
            <w:r w:rsidRPr="00BA7FA3">
              <w:rPr>
                <w:b/>
                <w:bCs/>
              </w:rPr>
              <w:t xml:space="preserve">Follow-up: </w:t>
            </w:r>
            <w:r w:rsidR="00E52324" w:rsidRPr="00BA7FA3">
              <w:t>4</w:t>
            </w:r>
            <w:r w:rsidRPr="00BA7FA3">
              <w:t xml:space="preserve"> to 52 weeks</w:t>
            </w:r>
          </w:p>
        </w:tc>
        <w:tc>
          <w:tcPr>
            <w:tcW w:w="450" w:type="pct"/>
            <w:tcBorders>
              <w:top w:val="single" w:sz="6" w:space="0" w:color="000000"/>
              <w:left w:val="nil"/>
              <w:bottom w:val="single" w:sz="6" w:space="0" w:color="000000"/>
              <w:right w:val="nil"/>
            </w:tcBorders>
            <w:vAlign w:val="center"/>
          </w:tcPr>
          <w:p w14:paraId="24D4E238" w14:textId="1CDB7491" w:rsidR="00554169" w:rsidRPr="00BA7FA3" w:rsidRDefault="00554169" w:rsidP="000F23E1">
            <w:pPr>
              <w:pStyle w:val="2024TABLETEXT"/>
              <w:framePr w:hSpace="0" w:wrap="auto" w:vAnchor="margin" w:yAlign="inline"/>
              <w:suppressOverlap w:val="0"/>
              <w:rPr>
                <w:rFonts w:eastAsia="Calibri"/>
              </w:rPr>
            </w:pPr>
            <w:r w:rsidRPr="00BA7FA3">
              <w:t>Jibril 2022</w:t>
            </w:r>
          </w:p>
        </w:tc>
        <w:tc>
          <w:tcPr>
            <w:tcW w:w="800" w:type="pct"/>
            <w:tcBorders>
              <w:top w:val="single" w:sz="6" w:space="0" w:color="000000"/>
              <w:left w:val="nil"/>
              <w:bottom w:val="single" w:sz="6" w:space="0" w:color="000000"/>
              <w:right w:val="nil"/>
            </w:tcBorders>
            <w:vAlign w:val="center"/>
          </w:tcPr>
          <w:p w14:paraId="0756554C" w14:textId="2C751E08" w:rsidR="00554169" w:rsidRPr="00BA7FA3" w:rsidRDefault="00554169" w:rsidP="000F23E1">
            <w:pPr>
              <w:pStyle w:val="2024TABLETEXT"/>
              <w:framePr w:hSpace="0" w:wrap="auto" w:vAnchor="margin" w:yAlign="inline"/>
              <w:suppressOverlap w:val="0"/>
            </w:pPr>
            <w:r w:rsidRPr="00BA7FA3">
              <w:t>MD</w:t>
            </w:r>
            <w:r w:rsidR="00416385" w:rsidRPr="00BA7FA3">
              <w:t xml:space="preserve"> = </w:t>
            </w:r>
            <w:r w:rsidRPr="00BA7FA3">
              <w:t>–0.17% (−0.30</w:t>
            </w:r>
            <w:r w:rsidR="00326691" w:rsidRPr="00BA7FA3">
              <w:t xml:space="preserve"> to</w:t>
            </w:r>
            <w:r w:rsidRPr="00BA7FA3">
              <w:t xml:space="preserve"> −0.05)</w:t>
            </w:r>
            <w:r w:rsidR="005617C5" w:rsidRPr="00BA7FA3">
              <w:t>#</w:t>
            </w:r>
          </w:p>
        </w:tc>
        <w:tc>
          <w:tcPr>
            <w:tcW w:w="450" w:type="pct"/>
            <w:tcBorders>
              <w:top w:val="single" w:sz="6" w:space="0" w:color="000000"/>
              <w:left w:val="nil"/>
              <w:bottom w:val="single" w:sz="6" w:space="0" w:color="000000"/>
              <w:right w:val="nil"/>
            </w:tcBorders>
            <w:vAlign w:val="center"/>
          </w:tcPr>
          <w:p w14:paraId="161308CC" w14:textId="305DFC16" w:rsidR="00554169" w:rsidRPr="00BA7FA3" w:rsidRDefault="00554169" w:rsidP="000F23E1">
            <w:pPr>
              <w:pStyle w:val="2024TABLETEXT"/>
              <w:framePr w:hSpace="0" w:wrap="auto" w:vAnchor="margin" w:yAlign="inline"/>
              <w:suppressOverlap w:val="0"/>
            </w:pPr>
            <w:r w:rsidRPr="00BA7FA3">
              <w:t>782 (11)</w:t>
            </w:r>
          </w:p>
        </w:tc>
        <w:tc>
          <w:tcPr>
            <w:tcW w:w="450" w:type="pct"/>
            <w:tcBorders>
              <w:top w:val="single" w:sz="6" w:space="0" w:color="000000"/>
              <w:left w:val="nil"/>
              <w:bottom w:val="single" w:sz="6" w:space="0" w:color="000000"/>
              <w:right w:val="nil"/>
            </w:tcBorders>
            <w:vAlign w:val="center"/>
          </w:tcPr>
          <w:p w14:paraId="734538D2" w14:textId="70FECE53" w:rsidR="00554169" w:rsidRPr="001428E8" w:rsidRDefault="00554169" w:rsidP="000F23E1">
            <w:pPr>
              <w:pStyle w:val="2024TABLETEXT"/>
              <w:framePr w:hSpace="0" w:wrap="auto" w:vAnchor="margin" w:yAlign="inline"/>
              <w:suppressOverlap w:val="0"/>
              <w:rPr>
                <w:rStyle w:val="FootnoteReference"/>
                <w:caps/>
              </w:rPr>
            </w:pPr>
            <w:r w:rsidRPr="00BA7FA3">
              <w:rPr>
                <w:rFonts w:ascii="Cambria Math" w:hAnsi="Cambria Math" w:cs="Cambria Math"/>
                <w:sz w:val="22"/>
                <w:szCs w:val="22"/>
              </w:rPr>
              <w:t>⨁⨁⨁</w:t>
            </w:r>
            <w:r w:rsidRPr="00BA7FA3">
              <w:rPr>
                <w:rFonts w:ascii="Segoe UI Symbol" w:hAnsi="Segoe UI Symbol" w:cs="Segoe UI Symbol"/>
              </w:rPr>
              <w:t>◯</w:t>
            </w:r>
            <w:r w:rsidRPr="00BA7FA3">
              <w:br/>
              <w:t>MODERATE</w:t>
            </w:r>
            <w:r w:rsidRPr="00BA7FA3">
              <w:rPr>
                <w:vertAlign w:val="superscript"/>
              </w:rPr>
              <w:t>c</w:t>
            </w:r>
          </w:p>
        </w:tc>
        <w:tc>
          <w:tcPr>
            <w:tcW w:w="1350" w:type="pct"/>
            <w:tcBorders>
              <w:top w:val="single" w:sz="6" w:space="0" w:color="000000"/>
              <w:left w:val="nil"/>
              <w:bottom w:val="single" w:sz="6" w:space="0" w:color="000000"/>
              <w:right w:val="nil"/>
            </w:tcBorders>
            <w:vAlign w:val="center"/>
          </w:tcPr>
          <w:p w14:paraId="41A1D1C4" w14:textId="17CB3DB2" w:rsidR="00554169" w:rsidRPr="001428E8" w:rsidRDefault="00554169" w:rsidP="000F23E1">
            <w:pPr>
              <w:pStyle w:val="2024TABLETEXT"/>
              <w:framePr w:hSpace="0" w:wrap="auto" w:vAnchor="margin" w:yAlign="inline"/>
              <w:suppressOverlap w:val="0"/>
            </w:pPr>
            <w:r w:rsidRPr="00BA7FA3">
              <w:t xml:space="preserve">Antioxidants probably </w:t>
            </w:r>
            <w:r w:rsidRPr="00BA7FA3" w:rsidDel="006D37A3">
              <w:t xml:space="preserve">result </w:t>
            </w:r>
            <w:r w:rsidR="006D37A3" w:rsidRPr="00BA7FA3">
              <w:t xml:space="preserve">in little to no difference </w:t>
            </w:r>
            <w:r w:rsidRPr="00BA7FA3">
              <w:t>in Hb1AC levels in T2DM.</w:t>
            </w:r>
          </w:p>
        </w:tc>
      </w:tr>
      <w:tr w:rsidR="008069E9" w:rsidRPr="0054775B" w14:paraId="0EDC7AC4" w14:textId="77777777" w:rsidTr="0094609E">
        <w:trPr>
          <w:cantSplit/>
          <w:trHeight w:val="36"/>
        </w:trPr>
        <w:tc>
          <w:tcPr>
            <w:tcW w:w="301" w:type="pct"/>
            <w:vMerge/>
            <w:tcBorders>
              <w:left w:val="nil"/>
              <w:right w:val="nil"/>
            </w:tcBorders>
            <w:vAlign w:val="center"/>
          </w:tcPr>
          <w:p w14:paraId="66220E5D" w14:textId="77777777" w:rsidR="008069E9" w:rsidRPr="0054775B" w:rsidRDefault="008069E9" w:rsidP="008069E9">
            <w:pPr>
              <w:pStyle w:val="2024TABLETEXT"/>
              <w:framePr w:hSpace="0" w:wrap="auto" w:vAnchor="margin" w:yAlign="inline"/>
              <w:suppressOverlap w:val="0"/>
            </w:pPr>
          </w:p>
        </w:tc>
        <w:tc>
          <w:tcPr>
            <w:tcW w:w="1199" w:type="pct"/>
            <w:tcBorders>
              <w:top w:val="single" w:sz="6" w:space="0" w:color="000000"/>
              <w:left w:val="nil"/>
              <w:bottom w:val="single" w:sz="6" w:space="0" w:color="000000"/>
              <w:right w:val="nil"/>
            </w:tcBorders>
            <w:vAlign w:val="center"/>
          </w:tcPr>
          <w:p w14:paraId="1AE12491" w14:textId="77777777" w:rsidR="008069E9" w:rsidRPr="00BA7FA3" w:rsidRDefault="008069E9" w:rsidP="008069E9">
            <w:pPr>
              <w:pStyle w:val="2024TABLETEXT"/>
              <w:framePr w:hSpace="0" w:wrap="auto" w:vAnchor="margin" w:yAlign="inline"/>
              <w:ind w:left="368"/>
              <w:suppressOverlap w:val="0"/>
              <w:rPr>
                <w:b/>
                <w:bCs/>
              </w:rPr>
            </w:pPr>
            <w:r w:rsidRPr="00BA7FA3">
              <w:rPr>
                <w:b/>
                <w:bCs/>
              </w:rPr>
              <w:t>HOMA-IR</w:t>
            </w:r>
          </w:p>
          <w:p w14:paraId="6207C2AB" w14:textId="608932D2" w:rsidR="005E6F7A" w:rsidRPr="00BA7FA3" w:rsidRDefault="005E6F7A" w:rsidP="005E6F7A">
            <w:pPr>
              <w:pStyle w:val="2024TABLETEXT"/>
              <w:framePr w:hSpace="0" w:wrap="auto" w:vAnchor="margin" w:yAlign="inline"/>
              <w:ind w:left="648"/>
              <w:suppressOverlap w:val="0"/>
            </w:pPr>
            <w:r w:rsidRPr="00BA7FA3">
              <w:rPr>
                <w:b/>
                <w:bCs/>
              </w:rPr>
              <w:t>Dose:</w:t>
            </w:r>
            <w:r w:rsidRPr="00BA7FA3">
              <w:t xml:space="preserve">  CoQ10 100-200mg daily for 8 to 24 weeks</w:t>
            </w:r>
          </w:p>
          <w:p w14:paraId="438DF069" w14:textId="742AA39D" w:rsidR="006649C4" w:rsidRPr="00BA7FA3" w:rsidRDefault="005E6F7A" w:rsidP="005E6F7A">
            <w:pPr>
              <w:pStyle w:val="2024TABLETEXT"/>
              <w:framePr w:hSpace="0" w:wrap="auto" w:vAnchor="margin" w:yAlign="inline"/>
              <w:ind w:left="648"/>
              <w:suppressOverlap w:val="0"/>
              <w:rPr>
                <w:b/>
                <w:bCs/>
              </w:rPr>
            </w:pPr>
            <w:r w:rsidRPr="00BA7FA3">
              <w:rPr>
                <w:b/>
                <w:bCs/>
              </w:rPr>
              <w:t xml:space="preserve">Follow-up: </w:t>
            </w:r>
            <w:r w:rsidRPr="00BA7FA3">
              <w:t>8 to 24 weeks</w:t>
            </w:r>
          </w:p>
        </w:tc>
        <w:tc>
          <w:tcPr>
            <w:tcW w:w="450" w:type="pct"/>
            <w:tcBorders>
              <w:top w:val="single" w:sz="6" w:space="0" w:color="000000"/>
              <w:left w:val="nil"/>
              <w:bottom w:val="single" w:sz="6" w:space="0" w:color="000000"/>
              <w:right w:val="nil"/>
            </w:tcBorders>
            <w:vAlign w:val="center"/>
          </w:tcPr>
          <w:p w14:paraId="374CB1D4" w14:textId="53141777" w:rsidR="008069E9" w:rsidRPr="00BA7FA3" w:rsidRDefault="008069E9" w:rsidP="008069E9">
            <w:pPr>
              <w:pStyle w:val="2024TABLETEXT"/>
              <w:framePr w:hSpace="0" w:wrap="auto" w:vAnchor="margin" w:yAlign="inline"/>
              <w:suppressOverlap w:val="0"/>
              <w:rPr>
                <w:rFonts w:eastAsia="Calibri"/>
              </w:rPr>
            </w:pPr>
            <w:r w:rsidRPr="00BA7FA3">
              <w:t>Kim 2022</w:t>
            </w:r>
          </w:p>
        </w:tc>
        <w:tc>
          <w:tcPr>
            <w:tcW w:w="800" w:type="pct"/>
            <w:tcBorders>
              <w:top w:val="single" w:sz="6" w:space="0" w:color="000000"/>
              <w:left w:val="nil"/>
              <w:bottom w:val="single" w:sz="6" w:space="0" w:color="000000"/>
              <w:right w:val="nil"/>
            </w:tcBorders>
            <w:vAlign w:val="center"/>
          </w:tcPr>
          <w:p w14:paraId="6CDDB2FA" w14:textId="052FDC87" w:rsidR="008069E9" w:rsidRPr="00BA7FA3" w:rsidRDefault="008069E9" w:rsidP="008069E9">
            <w:pPr>
              <w:pStyle w:val="2024TABLETEXT"/>
              <w:framePr w:hSpace="0" w:wrap="auto" w:vAnchor="margin" w:yAlign="inline"/>
              <w:suppressOverlap w:val="0"/>
            </w:pPr>
            <w:r w:rsidRPr="00BA7FA3">
              <w:t>MD = −0.83; (−2.12</w:t>
            </w:r>
            <w:r w:rsidR="00326691" w:rsidRPr="00BA7FA3">
              <w:t xml:space="preserve"> to</w:t>
            </w:r>
            <w:r w:rsidRPr="00BA7FA3">
              <w:t xml:space="preserve"> 0.47)</w:t>
            </w:r>
            <w:r w:rsidR="00A637C8" w:rsidRPr="00BA7FA3">
              <w:t>#</w:t>
            </w:r>
          </w:p>
        </w:tc>
        <w:tc>
          <w:tcPr>
            <w:tcW w:w="450" w:type="pct"/>
            <w:tcBorders>
              <w:top w:val="single" w:sz="6" w:space="0" w:color="000000"/>
              <w:left w:val="nil"/>
              <w:bottom w:val="single" w:sz="6" w:space="0" w:color="000000"/>
              <w:right w:val="nil"/>
            </w:tcBorders>
            <w:vAlign w:val="center"/>
          </w:tcPr>
          <w:p w14:paraId="1028072D" w14:textId="297B5370" w:rsidR="008069E9" w:rsidRPr="00BA7FA3" w:rsidRDefault="008069E9" w:rsidP="008069E9">
            <w:pPr>
              <w:pStyle w:val="2024TABLETEXT"/>
              <w:framePr w:hSpace="0" w:wrap="auto" w:vAnchor="margin" w:yAlign="inline"/>
              <w:suppressOverlap w:val="0"/>
            </w:pPr>
            <w:r w:rsidRPr="00BA7FA3">
              <w:t>228 (4)</w:t>
            </w:r>
          </w:p>
        </w:tc>
        <w:tc>
          <w:tcPr>
            <w:tcW w:w="450" w:type="pct"/>
            <w:tcBorders>
              <w:top w:val="single" w:sz="6" w:space="0" w:color="000000"/>
              <w:left w:val="nil"/>
              <w:bottom w:val="single" w:sz="6" w:space="0" w:color="000000"/>
              <w:right w:val="nil"/>
            </w:tcBorders>
            <w:vAlign w:val="center"/>
          </w:tcPr>
          <w:p w14:paraId="6AA80177" w14:textId="2430F2B8" w:rsidR="008069E9" w:rsidRPr="001428E8" w:rsidRDefault="008069E9" w:rsidP="008069E9">
            <w:pPr>
              <w:pStyle w:val="2024TABLETEXT"/>
              <w:framePr w:hSpace="0" w:wrap="auto" w:vAnchor="margin" w:yAlign="inline"/>
              <w:suppressOverlap w:val="0"/>
              <w:rPr>
                <w:rStyle w:val="FootnoteReference"/>
                <w:caps/>
              </w:rPr>
            </w:pPr>
            <w:r w:rsidRPr="00BA7FA3">
              <w:rPr>
                <w:rFonts w:ascii="Cambria Math" w:hAnsi="Cambria Math" w:cs="Cambria Math"/>
                <w:sz w:val="22"/>
                <w:szCs w:val="22"/>
              </w:rPr>
              <w:t>⨁</w:t>
            </w:r>
            <w:r w:rsidR="00BA7FA3" w:rsidRPr="00BA7FA3">
              <w:rPr>
                <w:rFonts w:ascii="Segoe UI Symbol" w:hAnsi="Segoe UI Symbol" w:cs="Segoe UI Symbol"/>
              </w:rPr>
              <w:t>◯</w:t>
            </w:r>
            <w:r w:rsidRPr="00BA7FA3">
              <w:rPr>
                <w:rFonts w:ascii="Segoe UI Symbol" w:hAnsi="Segoe UI Symbol" w:cs="Segoe UI Symbol"/>
              </w:rPr>
              <w:t>◯◯</w:t>
            </w:r>
            <w:r w:rsidRPr="00BA7FA3">
              <w:br/>
            </w:r>
            <w:r w:rsidR="00BA7FA3" w:rsidRPr="00BA7FA3">
              <w:t xml:space="preserve">VERY </w:t>
            </w:r>
            <w:r w:rsidRPr="00BA7FA3">
              <w:t>LOW</w:t>
            </w:r>
            <w:r w:rsidRPr="00BA7FA3">
              <w:rPr>
                <w:vertAlign w:val="superscript"/>
              </w:rPr>
              <w:t>d</w:t>
            </w:r>
          </w:p>
        </w:tc>
        <w:tc>
          <w:tcPr>
            <w:tcW w:w="1350" w:type="pct"/>
            <w:tcBorders>
              <w:top w:val="single" w:sz="6" w:space="0" w:color="000000"/>
              <w:left w:val="nil"/>
              <w:bottom w:val="single" w:sz="6" w:space="0" w:color="000000"/>
              <w:right w:val="nil"/>
            </w:tcBorders>
            <w:vAlign w:val="center"/>
          </w:tcPr>
          <w:p w14:paraId="4A4D344E" w14:textId="4EC9C2AA" w:rsidR="008069E9" w:rsidRPr="001428E8" w:rsidRDefault="00BA7FA3" w:rsidP="0074112C">
            <w:pPr>
              <w:pStyle w:val="2024TABLETEXT"/>
              <w:framePr w:hSpace="0" w:wrap="auto" w:vAnchor="margin" w:yAlign="inline"/>
              <w:suppressOverlap w:val="0"/>
            </w:pPr>
            <w:r w:rsidRPr="001428E8">
              <w:t>The evidence is very uncertain about the effect of antioxidants on HOMA-IR in T2DM.</w:t>
            </w:r>
          </w:p>
        </w:tc>
      </w:tr>
      <w:tr w:rsidR="00416385" w:rsidRPr="0054775B" w14:paraId="7B45903C" w14:textId="77777777" w:rsidTr="0094609E">
        <w:trPr>
          <w:cantSplit/>
          <w:trHeight w:val="36"/>
        </w:trPr>
        <w:tc>
          <w:tcPr>
            <w:tcW w:w="301" w:type="pct"/>
            <w:vMerge w:val="restart"/>
            <w:tcBorders>
              <w:top w:val="single" w:sz="6" w:space="0" w:color="000000"/>
              <w:left w:val="nil"/>
              <w:right w:val="nil"/>
            </w:tcBorders>
            <w:vAlign w:val="center"/>
          </w:tcPr>
          <w:p w14:paraId="414BC934" w14:textId="77777777" w:rsidR="00554169" w:rsidRPr="0054775B" w:rsidRDefault="00554169" w:rsidP="000F23E1">
            <w:pPr>
              <w:pStyle w:val="2024TABLETEXT"/>
              <w:framePr w:hSpace="0" w:wrap="auto" w:vAnchor="margin" w:yAlign="inline"/>
              <w:suppressOverlap w:val="0"/>
            </w:pPr>
            <w:r w:rsidRPr="0054775B">
              <w:t>8</w:t>
            </w:r>
          </w:p>
        </w:tc>
        <w:tc>
          <w:tcPr>
            <w:tcW w:w="1199" w:type="pct"/>
            <w:tcBorders>
              <w:top w:val="single" w:sz="6" w:space="0" w:color="000000"/>
              <w:left w:val="nil"/>
              <w:bottom w:val="single" w:sz="6" w:space="0" w:color="000000"/>
              <w:right w:val="nil"/>
            </w:tcBorders>
            <w:vAlign w:val="center"/>
          </w:tcPr>
          <w:p w14:paraId="13729A5F" w14:textId="77777777" w:rsidR="00554169" w:rsidRPr="00BA7FA3" w:rsidRDefault="00554169" w:rsidP="000F23E1">
            <w:pPr>
              <w:pStyle w:val="2024TABLETEXT"/>
              <w:framePr w:hSpace="0" w:wrap="auto" w:vAnchor="margin" w:yAlign="inline"/>
              <w:suppressOverlap w:val="0"/>
            </w:pPr>
            <w:r w:rsidRPr="00BA7FA3">
              <w:rPr>
                <w:b/>
                <w:bCs/>
              </w:rPr>
              <w:t>Blood pressure</w:t>
            </w:r>
          </w:p>
        </w:tc>
        <w:tc>
          <w:tcPr>
            <w:tcW w:w="450" w:type="pct"/>
            <w:tcBorders>
              <w:top w:val="single" w:sz="6" w:space="0" w:color="000000"/>
              <w:left w:val="nil"/>
              <w:bottom w:val="single" w:sz="6" w:space="0" w:color="000000"/>
              <w:right w:val="nil"/>
            </w:tcBorders>
            <w:vAlign w:val="center"/>
          </w:tcPr>
          <w:p w14:paraId="2E98F71E" w14:textId="77777777" w:rsidR="00554169" w:rsidRPr="00BA7FA3" w:rsidRDefault="00554169" w:rsidP="000F23E1">
            <w:pPr>
              <w:pStyle w:val="2024TABLETEXT"/>
              <w:framePr w:hSpace="0" w:wrap="auto" w:vAnchor="margin" w:yAlign="inline"/>
              <w:suppressOverlap w:val="0"/>
            </w:pPr>
          </w:p>
        </w:tc>
        <w:tc>
          <w:tcPr>
            <w:tcW w:w="800" w:type="pct"/>
            <w:tcBorders>
              <w:top w:val="single" w:sz="6" w:space="0" w:color="000000"/>
              <w:left w:val="nil"/>
              <w:bottom w:val="single" w:sz="6" w:space="0" w:color="000000"/>
              <w:right w:val="nil"/>
            </w:tcBorders>
            <w:vAlign w:val="center"/>
          </w:tcPr>
          <w:p w14:paraId="714EA6B8" w14:textId="77777777" w:rsidR="00554169" w:rsidRPr="00BA7FA3" w:rsidRDefault="00554169" w:rsidP="000F23E1">
            <w:pPr>
              <w:pStyle w:val="2024TABLETEXT"/>
              <w:framePr w:hSpace="0" w:wrap="auto" w:vAnchor="margin" w:yAlign="inline"/>
              <w:suppressOverlap w:val="0"/>
            </w:pPr>
          </w:p>
        </w:tc>
        <w:tc>
          <w:tcPr>
            <w:tcW w:w="450" w:type="pct"/>
            <w:tcBorders>
              <w:top w:val="single" w:sz="6" w:space="0" w:color="000000"/>
              <w:left w:val="nil"/>
              <w:bottom w:val="single" w:sz="6" w:space="0" w:color="000000"/>
              <w:right w:val="nil"/>
            </w:tcBorders>
            <w:vAlign w:val="center"/>
          </w:tcPr>
          <w:p w14:paraId="715ED74D" w14:textId="77777777" w:rsidR="00554169" w:rsidRPr="00BA7FA3" w:rsidRDefault="00554169" w:rsidP="000F23E1">
            <w:pPr>
              <w:pStyle w:val="2024TABLETEXT"/>
              <w:framePr w:hSpace="0" w:wrap="auto" w:vAnchor="margin" w:yAlign="inline"/>
              <w:suppressOverlap w:val="0"/>
            </w:pPr>
          </w:p>
        </w:tc>
        <w:tc>
          <w:tcPr>
            <w:tcW w:w="450" w:type="pct"/>
            <w:tcBorders>
              <w:top w:val="single" w:sz="6" w:space="0" w:color="000000"/>
              <w:left w:val="nil"/>
              <w:bottom w:val="single" w:sz="6" w:space="0" w:color="000000"/>
              <w:right w:val="nil"/>
            </w:tcBorders>
            <w:vAlign w:val="center"/>
          </w:tcPr>
          <w:p w14:paraId="5E76ABEB" w14:textId="77777777" w:rsidR="00554169" w:rsidRPr="00BA7FA3" w:rsidRDefault="00554169" w:rsidP="000F23E1">
            <w:pPr>
              <w:pStyle w:val="2024TABLETEXT"/>
              <w:framePr w:hSpace="0" w:wrap="auto" w:vAnchor="margin" w:yAlign="inline"/>
              <w:suppressOverlap w:val="0"/>
            </w:pPr>
          </w:p>
        </w:tc>
        <w:tc>
          <w:tcPr>
            <w:tcW w:w="1350" w:type="pct"/>
            <w:tcBorders>
              <w:top w:val="single" w:sz="6" w:space="0" w:color="000000"/>
              <w:left w:val="nil"/>
              <w:bottom w:val="single" w:sz="6" w:space="0" w:color="000000"/>
              <w:right w:val="nil"/>
            </w:tcBorders>
            <w:vAlign w:val="center"/>
          </w:tcPr>
          <w:p w14:paraId="09AE3575" w14:textId="77777777" w:rsidR="00554169" w:rsidRPr="00BA7FA3" w:rsidRDefault="00554169" w:rsidP="000F23E1">
            <w:pPr>
              <w:pStyle w:val="2024TABLETEXT"/>
              <w:framePr w:hSpace="0" w:wrap="auto" w:vAnchor="margin" w:yAlign="inline"/>
              <w:suppressOverlap w:val="0"/>
            </w:pPr>
          </w:p>
        </w:tc>
      </w:tr>
      <w:tr w:rsidR="00C71E31" w:rsidRPr="0054775B" w14:paraId="52400C0F" w14:textId="77777777" w:rsidTr="0094609E">
        <w:trPr>
          <w:cantSplit/>
          <w:trHeight w:val="36"/>
        </w:trPr>
        <w:tc>
          <w:tcPr>
            <w:tcW w:w="301" w:type="pct"/>
            <w:vMerge/>
            <w:tcBorders>
              <w:left w:val="nil"/>
              <w:right w:val="nil"/>
            </w:tcBorders>
            <w:vAlign w:val="center"/>
          </w:tcPr>
          <w:p w14:paraId="36BB399F" w14:textId="77777777" w:rsidR="00C71E31" w:rsidRPr="0054775B" w:rsidRDefault="00C71E31" w:rsidP="00C71E31">
            <w:pPr>
              <w:pStyle w:val="2024TABLETEXT"/>
              <w:framePr w:hSpace="0" w:wrap="auto" w:vAnchor="margin" w:yAlign="inline"/>
              <w:suppressOverlap w:val="0"/>
            </w:pPr>
          </w:p>
        </w:tc>
        <w:tc>
          <w:tcPr>
            <w:tcW w:w="1199" w:type="pct"/>
            <w:tcBorders>
              <w:top w:val="single" w:sz="6" w:space="0" w:color="000000"/>
              <w:left w:val="nil"/>
              <w:bottom w:val="single" w:sz="6" w:space="0" w:color="000000"/>
              <w:right w:val="nil"/>
            </w:tcBorders>
            <w:vAlign w:val="center"/>
          </w:tcPr>
          <w:p w14:paraId="450A9842" w14:textId="77777777" w:rsidR="00C71E31" w:rsidRPr="00BA7FA3" w:rsidRDefault="00C71E31" w:rsidP="00C71E31">
            <w:pPr>
              <w:pStyle w:val="2024TABLETEXT"/>
              <w:framePr w:hSpace="0" w:wrap="auto" w:vAnchor="margin" w:yAlign="inline"/>
              <w:ind w:left="507"/>
              <w:suppressOverlap w:val="0"/>
              <w:rPr>
                <w:b/>
                <w:bCs/>
              </w:rPr>
            </w:pPr>
            <w:r w:rsidRPr="00BA7FA3">
              <w:rPr>
                <w:b/>
                <w:bCs/>
              </w:rPr>
              <w:t>Systolic blood pressure</w:t>
            </w:r>
          </w:p>
          <w:p w14:paraId="427FEDA6" w14:textId="048AEEB0" w:rsidR="006649C4" w:rsidRPr="00BA7FA3" w:rsidRDefault="006649C4" w:rsidP="006649C4">
            <w:pPr>
              <w:pStyle w:val="2024TABLETEXT"/>
              <w:framePr w:hSpace="0" w:wrap="auto" w:vAnchor="margin" w:yAlign="inline"/>
              <w:ind w:left="648"/>
              <w:suppressOverlap w:val="0"/>
            </w:pPr>
            <w:r w:rsidRPr="00BA7FA3">
              <w:rPr>
                <w:b/>
                <w:bCs/>
              </w:rPr>
              <w:t>Dose:</w:t>
            </w:r>
            <w:r w:rsidRPr="00BA7FA3">
              <w:t xml:space="preserve">  ALA </w:t>
            </w:r>
            <w:r w:rsidR="00E52324" w:rsidRPr="00BA7FA3">
              <w:t xml:space="preserve">570-800mg </w:t>
            </w:r>
            <w:r w:rsidRPr="00BA7FA3">
              <w:t xml:space="preserve">daily for </w:t>
            </w:r>
            <w:r w:rsidR="0016232A" w:rsidRPr="00BA7FA3">
              <w:t>4</w:t>
            </w:r>
            <w:r w:rsidRPr="00BA7FA3">
              <w:t xml:space="preserve"> to </w:t>
            </w:r>
            <w:r w:rsidR="0016232A" w:rsidRPr="00BA7FA3">
              <w:t>5</w:t>
            </w:r>
            <w:r w:rsidRPr="00BA7FA3">
              <w:t>2 weeks</w:t>
            </w:r>
          </w:p>
          <w:p w14:paraId="73F6F456" w14:textId="40CCD2B2" w:rsidR="006649C4" w:rsidRPr="00BA7FA3" w:rsidRDefault="006649C4" w:rsidP="006649C4">
            <w:pPr>
              <w:pStyle w:val="2024TABLETEXT"/>
              <w:framePr w:hSpace="0" w:wrap="auto" w:vAnchor="margin" w:yAlign="inline"/>
              <w:ind w:left="648"/>
              <w:suppressOverlap w:val="0"/>
            </w:pPr>
            <w:r w:rsidRPr="00BA7FA3">
              <w:rPr>
                <w:b/>
                <w:bCs/>
              </w:rPr>
              <w:t xml:space="preserve">Follow-up: </w:t>
            </w:r>
            <w:r w:rsidRPr="00BA7FA3">
              <w:t>4 to 52 weeks</w:t>
            </w:r>
          </w:p>
        </w:tc>
        <w:tc>
          <w:tcPr>
            <w:tcW w:w="450" w:type="pct"/>
            <w:tcBorders>
              <w:top w:val="single" w:sz="6" w:space="0" w:color="000000"/>
              <w:left w:val="nil"/>
              <w:bottom w:val="single" w:sz="6" w:space="0" w:color="000000"/>
              <w:right w:val="nil"/>
            </w:tcBorders>
            <w:vAlign w:val="center"/>
          </w:tcPr>
          <w:p w14:paraId="64087888" w14:textId="1B5215D5" w:rsidR="00C71E31" w:rsidRPr="00BA7FA3" w:rsidRDefault="00C71E31" w:rsidP="00C71E31">
            <w:pPr>
              <w:pStyle w:val="2024TABLETEXT"/>
              <w:framePr w:hSpace="0" w:wrap="auto" w:vAnchor="margin" w:yAlign="inline"/>
              <w:suppressOverlap w:val="0"/>
            </w:pPr>
            <w:r w:rsidRPr="00BA7FA3">
              <w:t>Jibril 2022</w:t>
            </w:r>
          </w:p>
        </w:tc>
        <w:tc>
          <w:tcPr>
            <w:tcW w:w="800" w:type="pct"/>
            <w:tcBorders>
              <w:top w:val="single" w:sz="6" w:space="0" w:color="000000"/>
              <w:left w:val="nil"/>
              <w:bottom w:val="single" w:sz="6" w:space="0" w:color="000000"/>
              <w:right w:val="nil"/>
            </w:tcBorders>
            <w:vAlign w:val="center"/>
          </w:tcPr>
          <w:p w14:paraId="5ECC987A" w14:textId="2126CCDF" w:rsidR="00C71E31" w:rsidRPr="00BA7FA3" w:rsidRDefault="00C71E31" w:rsidP="00C71E31">
            <w:pPr>
              <w:pStyle w:val="2024TABLETEXT"/>
              <w:framePr w:hSpace="0" w:wrap="auto" w:vAnchor="margin" w:yAlign="inline"/>
              <w:suppressOverlap w:val="0"/>
              <w:rPr>
                <w:rFonts w:eastAsia="Calibri"/>
              </w:rPr>
            </w:pPr>
            <w:r w:rsidRPr="00BA7FA3">
              <w:t>MD = −1.71 mmHg; (−5.48 to 2.07)</w:t>
            </w:r>
            <w:r w:rsidR="00704844">
              <w:t>§</w:t>
            </w:r>
          </w:p>
        </w:tc>
        <w:tc>
          <w:tcPr>
            <w:tcW w:w="450" w:type="pct"/>
            <w:tcBorders>
              <w:top w:val="single" w:sz="6" w:space="0" w:color="000000"/>
              <w:left w:val="nil"/>
              <w:bottom w:val="single" w:sz="6" w:space="0" w:color="000000"/>
              <w:right w:val="nil"/>
            </w:tcBorders>
            <w:vAlign w:val="center"/>
          </w:tcPr>
          <w:p w14:paraId="6A025656" w14:textId="6AD8D2C0" w:rsidR="00C71E31" w:rsidRPr="00BA7FA3" w:rsidRDefault="00C71E31" w:rsidP="00C71E31">
            <w:pPr>
              <w:pStyle w:val="2024TABLETEXT"/>
              <w:framePr w:hSpace="0" w:wrap="auto" w:vAnchor="margin" w:yAlign="inline"/>
              <w:suppressOverlap w:val="0"/>
            </w:pPr>
            <w:r w:rsidRPr="00BA7FA3">
              <w:t>388 (5)</w:t>
            </w:r>
          </w:p>
        </w:tc>
        <w:tc>
          <w:tcPr>
            <w:tcW w:w="450" w:type="pct"/>
            <w:tcBorders>
              <w:top w:val="single" w:sz="6" w:space="0" w:color="000000"/>
              <w:left w:val="nil"/>
              <w:bottom w:val="single" w:sz="6" w:space="0" w:color="000000"/>
              <w:right w:val="nil"/>
            </w:tcBorders>
            <w:vAlign w:val="center"/>
          </w:tcPr>
          <w:p w14:paraId="76B70F29" w14:textId="45D76DC7" w:rsidR="00C71E31" w:rsidRPr="00BA7FA3" w:rsidRDefault="00C71E31" w:rsidP="00C71E31">
            <w:pPr>
              <w:pStyle w:val="2024TABLETEXT"/>
              <w:framePr w:hSpace="0" w:wrap="auto" w:vAnchor="margin" w:yAlign="inline"/>
              <w:suppressOverlap w:val="0"/>
            </w:pPr>
            <w:r w:rsidRPr="00BA7FA3">
              <w:rPr>
                <w:rFonts w:ascii="Cambria Math" w:hAnsi="Cambria Math" w:cs="Cambria Math"/>
                <w:sz w:val="22"/>
                <w:szCs w:val="22"/>
              </w:rPr>
              <w:t>⨁</w:t>
            </w:r>
            <w:r w:rsidRPr="00BA7FA3">
              <w:rPr>
                <w:rFonts w:ascii="Segoe UI Symbol" w:hAnsi="Segoe UI Symbol" w:cs="Segoe UI Symbol"/>
              </w:rPr>
              <w:t>◯◯◯</w:t>
            </w:r>
            <w:r w:rsidRPr="00BA7FA3">
              <w:br/>
              <w:t>VERY LOW</w:t>
            </w:r>
            <w:r w:rsidRPr="00BA7FA3">
              <w:rPr>
                <w:vertAlign w:val="superscript"/>
              </w:rPr>
              <w:t>e</w:t>
            </w:r>
          </w:p>
        </w:tc>
        <w:tc>
          <w:tcPr>
            <w:tcW w:w="1350" w:type="pct"/>
            <w:tcBorders>
              <w:top w:val="single" w:sz="6" w:space="0" w:color="000000"/>
              <w:left w:val="nil"/>
              <w:bottom w:val="single" w:sz="6" w:space="0" w:color="000000"/>
              <w:right w:val="nil"/>
            </w:tcBorders>
            <w:vAlign w:val="center"/>
          </w:tcPr>
          <w:p w14:paraId="39627B82" w14:textId="4C77ABD7" w:rsidR="00706CE9" w:rsidRPr="00BA7FA3" w:rsidRDefault="00C71E31" w:rsidP="00706CE9">
            <w:pPr>
              <w:pStyle w:val="2024TABLETEXT"/>
              <w:framePr w:hSpace="0" w:wrap="auto" w:vAnchor="margin" w:yAlign="inline"/>
              <w:suppressOverlap w:val="0"/>
            </w:pPr>
            <w:r w:rsidRPr="00BA7FA3">
              <w:t>The evidence is very uncertain about the effect of antioxidants on</w:t>
            </w:r>
            <w:r w:rsidR="00706CE9" w:rsidRPr="00BA7FA3">
              <w:t xml:space="preserve"> systolic blood pressure</w:t>
            </w:r>
          </w:p>
          <w:p w14:paraId="67CD83A4" w14:textId="1228EA71" w:rsidR="00C71E31" w:rsidRPr="00BA7FA3" w:rsidRDefault="00C71E31" w:rsidP="00706CE9">
            <w:pPr>
              <w:pStyle w:val="2024TABLETEXT"/>
              <w:framePr w:hSpace="0" w:wrap="auto" w:vAnchor="margin" w:yAlign="inline"/>
              <w:suppressOverlap w:val="0"/>
            </w:pPr>
            <w:r w:rsidRPr="00BA7FA3">
              <w:t>in T2DM.</w:t>
            </w:r>
          </w:p>
        </w:tc>
      </w:tr>
      <w:tr w:rsidR="00AD48AA" w:rsidRPr="0054775B" w14:paraId="2FB789E6" w14:textId="77777777" w:rsidTr="0094609E">
        <w:trPr>
          <w:cantSplit/>
          <w:trHeight w:val="36"/>
        </w:trPr>
        <w:tc>
          <w:tcPr>
            <w:tcW w:w="301" w:type="pct"/>
            <w:vMerge/>
            <w:tcBorders>
              <w:left w:val="nil"/>
              <w:bottom w:val="single" w:sz="6" w:space="0" w:color="000000"/>
              <w:right w:val="nil"/>
            </w:tcBorders>
            <w:vAlign w:val="center"/>
          </w:tcPr>
          <w:p w14:paraId="7E1B8159" w14:textId="77777777" w:rsidR="00AD48AA" w:rsidRPr="0054775B" w:rsidRDefault="00AD48AA" w:rsidP="00AD48AA">
            <w:pPr>
              <w:pStyle w:val="2024TABLETEXT"/>
              <w:framePr w:hSpace="0" w:wrap="auto" w:vAnchor="margin" w:yAlign="inline"/>
              <w:suppressOverlap w:val="0"/>
            </w:pPr>
          </w:p>
        </w:tc>
        <w:tc>
          <w:tcPr>
            <w:tcW w:w="1199" w:type="pct"/>
            <w:tcBorders>
              <w:top w:val="single" w:sz="6" w:space="0" w:color="000000"/>
              <w:left w:val="nil"/>
              <w:bottom w:val="single" w:sz="6" w:space="0" w:color="000000"/>
              <w:right w:val="nil"/>
            </w:tcBorders>
            <w:vAlign w:val="center"/>
          </w:tcPr>
          <w:p w14:paraId="6144A0AC" w14:textId="77777777" w:rsidR="00AD48AA" w:rsidRPr="00BA7FA3" w:rsidRDefault="00AD48AA" w:rsidP="00AD48AA">
            <w:pPr>
              <w:pStyle w:val="2024TABLETEXT"/>
              <w:framePr w:hSpace="0" w:wrap="auto" w:vAnchor="margin" w:yAlign="inline"/>
              <w:ind w:left="507"/>
              <w:suppressOverlap w:val="0"/>
              <w:rPr>
                <w:b/>
                <w:bCs/>
              </w:rPr>
            </w:pPr>
            <w:r w:rsidRPr="00BA7FA3">
              <w:rPr>
                <w:b/>
                <w:bCs/>
              </w:rPr>
              <w:t xml:space="preserve">Diastolic blood pressure </w:t>
            </w:r>
          </w:p>
          <w:p w14:paraId="20D4CA71" w14:textId="7B55A8E2" w:rsidR="0016232A" w:rsidRPr="00BA7FA3" w:rsidRDefault="0016232A" w:rsidP="0016232A">
            <w:pPr>
              <w:pStyle w:val="2024TABLETEXT"/>
              <w:framePr w:hSpace="0" w:wrap="auto" w:vAnchor="margin" w:yAlign="inline"/>
              <w:ind w:left="648"/>
              <w:suppressOverlap w:val="0"/>
            </w:pPr>
            <w:r w:rsidRPr="00BA7FA3">
              <w:rPr>
                <w:b/>
                <w:bCs/>
              </w:rPr>
              <w:t>Dose:</w:t>
            </w:r>
            <w:r w:rsidRPr="00BA7FA3">
              <w:t xml:space="preserve">  ALA </w:t>
            </w:r>
            <w:r w:rsidR="00E52324" w:rsidRPr="00BA7FA3">
              <w:t xml:space="preserve">570-800mg </w:t>
            </w:r>
            <w:r w:rsidRPr="00BA7FA3">
              <w:t>daily for 4 to 52 weeks</w:t>
            </w:r>
          </w:p>
          <w:p w14:paraId="7757A68F" w14:textId="1E67105E" w:rsidR="0016232A" w:rsidRPr="00BA7FA3" w:rsidRDefault="0016232A" w:rsidP="00E52324">
            <w:pPr>
              <w:pStyle w:val="2024TABLETEXT"/>
              <w:framePr w:hSpace="0" w:wrap="auto" w:vAnchor="margin" w:yAlign="inline"/>
              <w:ind w:left="648"/>
              <w:suppressOverlap w:val="0"/>
            </w:pPr>
            <w:r w:rsidRPr="00BA7FA3">
              <w:rPr>
                <w:b/>
                <w:bCs/>
              </w:rPr>
              <w:t xml:space="preserve">Follow-up: </w:t>
            </w:r>
            <w:r w:rsidRPr="00BA7FA3">
              <w:t>4 to 52 weeks</w:t>
            </w:r>
          </w:p>
        </w:tc>
        <w:tc>
          <w:tcPr>
            <w:tcW w:w="450" w:type="pct"/>
            <w:tcBorders>
              <w:top w:val="single" w:sz="6" w:space="0" w:color="000000"/>
              <w:left w:val="nil"/>
              <w:bottom w:val="single" w:sz="6" w:space="0" w:color="000000"/>
              <w:right w:val="nil"/>
            </w:tcBorders>
            <w:vAlign w:val="center"/>
          </w:tcPr>
          <w:p w14:paraId="789DC0CB" w14:textId="77947DD2" w:rsidR="00AD48AA" w:rsidRPr="00BA7FA3" w:rsidRDefault="00AD48AA" w:rsidP="00AD48AA">
            <w:pPr>
              <w:pStyle w:val="2024TABLETEXT"/>
              <w:framePr w:hSpace="0" w:wrap="auto" w:vAnchor="margin" w:yAlign="inline"/>
              <w:suppressOverlap w:val="0"/>
            </w:pPr>
            <w:r w:rsidRPr="00BA7FA3">
              <w:t>Jibril 2022</w:t>
            </w:r>
          </w:p>
        </w:tc>
        <w:tc>
          <w:tcPr>
            <w:tcW w:w="800" w:type="pct"/>
            <w:tcBorders>
              <w:top w:val="single" w:sz="6" w:space="0" w:color="000000"/>
              <w:left w:val="nil"/>
              <w:bottom w:val="single" w:sz="6" w:space="0" w:color="000000"/>
              <w:right w:val="nil"/>
            </w:tcBorders>
            <w:vAlign w:val="center"/>
          </w:tcPr>
          <w:p w14:paraId="0F2A16B3" w14:textId="5B3D6722" w:rsidR="00AD48AA" w:rsidRPr="00BA7FA3" w:rsidRDefault="001D28EC" w:rsidP="00AD48AA">
            <w:pPr>
              <w:pStyle w:val="2024TABLETEXT"/>
              <w:framePr w:hSpace="0" w:wrap="auto" w:vAnchor="margin" w:yAlign="inline"/>
              <w:suppressOverlap w:val="0"/>
              <w:rPr>
                <w:rFonts w:eastAsia="Calibri"/>
              </w:rPr>
            </w:pPr>
            <w:r w:rsidRPr="00BA7FA3">
              <w:t xml:space="preserve">MD = 1.03 mmHg; </w:t>
            </w:r>
            <w:r w:rsidR="00AD48AA" w:rsidRPr="00BA7FA3">
              <w:t>(0.05 to 2.02)</w:t>
            </w:r>
            <w:r w:rsidR="00704844">
              <w:t>§</w:t>
            </w:r>
          </w:p>
        </w:tc>
        <w:tc>
          <w:tcPr>
            <w:tcW w:w="450" w:type="pct"/>
            <w:tcBorders>
              <w:top w:val="single" w:sz="6" w:space="0" w:color="000000"/>
              <w:left w:val="nil"/>
              <w:bottom w:val="single" w:sz="6" w:space="0" w:color="000000"/>
              <w:right w:val="nil"/>
            </w:tcBorders>
            <w:vAlign w:val="center"/>
          </w:tcPr>
          <w:p w14:paraId="5CB57E82" w14:textId="466B7B50" w:rsidR="00AD48AA" w:rsidRPr="00BA7FA3" w:rsidRDefault="00AD48AA" w:rsidP="00AD48AA">
            <w:pPr>
              <w:pStyle w:val="2024TABLETEXT"/>
              <w:framePr w:hSpace="0" w:wrap="auto" w:vAnchor="margin" w:yAlign="inline"/>
              <w:suppressOverlap w:val="0"/>
            </w:pPr>
            <w:r w:rsidRPr="00BA7FA3">
              <w:t>388 (5)</w:t>
            </w:r>
          </w:p>
        </w:tc>
        <w:tc>
          <w:tcPr>
            <w:tcW w:w="450" w:type="pct"/>
            <w:tcBorders>
              <w:top w:val="single" w:sz="6" w:space="0" w:color="000000"/>
              <w:left w:val="nil"/>
              <w:bottom w:val="single" w:sz="6" w:space="0" w:color="000000"/>
              <w:right w:val="nil"/>
            </w:tcBorders>
            <w:vAlign w:val="center"/>
          </w:tcPr>
          <w:p w14:paraId="39C324E2" w14:textId="243D92D5" w:rsidR="00AD48AA" w:rsidRPr="00BA7FA3" w:rsidRDefault="00AD48AA" w:rsidP="00AD48AA">
            <w:pPr>
              <w:pStyle w:val="2024TABLETEXT"/>
              <w:framePr w:hSpace="0" w:wrap="auto" w:vAnchor="margin" w:yAlign="inline"/>
              <w:suppressOverlap w:val="0"/>
            </w:pPr>
            <w:r w:rsidRPr="00BA7FA3">
              <w:rPr>
                <w:rFonts w:ascii="Cambria Math" w:hAnsi="Cambria Math" w:cs="Cambria Math"/>
                <w:sz w:val="22"/>
                <w:szCs w:val="22"/>
              </w:rPr>
              <w:t>⨁⨁</w:t>
            </w:r>
            <w:r w:rsidR="000636E3" w:rsidRPr="00BA7FA3">
              <w:rPr>
                <w:rFonts w:ascii="Cambria Math" w:hAnsi="Cambria Math" w:cs="Cambria Math"/>
                <w:sz w:val="22"/>
                <w:szCs w:val="22"/>
              </w:rPr>
              <w:t>⨁</w:t>
            </w:r>
            <w:r w:rsidRPr="00BA7FA3">
              <w:rPr>
                <w:rFonts w:ascii="Segoe UI Symbol" w:hAnsi="Segoe UI Symbol" w:cs="Segoe UI Symbol"/>
              </w:rPr>
              <w:t>◯</w:t>
            </w:r>
            <w:r w:rsidRPr="00BA7FA3">
              <w:br/>
            </w:r>
            <w:r w:rsidR="00D82EF7" w:rsidRPr="001428E8">
              <w:t>MODERATE</w:t>
            </w:r>
            <w:r w:rsidR="004E6740" w:rsidRPr="00BA7FA3">
              <w:rPr>
                <w:vertAlign w:val="superscript"/>
              </w:rPr>
              <w:t>f</w:t>
            </w:r>
          </w:p>
        </w:tc>
        <w:tc>
          <w:tcPr>
            <w:tcW w:w="1350" w:type="pct"/>
            <w:tcBorders>
              <w:top w:val="single" w:sz="6" w:space="0" w:color="000000"/>
              <w:left w:val="nil"/>
              <w:bottom w:val="single" w:sz="6" w:space="0" w:color="000000"/>
              <w:right w:val="nil"/>
            </w:tcBorders>
            <w:vAlign w:val="center"/>
          </w:tcPr>
          <w:p w14:paraId="0E6ABBE9" w14:textId="22D94600" w:rsidR="00AD48AA" w:rsidRPr="00BA7FA3" w:rsidRDefault="00AD48AA" w:rsidP="00706CE9">
            <w:pPr>
              <w:pStyle w:val="2024TABLETEXT"/>
              <w:framePr w:hSpace="0" w:wrap="auto" w:vAnchor="margin" w:yAlign="inline"/>
              <w:suppressOverlap w:val="0"/>
            </w:pPr>
            <w:r w:rsidRPr="00BA7FA3">
              <w:t>Antioxidants</w:t>
            </w:r>
            <w:r w:rsidR="002676E3" w:rsidRPr="00BA7FA3">
              <w:t xml:space="preserve"> </w:t>
            </w:r>
            <w:r w:rsidR="00D82EF7" w:rsidRPr="00BA7FA3">
              <w:t xml:space="preserve">probably </w:t>
            </w:r>
            <w:r w:rsidRPr="00BA7FA3">
              <w:t xml:space="preserve">result in </w:t>
            </w:r>
            <w:r w:rsidR="00FB3855" w:rsidRPr="00BA7FA3">
              <w:t>little to no difference</w:t>
            </w:r>
            <w:r w:rsidRPr="00BA7FA3">
              <w:t xml:space="preserve"> in </w:t>
            </w:r>
            <w:r w:rsidR="00706CE9" w:rsidRPr="00BA7FA3">
              <w:t xml:space="preserve">diastolic blood pressure </w:t>
            </w:r>
            <w:r w:rsidRPr="00BA7FA3">
              <w:t>in T2DM.</w:t>
            </w:r>
          </w:p>
        </w:tc>
      </w:tr>
      <w:tr w:rsidR="00244973" w:rsidRPr="0054775B" w14:paraId="658CEBFD" w14:textId="77777777" w:rsidTr="00621E98">
        <w:trPr>
          <w:cantSplit/>
        </w:trPr>
        <w:tc>
          <w:tcPr>
            <w:tcW w:w="301" w:type="pct"/>
            <w:tcBorders>
              <w:top w:val="single" w:sz="6" w:space="0" w:color="000000"/>
              <w:left w:val="nil"/>
              <w:right w:val="nil"/>
            </w:tcBorders>
            <w:vAlign w:val="center"/>
          </w:tcPr>
          <w:p w14:paraId="024DBA1A" w14:textId="77777777" w:rsidR="00244973" w:rsidRPr="0054775B" w:rsidRDefault="00244973" w:rsidP="00244973">
            <w:pPr>
              <w:pStyle w:val="2024TABLETEXT"/>
              <w:framePr w:hSpace="0" w:wrap="auto" w:vAnchor="margin" w:yAlign="inline"/>
              <w:suppressOverlap w:val="0"/>
            </w:pPr>
            <w:r w:rsidRPr="0054775B">
              <w:t>8</w:t>
            </w:r>
          </w:p>
        </w:tc>
        <w:tc>
          <w:tcPr>
            <w:tcW w:w="1199" w:type="pct"/>
            <w:tcBorders>
              <w:top w:val="single" w:sz="6" w:space="0" w:color="000000"/>
              <w:left w:val="nil"/>
              <w:bottom w:val="single" w:sz="6" w:space="0" w:color="000000"/>
              <w:right w:val="nil"/>
            </w:tcBorders>
            <w:vAlign w:val="center"/>
          </w:tcPr>
          <w:p w14:paraId="7AE91CFB" w14:textId="77777777" w:rsidR="00244973" w:rsidRPr="0054775B" w:rsidRDefault="00244973" w:rsidP="00621E98">
            <w:pPr>
              <w:pStyle w:val="2024TABLETEXT"/>
              <w:framePr w:hSpace="0" w:wrap="auto" w:vAnchor="margin" w:yAlign="inline"/>
              <w:suppressOverlap w:val="0"/>
            </w:pPr>
            <w:r w:rsidRPr="0054775B">
              <w:rPr>
                <w:b/>
                <w:bCs/>
              </w:rPr>
              <w:t>Oxidative stress</w:t>
            </w:r>
          </w:p>
        </w:tc>
        <w:tc>
          <w:tcPr>
            <w:tcW w:w="450" w:type="pct"/>
            <w:tcBorders>
              <w:top w:val="single" w:sz="6" w:space="0" w:color="000000"/>
              <w:left w:val="nil"/>
              <w:bottom w:val="single" w:sz="6" w:space="0" w:color="000000"/>
              <w:right w:val="nil"/>
            </w:tcBorders>
            <w:vAlign w:val="center"/>
          </w:tcPr>
          <w:p w14:paraId="5C09C976" w14:textId="4D91016B" w:rsidR="00244973" w:rsidRPr="0054775B" w:rsidRDefault="00244973" w:rsidP="00244973">
            <w:pPr>
              <w:pStyle w:val="2024TABLETEXT"/>
              <w:framePr w:hSpace="0" w:wrap="auto" w:vAnchor="margin" w:yAlign="inline"/>
              <w:suppressOverlap w:val="0"/>
            </w:pPr>
            <w:r w:rsidRPr="0054775B">
              <w:t>-</w:t>
            </w:r>
          </w:p>
        </w:tc>
        <w:tc>
          <w:tcPr>
            <w:tcW w:w="800" w:type="pct"/>
            <w:tcBorders>
              <w:top w:val="single" w:sz="6" w:space="0" w:color="000000"/>
              <w:left w:val="nil"/>
              <w:bottom w:val="single" w:sz="6" w:space="0" w:color="000000"/>
              <w:right w:val="nil"/>
            </w:tcBorders>
            <w:vAlign w:val="center"/>
          </w:tcPr>
          <w:p w14:paraId="3BC36548" w14:textId="4EF043FB" w:rsidR="00244973" w:rsidRPr="0054775B" w:rsidRDefault="00244973" w:rsidP="00244973">
            <w:pPr>
              <w:pStyle w:val="2024TABLETEXT"/>
              <w:framePr w:hSpace="0" w:wrap="auto" w:vAnchor="margin" w:yAlign="inline"/>
              <w:suppressOverlap w:val="0"/>
            </w:pPr>
            <w:r w:rsidRPr="0054775B">
              <w:t>-</w:t>
            </w:r>
          </w:p>
        </w:tc>
        <w:tc>
          <w:tcPr>
            <w:tcW w:w="450" w:type="pct"/>
            <w:tcBorders>
              <w:top w:val="single" w:sz="6" w:space="0" w:color="000000"/>
              <w:left w:val="nil"/>
              <w:bottom w:val="single" w:sz="6" w:space="0" w:color="000000"/>
              <w:right w:val="nil"/>
            </w:tcBorders>
            <w:vAlign w:val="center"/>
          </w:tcPr>
          <w:p w14:paraId="52114303" w14:textId="726CDEE1" w:rsidR="00244973" w:rsidRPr="0054775B" w:rsidRDefault="00244973" w:rsidP="00244973">
            <w:pPr>
              <w:pStyle w:val="2024TABLETEXT"/>
              <w:framePr w:hSpace="0" w:wrap="auto" w:vAnchor="margin" w:yAlign="inline"/>
              <w:suppressOverlap w:val="0"/>
            </w:pPr>
            <w:r w:rsidRPr="0054775B">
              <w:t>-</w:t>
            </w:r>
          </w:p>
        </w:tc>
        <w:tc>
          <w:tcPr>
            <w:tcW w:w="450" w:type="pct"/>
            <w:tcBorders>
              <w:top w:val="single" w:sz="6" w:space="0" w:color="000000"/>
              <w:left w:val="nil"/>
              <w:bottom w:val="single" w:sz="6" w:space="0" w:color="000000"/>
              <w:right w:val="nil"/>
            </w:tcBorders>
            <w:vAlign w:val="center"/>
          </w:tcPr>
          <w:p w14:paraId="7B44AB58" w14:textId="55AF50C1" w:rsidR="00244973" w:rsidRPr="0054775B" w:rsidRDefault="00244973" w:rsidP="00244973">
            <w:pPr>
              <w:pStyle w:val="2024TABLETEXT"/>
              <w:framePr w:hSpace="0" w:wrap="auto" w:vAnchor="margin" w:yAlign="inline"/>
              <w:suppressOverlap w:val="0"/>
            </w:pPr>
            <w:r w:rsidRPr="0054775B">
              <w:t>-</w:t>
            </w:r>
          </w:p>
        </w:tc>
        <w:tc>
          <w:tcPr>
            <w:tcW w:w="1350" w:type="pct"/>
            <w:tcBorders>
              <w:top w:val="single" w:sz="6" w:space="0" w:color="000000"/>
              <w:left w:val="nil"/>
              <w:bottom w:val="single" w:sz="6" w:space="0" w:color="000000"/>
              <w:right w:val="nil"/>
            </w:tcBorders>
            <w:vAlign w:val="center"/>
          </w:tcPr>
          <w:p w14:paraId="146E4655" w14:textId="207692C9" w:rsidR="00244973" w:rsidRPr="0054775B" w:rsidRDefault="00244973" w:rsidP="00244973">
            <w:pPr>
              <w:pStyle w:val="2024TABLETEXT"/>
              <w:framePr w:hSpace="0" w:wrap="auto" w:vAnchor="margin" w:yAlign="inline"/>
              <w:suppressOverlap w:val="0"/>
              <w:rPr>
                <w:highlight w:val="yellow"/>
              </w:rPr>
            </w:pPr>
            <w:r w:rsidRPr="0054775B">
              <w:t>No</w:t>
            </w:r>
            <w:r w:rsidRPr="0054775B" w:rsidDel="00072F89">
              <w:t xml:space="preserve"> </w:t>
            </w:r>
            <w:r w:rsidR="00BC0B3C">
              <w:t>reviews</w:t>
            </w:r>
            <w:r w:rsidR="00BC0B3C" w:rsidRPr="0054775B">
              <w:t xml:space="preserve"> </w:t>
            </w:r>
            <w:r w:rsidRPr="0054775B">
              <w:t xml:space="preserve">found. The effect of </w:t>
            </w:r>
            <w:r w:rsidR="00B54B83" w:rsidRPr="0054775B">
              <w:t>antioxidants</w:t>
            </w:r>
            <w:r w:rsidRPr="0054775B">
              <w:t xml:space="preserve"> on </w:t>
            </w:r>
            <w:r w:rsidR="00621E98" w:rsidRPr="0054775B">
              <w:t>oxidative stress</w:t>
            </w:r>
            <w:r w:rsidRPr="0054775B">
              <w:t xml:space="preserve"> in T2DM is unknown.</w:t>
            </w:r>
          </w:p>
        </w:tc>
      </w:tr>
      <w:tr w:rsidR="00244973" w:rsidRPr="0054775B" w14:paraId="2C042648" w14:textId="77777777" w:rsidTr="00621E98">
        <w:trPr>
          <w:cantSplit/>
          <w:trHeight w:val="36"/>
        </w:trPr>
        <w:tc>
          <w:tcPr>
            <w:tcW w:w="301" w:type="pct"/>
            <w:tcBorders>
              <w:top w:val="single" w:sz="6" w:space="0" w:color="000000"/>
              <w:left w:val="nil"/>
              <w:bottom w:val="single" w:sz="6" w:space="0" w:color="000000"/>
              <w:right w:val="nil"/>
            </w:tcBorders>
            <w:vAlign w:val="center"/>
          </w:tcPr>
          <w:p w14:paraId="6A464331" w14:textId="77777777" w:rsidR="00244973" w:rsidRPr="0054775B" w:rsidRDefault="00244973" w:rsidP="00244973">
            <w:pPr>
              <w:pStyle w:val="2024TABLETEXT"/>
              <w:framePr w:hSpace="0" w:wrap="auto" w:vAnchor="margin" w:yAlign="inline"/>
              <w:suppressOverlap w:val="0"/>
            </w:pPr>
            <w:r w:rsidRPr="0054775B">
              <w:lastRenderedPageBreak/>
              <w:t>8</w:t>
            </w:r>
          </w:p>
        </w:tc>
        <w:tc>
          <w:tcPr>
            <w:tcW w:w="1199" w:type="pct"/>
            <w:tcBorders>
              <w:top w:val="single" w:sz="6" w:space="0" w:color="000000"/>
              <w:left w:val="nil"/>
              <w:bottom w:val="single" w:sz="6" w:space="0" w:color="000000"/>
              <w:right w:val="nil"/>
            </w:tcBorders>
            <w:vAlign w:val="center"/>
          </w:tcPr>
          <w:p w14:paraId="248C996D" w14:textId="77777777" w:rsidR="00244973" w:rsidRPr="0054775B" w:rsidRDefault="00244973" w:rsidP="00621E98">
            <w:pPr>
              <w:pStyle w:val="2024TABLETEXT"/>
              <w:framePr w:hSpace="0" w:wrap="auto" w:vAnchor="margin" w:yAlign="inline"/>
              <w:suppressOverlap w:val="0"/>
            </w:pPr>
            <w:r w:rsidRPr="0054775B">
              <w:rPr>
                <w:b/>
                <w:bCs/>
              </w:rPr>
              <w:t>Diabetes related symptoms</w:t>
            </w:r>
          </w:p>
        </w:tc>
        <w:tc>
          <w:tcPr>
            <w:tcW w:w="450" w:type="pct"/>
            <w:tcBorders>
              <w:top w:val="single" w:sz="6" w:space="0" w:color="000000"/>
              <w:left w:val="nil"/>
              <w:bottom w:val="single" w:sz="6" w:space="0" w:color="000000"/>
              <w:right w:val="nil"/>
            </w:tcBorders>
            <w:vAlign w:val="center"/>
          </w:tcPr>
          <w:p w14:paraId="40E6B048" w14:textId="77777777" w:rsidR="00244973" w:rsidRPr="0054775B" w:rsidRDefault="00244973" w:rsidP="00244973">
            <w:pPr>
              <w:pStyle w:val="2024TABLETEXT"/>
              <w:framePr w:hSpace="0" w:wrap="auto" w:vAnchor="margin" w:yAlign="inline"/>
              <w:suppressOverlap w:val="0"/>
            </w:pPr>
            <w:r w:rsidRPr="0054775B">
              <w:t>-</w:t>
            </w:r>
          </w:p>
        </w:tc>
        <w:tc>
          <w:tcPr>
            <w:tcW w:w="800" w:type="pct"/>
            <w:tcBorders>
              <w:top w:val="single" w:sz="6" w:space="0" w:color="000000"/>
              <w:left w:val="nil"/>
              <w:bottom w:val="single" w:sz="6" w:space="0" w:color="000000"/>
              <w:right w:val="nil"/>
            </w:tcBorders>
            <w:vAlign w:val="center"/>
          </w:tcPr>
          <w:p w14:paraId="15464B3F" w14:textId="18D58467" w:rsidR="00244973" w:rsidRPr="0054775B" w:rsidRDefault="00244973" w:rsidP="00244973">
            <w:pPr>
              <w:pStyle w:val="2024TABLETEXT"/>
              <w:framePr w:hSpace="0" w:wrap="auto" w:vAnchor="margin" w:yAlign="inline"/>
              <w:suppressOverlap w:val="0"/>
            </w:pPr>
            <w:r w:rsidRPr="0054775B">
              <w:t>-</w:t>
            </w:r>
          </w:p>
        </w:tc>
        <w:tc>
          <w:tcPr>
            <w:tcW w:w="450" w:type="pct"/>
            <w:tcBorders>
              <w:top w:val="single" w:sz="6" w:space="0" w:color="000000"/>
              <w:left w:val="nil"/>
              <w:bottom w:val="single" w:sz="6" w:space="0" w:color="000000"/>
              <w:right w:val="nil"/>
            </w:tcBorders>
            <w:vAlign w:val="center"/>
          </w:tcPr>
          <w:p w14:paraId="44C16FE0" w14:textId="77777777" w:rsidR="00244973" w:rsidRPr="0054775B" w:rsidRDefault="00244973" w:rsidP="00244973">
            <w:pPr>
              <w:pStyle w:val="2024TABLETEXT"/>
              <w:framePr w:hSpace="0" w:wrap="auto" w:vAnchor="margin" w:yAlign="inline"/>
              <w:suppressOverlap w:val="0"/>
            </w:pPr>
            <w:r w:rsidRPr="0054775B">
              <w:t>-</w:t>
            </w:r>
          </w:p>
        </w:tc>
        <w:tc>
          <w:tcPr>
            <w:tcW w:w="450" w:type="pct"/>
            <w:tcBorders>
              <w:top w:val="single" w:sz="6" w:space="0" w:color="000000"/>
              <w:left w:val="nil"/>
              <w:bottom w:val="single" w:sz="6" w:space="0" w:color="000000"/>
              <w:right w:val="nil"/>
            </w:tcBorders>
            <w:vAlign w:val="center"/>
          </w:tcPr>
          <w:p w14:paraId="4BEDC2DC" w14:textId="3EA9EC9A" w:rsidR="00244973" w:rsidRPr="0054775B" w:rsidRDefault="00244973" w:rsidP="00244973">
            <w:pPr>
              <w:pStyle w:val="2024TABLETEXT"/>
              <w:framePr w:hSpace="0" w:wrap="auto" w:vAnchor="margin" w:yAlign="inline"/>
              <w:suppressOverlap w:val="0"/>
            </w:pPr>
            <w:r w:rsidRPr="0054775B">
              <w:t>-</w:t>
            </w:r>
          </w:p>
        </w:tc>
        <w:tc>
          <w:tcPr>
            <w:tcW w:w="1350" w:type="pct"/>
            <w:tcBorders>
              <w:top w:val="single" w:sz="6" w:space="0" w:color="000000"/>
              <w:left w:val="nil"/>
              <w:bottom w:val="single" w:sz="6" w:space="0" w:color="000000"/>
              <w:right w:val="nil"/>
            </w:tcBorders>
            <w:vAlign w:val="center"/>
          </w:tcPr>
          <w:p w14:paraId="7B594DA1" w14:textId="483A30EF" w:rsidR="00244973" w:rsidRPr="0054775B" w:rsidRDefault="00244973" w:rsidP="00244973">
            <w:pPr>
              <w:pStyle w:val="2024TABLETEXT"/>
              <w:framePr w:hSpace="0" w:wrap="auto" w:vAnchor="margin" w:yAlign="inline"/>
              <w:suppressOverlap w:val="0"/>
              <w:rPr>
                <w:highlight w:val="yellow"/>
              </w:rPr>
            </w:pPr>
            <w:r w:rsidRPr="0054775B">
              <w:t>No</w:t>
            </w:r>
            <w:r w:rsidRPr="0054775B" w:rsidDel="00072F89">
              <w:t xml:space="preserve"> </w:t>
            </w:r>
            <w:r w:rsidR="00BC0B3C">
              <w:t>reviews</w:t>
            </w:r>
            <w:r w:rsidR="00BC0B3C" w:rsidRPr="0054775B">
              <w:t xml:space="preserve"> </w:t>
            </w:r>
            <w:r w:rsidRPr="0054775B">
              <w:t xml:space="preserve">found. The effect of </w:t>
            </w:r>
            <w:r w:rsidR="00B54B83" w:rsidRPr="0054775B">
              <w:t xml:space="preserve">antioxidants </w:t>
            </w:r>
            <w:r w:rsidRPr="0054775B">
              <w:t>on diabetes related symptoms in T2DM is unknown.</w:t>
            </w:r>
          </w:p>
        </w:tc>
      </w:tr>
      <w:tr w:rsidR="00244973" w:rsidRPr="0054775B" w14:paraId="745B0CF0" w14:textId="77777777" w:rsidTr="00621E98">
        <w:trPr>
          <w:cantSplit/>
        </w:trPr>
        <w:tc>
          <w:tcPr>
            <w:tcW w:w="301" w:type="pct"/>
            <w:tcBorders>
              <w:top w:val="single" w:sz="6" w:space="0" w:color="000000"/>
              <w:left w:val="nil"/>
              <w:bottom w:val="single" w:sz="6" w:space="0" w:color="000000"/>
              <w:right w:val="nil"/>
            </w:tcBorders>
            <w:vAlign w:val="center"/>
          </w:tcPr>
          <w:p w14:paraId="363D5752" w14:textId="77777777" w:rsidR="00244973" w:rsidRPr="0054775B" w:rsidRDefault="00244973" w:rsidP="00244973">
            <w:pPr>
              <w:pStyle w:val="2024TABLETEXT"/>
              <w:framePr w:hSpace="0" w:wrap="auto" w:vAnchor="margin" w:yAlign="inline"/>
              <w:suppressOverlap w:val="0"/>
            </w:pPr>
            <w:r w:rsidRPr="0054775B">
              <w:t>8</w:t>
            </w:r>
          </w:p>
        </w:tc>
        <w:tc>
          <w:tcPr>
            <w:tcW w:w="1199" w:type="pct"/>
            <w:tcBorders>
              <w:top w:val="single" w:sz="6" w:space="0" w:color="000000"/>
              <w:left w:val="nil"/>
              <w:bottom w:val="single" w:sz="6" w:space="0" w:color="000000"/>
              <w:right w:val="nil"/>
            </w:tcBorders>
            <w:vAlign w:val="center"/>
          </w:tcPr>
          <w:p w14:paraId="6A4BC359" w14:textId="77777777" w:rsidR="00244973" w:rsidRPr="0054775B" w:rsidRDefault="00244973" w:rsidP="00621E98">
            <w:pPr>
              <w:pStyle w:val="2024TABLETEXT"/>
              <w:framePr w:hSpace="0" w:wrap="auto" w:vAnchor="margin" w:yAlign="inline"/>
              <w:suppressOverlap w:val="0"/>
              <w:rPr>
                <w:b/>
                <w:bCs/>
              </w:rPr>
            </w:pPr>
            <w:r w:rsidRPr="0054775B">
              <w:rPr>
                <w:b/>
                <w:bCs/>
              </w:rPr>
              <w:t>Overall diabetes related complications</w:t>
            </w:r>
          </w:p>
        </w:tc>
        <w:tc>
          <w:tcPr>
            <w:tcW w:w="450" w:type="pct"/>
            <w:tcBorders>
              <w:top w:val="single" w:sz="6" w:space="0" w:color="000000"/>
              <w:left w:val="nil"/>
              <w:bottom w:val="single" w:sz="6" w:space="0" w:color="000000"/>
              <w:right w:val="nil"/>
            </w:tcBorders>
            <w:vAlign w:val="center"/>
          </w:tcPr>
          <w:p w14:paraId="77921002" w14:textId="77777777" w:rsidR="00244973" w:rsidRPr="0054775B" w:rsidRDefault="00244973" w:rsidP="00244973">
            <w:pPr>
              <w:pStyle w:val="2024TABLETEXT"/>
              <w:framePr w:hSpace="0" w:wrap="auto" w:vAnchor="margin" w:yAlign="inline"/>
              <w:suppressOverlap w:val="0"/>
            </w:pPr>
            <w:r w:rsidRPr="0054775B">
              <w:t>-</w:t>
            </w:r>
          </w:p>
        </w:tc>
        <w:tc>
          <w:tcPr>
            <w:tcW w:w="800" w:type="pct"/>
            <w:tcBorders>
              <w:top w:val="single" w:sz="6" w:space="0" w:color="000000"/>
              <w:left w:val="nil"/>
              <w:bottom w:val="single" w:sz="6" w:space="0" w:color="000000"/>
              <w:right w:val="nil"/>
            </w:tcBorders>
            <w:vAlign w:val="center"/>
          </w:tcPr>
          <w:p w14:paraId="4012B763" w14:textId="52451D1D" w:rsidR="00244973" w:rsidRPr="0054775B" w:rsidRDefault="00244973" w:rsidP="00244973">
            <w:pPr>
              <w:pStyle w:val="2024TABLETEXT"/>
              <w:framePr w:hSpace="0" w:wrap="auto" w:vAnchor="margin" w:yAlign="inline"/>
              <w:suppressOverlap w:val="0"/>
            </w:pPr>
            <w:r w:rsidRPr="0054775B">
              <w:t>-</w:t>
            </w:r>
          </w:p>
        </w:tc>
        <w:tc>
          <w:tcPr>
            <w:tcW w:w="450" w:type="pct"/>
            <w:tcBorders>
              <w:top w:val="single" w:sz="6" w:space="0" w:color="000000"/>
              <w:left w:val="nil"/>
              <w:bottom w:val="single" w:sz="6" w:space="0" w:color="000000"/>
              <w:right w:val="nil"/>
            </w:tcBorders>
            <w:vAlign w:val="center"/>
          </w:tcPr>
          <w:p w14:paraId="2912232A" w14:textId="77777777" w:rsidR="00244973" w:rsidRPr="0054775B" w:rsidRDefault="00244973" w:rsidP="00244973">
            <w:pPr>
              <w:pStyle w:val="2024TABLETEXT"/>
              <w:framePr w:hSpace="0" w:wrap="auto" w:vAnchor="margin" w:yAlign="inline"/>
              <w:suppressOverlap w:val="0"/>
            </w:pPr>
            <w:r w:rsidRPr="0054775B">
              <w:t>-</w:t>
            </w:r>
          </w:p>
        </w:tc>
        <w:tc>
          <w:tcPr>
            <w:tcW w:w="450" w:type="pct"/>
            <w:tcBorders>
              <w:top w:val="single" w:sz="6" w:space="0" w:color="000000"/>
              <w:left w:val="nil"/>
              <w:bottom w:val="single" w:sz="6" w:space="0" w:color="000000"/>
              <w:right w:val="nil"/>
            </w:tcBorders>
            <w:vAlign w:val="center"/>
          </w:tcPr>
          <w:p w14:paraId="37DBBFB3" w14:textId="407AB621" w:rsidR="00244973" w:rsidRPr="0054775B" w:rsidRDefault="00244973" w:rsidP="00244973">
            <w:pPr>
              <w:pStyle w:val="2024TABLETEXT"/>
              <w:framePr w:hSpace="0" w:wrap="auto" w:vAnchor="margin" w:yAlign="inline"/>
              <w:suppressOverlap w:val="0"/>
            </w:pPr>
            <w:r w:rsidRPr="0054775B">
              <w:t>-</w:t>
            </w:r>
          </w:p>
        </w:tc>
        <w:tc>
          <w:tcPr>
            <w:tcW w:w="1350" w:type="pct"/>
            <w:tcBorders>
              <w:top w:val="single" w:sz="6" w:space="0" w:color="000000"/>
              <w:left w:val="nil"/>
              <w:bottom w:val="single" w:sz="6" w:space="0" w:color="000000"/>
              <w:right w:val="nil"/>
            </w:tcBorders>
            <w:vAlign w:val="center"/>
          </w:tcPr>
          <w:p w14:paraId="04560DC6" w14:textId="308EFFEB" w:rsidR="00244973" w:rsidRPr="0054775B" w:rsidRDefault="00244973" w:rsidP="00244973">
            <w:pPr>
              <w:pStyle w:val="2024TABLETEXT"/>
              <w:framePr w:hSpace="0" w:wrap="auto" w:vAnchor="margin" w:yAlign="inline"/>
              <w:suppressOverlap w:val="0"/>
              <w:rPr>
                <w:highlight w:val="yellow"/>
              </w:rPr>
            </w:pPr>
            <w:r w:rsidRPr="0054775B">
              <w:t>No</w:t>
            </w:r>
            <w:r w:rsidRPr="0054775B" w:rsidDel="0052196C">
              <w:t xml:space="preserve"> </w:t>
            </w:r>
            <w:r w:rsidR="00BC0B3C">
              <w:t>reviews</w:t>
            </w:r>
            <w:r w:rsidR="00BC0B3C" w:rsidRPr="0054775B">
              <w:t xml:space="preserve"> </w:t>
            </w:r>
            <w:r w:rsidRPr="0054775B">
              <w:t xml:space="preserve">found. The effect of </w:t>
            </w:r>
            <w:r w:rsidR="00B54B83" w:rsidRPr="0054775B">
              <w:t xml:space="preserve">antioxidants </w:t>
            </w:r>
            <w:r w:rsidRPr="0054775B">
              <w:t>on overall diabetes-related complications in T2DM is unknown.</w:t>
            </w:r>
          </w:p>
        </w:tc>
      </w:tr>
      <w:tr w:rsidR="00621E98" w:rsidRPr="0054775B" w14:paraId="0E97B95B" w14:textId="77777777" w:rsidTr="00621E98">
        <w:trPr>
          <w:cantSplit/>
        </w:trPr>
        <w:tc>
          <w:tcPr>
            <w:tcW w:w="301" w:type="pct"/>
            <w:tcBorders>
              <w:top w:val="single" w:sz="6" w:space="0" w:color="000000"/>
              <w:left w:val="nil"/>
              <w:bottom w:val="single" w:sz="6" w:space="0" w:color="000000"/>
              <w:right w:val="nil"/>
            </w:tcBorders>
          </w:tcPr>
          <w:p w14:paraId="640C533D" w14:textId="77777777" w:rsidR="00621E98" w:rsidRPr="0054775B" w:rsidRDefault="00621E98" w:rsidP="00621E98">
            <w:pPr>
              <w:pStyle w:val="2024TABLETEXT"/>
              <w:framePr w:hSpace="0" w:wrap="auto" w:vAnchor="margin" w:yAlign="inline"/>
              <w:suppressOverlap w:val="0"/>
            </w:pPr>
            <w:r w:rsidRPr="0054775B">
              <w:t>8</w:t>
            </w:r>
          </w:p>
        </w:tc>
        <w:tc>
          <w:tcPr>
            <w:tcW w:w="1199" w:type="pct"/>
            <w:tcBorders>
              <w:top w:val="single" w:sz="6" w:space="0" w:color="000000"/>
              <w:left w:val="nil"/>
              <w:bottom w:val="single" w:sz="6" w:space="0" w:color="000000"/>
              <w:right w:val="nil"/>
            </w:tcBorders>
            <w:vAlign w:val="center"/>
          </w:tcPr>
          <w:p w14:paraId="47E23555" w14:textId="77777777" w:rsidR="00621E98" w:rsidRPr="0054775B" w:rsidRDefault="00621E98" w:rsidP="00621E98">
            <w:pPr>
              <w:pStyle w:val="2024TABLETEXT"/>
              <w:framePr w:hSpace="0" w:wrap="auto" w:vAnchor="margin" w:yAlign="inline"/>
              <w:suppressOverlap w:val="0"/>
              <w:rPr>
                <w:b/>
                <w:bCs/>
              </w:rPr>
            </w:pPr>
            <w:r w:rsidRPr="0054775B">
              <w:rPr>
                <w:b/>
                <w:bCs/>
              </w:rPr>
              <w:t>HRQoL</w:t>
            </w:r>
          </w:p>
        </w:tc>
        <w:tc>
          <w:tcPr>
            <w:tcW w:w="450" w:type="pct"/>
            <w:tcBorders>
              <w:top w:val="single" w:sz="6" w:space="0" w:color="000000"/>
              <w:left w:val="nil"/>
              <w:bottom w:val="single" w:sz="6" w:space="0" w:color="000000"/>
              <w:right w:val="nil"/>
            </w:tcBorders>
          </w:tcPr>
          <w:p w14:paraId="4C24E67A" w14:textId="77777777" w:rsidR="00621E98" w:rsidRPr="0054775B" w:rsidRDefault="00621E98" w:rsidP="00621E98">
            <w:pPr>
              <w:pStyle w:val="2024TABLETEXT"/>
              <w:framePr w:hSpace="0" w:wrap="auto" w:vAnchor="margin" w:yAlign="inline"/>
              <w:suppressOverlap w:val="0"/>
            </w:pPr>
            <w:r w:rsidRPr="0054775B">
              <w:t>-</w:t>
            </w:r>
          </w:p>
        </w:tc>
        <w:tc>
          <w:tcPr>
            <w:tcW w:w="800" w:type="pct"/>
            <w:tcBorders>
              <w:top w:val="single" w:sz="6" w:space="0" w:color="000000"/>
              <w:left w:val="nil"/>
              <w:bottom w:val="single" w:sz="6" w:space="0" w:color="000000"/>
              <w:right w:val="nil"/>
            </w:tcBorders>
            <w:vAlign w:val="center"/>
          </w:tcPr>
          <w:p w14:paraId="11CEEA24" w14:textId="66C9388B" w:rsidR="00621E98" w:rsidRPr="0054775B" w:rsidRDefault="00621E98" w:rsidP="00621E98">
            <w:pPr>
              <w:pStyle w:val="2024TABLETEXT"/>
              <w:framePr w:hSpace="0" w:wrap="auto" w:vAnchor="margin" w:yAlign="inline"/>
              <w:suppressOverlap w:val="0"/>
            </w:pPr>
            <w:r w:rsidRPr="0054775B">
              <w:t>-</w:t>
            </w:r>
          </w:p>
        </w:tc>
        <w:tc>
          <w:tcPr>
            <w:tcW w:w="450" w:type="pct"/>
            <w:tcBorders>
              <w:top w:val="single" w:sz="6" w:space="0" w:color="000000"/>
              <w:left w:val="nil"/>
              <w:bottom w:val="single" w:sz="6" w:space="0" w:color="000000"/>
              <w:right w:val="nil"/>
            </w:tcBorders>
            <w:vAlign w:val="center"/>
          </w:tcPr>
          <w:p w14:paraId="49F92F9C" w14:textId="015F18D5" w:rsidR="00621E98" w:rsidRPr="0054775B" w:rsidRDefault="00621E98" w:rsidP="00621E98">
            <w:pPr>
              <w:pStyle w:val="2024TABLETEXT"/>
              <w:framePr w:hSpace="0" w:wrap="auto" w:vAnchor="margin" w:yAlign="inline"/>
              <w:suppressOverlap w:val="0"/>
            </w:pPr>
            <w:r w:rsidRPr="0054775B">
              <w:t>-</w:t>
            </w:r>
          </w:p>
        </w:tc>
        <w:tc>
          <w:tcPr>
            <w:tcW w:w="450" w:type="pct"/>
            <w:tcBorders>
              <w:top w:val="single" w:sz="6" w:space="0" w:color="000000"/>
              <w:left w:val="nil"/>
              <w:bottom w:val="single" w:sz="6" w:space="0" w:color="000000"/>
              <w:right w:val="nil"/>
            </w:tcBorders>
            <w:vAlign w:val="center"/>
          </w:tcPr>
          <w:p w14:paraId="77A446EA" w14:textId="384847DF" w:rsidR="00621E98" w:rsidRPr="0054775B" w:rsidRDefault="00621E98" w:rsidP="00621E98">
            <w:pPr>
              <w:pStyle w:val="2024TABLETEXT"/>
              <w:framePr w:hSpace="0" w:wrap="auto" w:vAnchor="margin" w:yAlign="inline"/>
              <w:suppressOverlap w:val="0"/>
            </w:pPr>
            <w:r w:rsidRPr="0054775B">
              <w:t>-</w:t>
            </w:r>
          </w:p>
        </w:tc>
        <w:tc>
          <w:tcPr>
            <w:tcW w:w="1350" w:type="pct"/>
            <w:tcBorders>
              <w:top w:val="single" w:sz="6" w:space="0" w:color="000000"/>
              <w:left w:val="nil"/>
              <w:bottom w:val="single" w:sz="6" w:space="0" w:color="000000"/>
              <w:right w:val="nil"/>
            </w:tcBorders>
            <w:vAlign w:val="center"/>
          </w:tcPr>
          <w:p w14:paraId="744177A4" w14:textId="42EF3C56" w:rsidR="00621E98" w:rsidRPr="0054775B" w:rsidRDefault="00621E98" w:rsidP="00621E98">
            <w:pPr>
              <w:pStyle w:val="2024TABLETEXT"/>
              <w:framePr w:hSpace="0" w:wrap="auto" w:vAnchor="margin" w:yAlign="inline"/>
              <w:suppressOverlap w:val="0"/>
              <w:rPr>
                <w:highlight w:val="yellow"/>
              </w:rPr>
            </w:pPr>
            <w:r w:rsidRPr="0054775B">
              <w:t>No</w:t>
            </w:r>
            <w:r w:rsidRPr="0054775B" w:rsidDel="0052196C">
              <w:t xml:space="preserve"> </w:t>
            </w:r>
            <w:r w:rsidR="00BC0B3C">
              <w:t>reviews</w:t>
            </w:r>
            <w:r w:rsidR="00BC0B3C" w:rsidRPr="0054775B">
              <w:t xml:space="preserve"> </w:t>
            </w:r>
            <w:r w:rsidRPr="0054775B">
              <w:t>found. The effect of</w:t>
            </w:r>
            <w:r w:rsidR="00B54B83" w:rsidRPr="0054775B">
              <w:t xml:space="preserve"> antioxidants </w:t>
            </w:r>
            <w:r w:rsidRPr="0054775B">
              <w:t>on HRQoL in T2DM is unknown.</w:t>
            </w:r>
          </w:p>
        </w:tc>
      </w:tr>
    </w:tbl>
    <w:tbl>
      <w:tblPr>
        <w:tblW w:w="4662" w:type="pct"/>
        <w:tblLayout w:type="fixed"/>
        <w:tblCellMar>
          <w:top w:w="28" w:type="dxa"/>
          <w:left w:w="57" w:type="dxa"/>
          <w:bottom w:w="28" w:type="dxa"/>
          <w:right w:w="28" w:type="dxa"/>
        </w:tblCellMar>
        <w:tblLook w:val="04A0" w:firstRow="1" w:lastRow="0" w:firstColumn="1" w:lastColumn="0" w:noHBand="0" w:noVBand="1"/>
      </w:tblPr>
      <w:tblGrid>
        <w:gridCol w:w="14176"/>
      </w:tblGrid>
      <w:tr w:rsidR="00DE04B2" w:rsidRPr="0054775B" w14:paraId="5A81C51D" w14:textId="77777777">
        <w:trPr>
          <w:cantSplit/>
          <w:trHeight w:val="50"/>
        </w:trPr>
        <w:tc>
          <w:tcPr>
            <w:tcW w:w="5000" w:type="pct"/>
            <w:tcBorders>
              <w:top w:val="single" w:sz="6" w:space="0" w:color="000000"/>
              <w:left w:val="nil"/>
              <w:bottom w:val="single" w:sz="6" w:space="0" w:color="000000"/>
              <w:right w:val="nil"/>
            </w:tcBorders>
          </w:tcPr>
          <w:p w14:paraId="13599B8A" w14:textId="77777777" w:rsidR="00704844" w:rsidRPr="0054775B" w:rsidRDefault="00704844" w:rsidP="00704844">
            <w:pPr>
              <w:pStyle w:val="2024TABLEFOOTER"/>
            </w:pPr>
            <w:r w:rsidRPr="0054775B">
              <w:t>*Ratings 1-3 = of limited importance to decision making; 4-6 = important, but not critical, to decision making; 7-9 = critical for decision-making</w:t>
            </w:r>
          </w:p>
          <w:p w14:paraId="3690972A" w14:textId="7F576DCB" w:rsidR="00A637C8" w:rsidRPr="0054775B" w:rsidRDefault="00A637C8" w:rsidP="00A637C8">
            <w:pPr>
              <w:pStyle w:val="2024TABLEFOOTER"/>
            </w:pPr>
            <w:r w:rsidRPr="0054775B">
              <w:t>^SMDs of 0.2, 0.5, and 0.8 are considered small, medium, and large, respectively.</w:t>
            </w:r>
          </w:p>
          <w:p w14:paraId="0AB0D11E" w14:textId="7F53BE69" w:rsidR="005749FB" w:rsidRPr="00A637C8" w:rsidRDefault="005749FB" w:rsidP="005749FB">
            <w:pPr>
              <w:pStyle w:val="2024TABLEFOOTER"/>
            </w:pPr>
            <w:r>
              <w:rPr>
                <w:szCs w:val="16"/>
              </w:rPr>
              <w:t>#</w:t>
            </w:r>
            <w:r>
              <w:t xml:space="preserve"> MCID for fasting blood glucose = </w:t>
            </w:r>
            <w:r w:rsidR="007E117E">
              <w:t>29 mg/dL (</w:t>
            </w:r>
            <w:r>
              <w:t>1.60mmol/L</w:t>
            </w:r>
            <w:r w:rsidR="007E117E">
              <w:t>)</w:t>
            </w:r>
            <w:r>
              <w:t xml:space="preserve"> (MCID for </w:t>
            </w:r>
            <w:r w:rsidRPr="00F238F0">
              <w:rPr>
                <w:szCs w:val="16"/>
              </w:rPr>
              <w:t>Hb1AC</w:t>
            </w:r>
            <w:r>
              <w:t xml:space="preserve"> = 0.5%;</w:t>
            </w:r>
            <w:r w:rsidRPr="00182CC5">
              <w:rPr>
                <w:szCs w:val="16"/>
              </w:rPr>
              <w:t xml:space="preserve"> MCID for HOMA-IR </w:t>
            </w:r>
            <w:r>
              <w:rPr>
                <w:szCs w:val="16"/>
              </w:rPr>
              <w:t xml:space="preserve">reported as </w:t>
            </w:r>
            <w:r>
              <w:t xml:space="preserve">0.05 </w:t>
            </w:r>
            <w:r w:rsidR="00227084">
              <w:rPr>
                <w:noProof/>
              </w:rPr>
              <w:t>(209, 215)</w:t>
            </w:r>
            <w:r>
              <w:t>.</w:t>
            </w:r>
          </w:p>
          <w:p w14:paraId="35657B8D" w14:textId="445C3A64" w:rsidR="00426D50" w:rsidRDefault="00704844" w:rsidP="005617C5">
            <w:pPr>
              <w:pStyle w:val="2024TABLEFOOTER"/>
              <w:rPr>
                <w:szCs w:val="16"/>
              </w:rPr>
            </w:pPr>
            <w:r>
              <w:t>§</w:t>
            </w:r>
            <w:r w:rsidR="00426D50">
              <w:rPr>
                <w:szCs w:val="16"/>
              </w:rPr>
              <w:t>MCID for SBP</w:t>
            </w:r>
            <w:r w:rsidR="00A54A26">
              <w:rPr>
                <w:szCs w:val="16"/>
              </w:rPr>
              <w:t xml:space="preserve"> and DBP </w:t>
            </w:r>
            <w:r w:rsidR="00426D50">
              <w:rPr>
                <w:szCs w:val="16"/>
              </w:rPr>
              <w:t xml:space="preserve">= </w:t>
            </w:r>
            <w:r w:rsidR="00426D50" w:rsidRPr="00426D50">
              <w:rPr>
                <w:szCs w:val="16"/>
              </w:rPr>
              <w:t>2mmHg</w:t>
            </w:r>
            <w:r w:rsidR="00A54A26">
              <w:rPr>
                <w:szCs w:val="16"/>
              </w:rPr>
              <w:t xml:space="preserve"> </w:t>
            </w:r>
            <w:r w:rsidR="00227084">
              <w:rPr>
                <w:noProof/>
                <w:szCs w:val="16"/>
              </w:rPr>
              <w:t>(179)</w:t>
            </w:r>
            <w:r w:rsidR="0052196C">
              <w:rPr>
                <w:szCs w:val="16"/>
              </w:rPr>
              <w:t>.</w:t>
            </w:r>
          </w:p>
          <w:p w14:paraId="59AE5077" w14:textId="77777777" w:rsidR="00A637C8" w:rsidRDefault="00A637C8" w:rsidP="006F63D3">
            <w:pPr>
              <w:pStyle w:val="2024TABLEFOOTER"/>
            </w:pPr>
          </w:p>
          <w:p w14:paraId="41A10D23" w14:textId="131494EA" w:rsidR="00DE04B2" w:rsidRPr="0054775B" w:rsidRDefault="00DE04B2" w:rsidP="006F63D3">
            <w:pPr>
              <w:pStyle w:val="2024TABLEFOOTER"/>
            </w:pPr>
            <w:r w:rsidRPr="0054775B">
              <w:t>Abbreviations:</w:t>
            </w:r>
            <w:r w:rsidR="002141A4" w:rsidRPr="0054775B">
              <w:t xml:space="preserve"> </w:t>
            </w:r>
            <w:r w:rsidR="007A61FC" w:rsidRPr="0054775B">
              <w:t>ALA=alpha-li</w:t>
            </w:r>
            <w:r w:rsidR="0090164F">
              <w:t>poic</w:t>
            </w:r>
            <w:r w:rsidR="007A61FC" w:rsidRPr="0054775B">
              <w:t xml:space="preserve"> acid, CoQ10=Coenzyme Q10, </w:t>
            </w:r>
            <w:r w:rsidR="002141A4" w:rsidRPr="0054775B">
              <w:t>CI=Confidence interval, MD=Mean difference, NR=Not reported</w:t>
            </w:r>
            <w:r w:rsidR="007A61FC" w:rsidRPr="0054775B">
              <w:t xml:space="preserve">, </w:t>
            </w:r>
            <w:r w:rsidR="00477132" w:rsidRPr="0054775B">
              <w:rPr>
                <w:szCs w:val="16"/>
              </w:rPr>
              <w:t>T2DM=Type II Diabetes Mellitus</w:t>
            </w:r>
            <w:r w:rsidR="009F0B05">
              <w:rPr>
                <w:szCs w:val="16"/>
              </w:rPr>
              <w:t xml:space="preserve">; </w:t>
            </w:r>
            <w:r w:rsidR="009F0B05" w:rsidRPr="009F0B05">
              <w:rPr>
                <w:szCs w:val="16"/>
              </w:rPr>
              <w:t>Homeostatic Model Assessment for Insulin Resistance=HOMA-ir</w:t>
            </w:r>
            <w:r w:rsidR="00F238F0">
              <w:rPr>
                <w:szCs w:val="16"/>
              </w:rPr>
              <w:t xml:space="preserve">; </w:t>
            </w:r>
            <w:r w:rsidR="00F238F0" w:rsidRPr="00F238F0">
              <w:rPr>
                <w:szCs w:val="16"/>
              </w:rPr>
              <w:t>Hb1AC</w:t>
            </w:r>
            <w:r w:rsidR="00F238F0">
              <w:rPr>
                <w:szCs w:val="16"/>
              </w:rPr>
              <w:t>=</w:t>
            </w:r>
            <w:r w:rsidR="00F238F0" w:rsidRPr="00F238F0">
              <w:rPr>
                <w:szCs w:val="16"/>
              </w:rPr>
              <w:t>Hemoglobin A1C</w:t>
            </w:r>
          </w:p>
        </w:tc>
      </w:tr>
      <w:tr w:rsidR="00DE04B2" w:rsidRPr="0054775B" w14:paraId="5AC14184" w14:textId="77777777">
        <w:trPr>
          <w:cantSplit/>
          <w:trHeight w:val="236"/>
        </w:trPr>
        <w:tc>
          <w:tcPr>
            <w:tcW w:w="5000" w:type="pct"/>
            <w:tcBorders>
              <w:top w:val="single" w:sz="6" w:space="0" w:color="000000"/>
              <w:left w:val="nil"/>
              <w:bottom w:val="single" w:sz="6" w:space="0" w:color="000000"/>
              <w:right w:val="nil"/>
            </w:tcBorders>
          </w:tcPr>
          <w:p w14:paraId="3F73DBBA" w14:textId="1C8276DC" w:rsidR="00DE04B2" w:rsidRPr="0054775B" w:rsidRDefault="00090A80" w:rsidP="006F63D3">
            <w:pPr>
              <w:pStyle w:val="2024TABLEFOOTER"/>
            </w:pPr>
            <w:r w:rsidRPr="0054775B">
              <w:t>GRADE Working Group grades of evidence</w:t>
            </w:r>
            <w:r w:rsidRPr="0054775B">
              <w:br/>
            </w:r>
            <w:r w:rsidRPr="0054775B">
              <w:rPr>
                <w:b/>
                <w:bCs/>
              </w:rPr>
              <w:t>High certainty:</w:t>
            </w:r>
            <w:r w:rsidRPr="0054775B">
              <w:t xml:space="preserve"> we are very confident that the true effect lies close to that of the estimate of the effect.</w:t>
            </w:r>
            <w:r w:rsidR="00B26EB3" w:rsidRPr="0054775B">
              <w:t xml:space="preserve"> </w:t>
            </w:r>
            <w:r w:rsidRPr="0054775B">
              <w:br/>
            </w:r>
            <w:r w:rsidRPr="0054775B">
              <w:rPr>
                <w:b/>
                <w:bCs/>
              </w:rPr>
              <w:t>Moderate certainty:</w:t>
            </w:r>
            <w:r w:rsidRPr="0054775B">
              <w:t xml:space="preserve"> we are moderately confident in the effect estimate: the true effect is likely to be close to the estimate of the effect, but there is a possibility that it is substantially different.</w:t>
            </w:r>
            <w:r w:rsidRPr="0054775B">
              <w:br/>
            </w:r>
            <w:r w:rsidRPr="0054775B">
              <w:rPr>
                <w:b/>
                <w:bCs/>
              </w:rPr>
              <w:t>Low certainty:</w:t>
            </w:r>
            <w:r w:rsidRPr="0054775B">
              <w:t xml:space="preserve"> our confidence in the effect estimate is limited: the true effect may be substantially different from the estimate of the effect.</w:t>
            </w:r>
            <w:r w:rsidRPr="0054775B">
              <w:br/>
            </w:r>
            <w:r w:rsidRPr="0054775B">
              <w:rPr>
                <w:b/>
                <w:bCs/>
              </w:rPr>
              <w:t>Very low certainty:</w:t>
            </w:r>
            <w:r w:rsidRPr="0054775B">
              <w:t xml:space="preserve"> we have very little confidence in the effect estimate: the true effect is likely to be substantially different from the estimate of effect.</w:t>
            </w:r>
            <w:r w:rsidR="00B26EB3">
              <w:rPr>
                <w:noProof/>
              </w:rPr>
              <w:t xml:space="preserve"> </w:t>
            </w:r>
          </w:p>
        </w:tc>
      </w:tr>
      <w:tr w:rsidR="00DE04B2" w:rsidRPr="0054775B" w14:paraId="2F170ED2" w14:textId="77777777">
        <w:trPr>
          <w:cantSplit/>
          <w:trHeight w:val="236"/>
        </w:trPr>
        <w:tc>
          <w:tcPr>
            <w:tcW w:w="5000" w:type="pct"/>
            <w:tcBorders>
              <w:top w:val="single" w:sz="6" w:space="0" w:color="000000"/>
              <w:left w:val="nil"/>
              <w:bottom w:val="single" w:sz="6" w:space="0" w:color="000000"/>
              <w:right w:val="nil"/>
            </w:tcBorders>
          </w:tcPr>
          <w:p w14:paraId="42FB41B7" w14:textId="77777777" w:rsidR="00DE04B2" w:rsidRPr="0054775B" w:rsidRDefault="00DE04B2" w:rsidP="006F63D3">
            <w:pPr>
              <w:pStyle w:val="2024TABLEFOOTER"/>
            </w:pPr>
            <w:r w:rsidRPr="0054775B">
              <w:t>Explanations</w:t>
            </w:r>
          </w:p>
          <w:p w14:paraId="6936290C" w14:textId="0AC6848E" w:rsidR="001C317C" w:rsidRPr="009F714F" w:rsidRDefault="006607EF" w:rsidP="00107BEE">
            <w:pPr>
              <w:pStyle w:val="2024TABLEFOOTER"/>
              <w:numPr>
                <w:ilvl w:val="0"/>
                <w:numId w:val="12"/>
              </w:numPr>
            </w:pPr>
            <w:r w:rsidRPr="001428E8">
              <w:t xml:space="preserve">No serious risk of bias concerns (no change for risk of bias). </w:t>
            </w:r>
            <w:r w:rsidR="00B830F4" w:rsidRPr="001428E8">
              <w:t xml:space="preserve">CI boundaries suggest very different inferences based on MCID (SMD = 0.2), </w:t>
            </w:r>
            <w:r w:rsidR="008423A9" w:rsidRPr="001428E8">
              <w:t xml:space="preserve">CI appreciably crosses the threshold(s) of </w:t>
            </w:r>
            <w:r w:rsidR="00B830F4" w:rsidRPr="001428E8">
              <w:t>effect</w:t>
            </w:r>
            <w:r w:rsidR="008423A9" w:rsidRPr="001428E8">
              <w:t xml:space="preserve"> (downgraded </w:t>
            </w:r>
            <w:r w:rsidR="001F29C8">
              <w:t>2</w:t>
            </w:r>
            <w:r w:rsidR="008423A9" w:rsidRPr="001428E8">
              <w:t xml:space="preserve"> for serious imprecision).</w:t>
            </w:r>
            <w:r w:rsidR="00B830F4" w:rsidRPr="001428E8">
              <w:t xml:space="preserve"> </w:t>
            </w:r>
            <w:r w:rsidR="008B403D" w:rsidRPr="009F714F">
              <w:t xml:space="preserve">Inconsistency supported by high I² values and statistically significant heterogeneity, point estimates varied </w:t>
            </w:r>
            <w:r w:rsidR="003E3CB9" w:rsidRPr="009F714F">
              <w:t>in direction of effect</w:t>
            </w:r>
            <w:r w:rsidR="00B830F4">
              <w:t xml:space="preserve">, limited overlap of CIs </w:t>
            </w:r>
            <w:r w:rsidR="008B403D" w:rsidRPr="009F714F">
              <w:t>(downgrade one for inconsistency).</w:t>
            </w:r>
            <w:r w:rsidR="00C20F8C" w:rsidRPr="009F714F">
              <w:t xml:space="preserve"> </w:t>
            </w:r>
            <w:r w:rsidR="00BA6E76" w:rsidRPr="009F714F">
              <w:t>Publication bias unlikely, supported by visual inspection of funnel plot (no change for publication bias).</w:t>
            </w:r>
          </w:p>
          <w:p w14:paraId="6EBAFB93" w14:textId="362616AE" w:rsidR="00391955" w:rsidRPr="009F714F" w:rsidRDefault="00416C0D" w:rsidP="00107BEE">
            <w:pPr>
              <w:pStyle w:val="2024TABLEFOOTER"/>
              <w:numPr>
                <w:ilvl w:val="0"/>
                <w:numId w:val="12"/>
              </w:numPr>
            </w:pPr>
            <w:r w:rsidRPr="001428E8">
              <w:t xml:space="preserve">No </w:t>
            </w:r>
            <w:r w:rsidR="007E1F7D" w:rsidRPr="001428E8">
              <w:t xml:space="preserve">serious risk of bias concerns (no change for risk of bias). </w:t>
            </w:r>
            <w:r w:rsidR="005A53FA" w:rsidRPr="001428E8">
              <w:t xml:space="preserve">Inconsistency supported by high I² values and statistically significant heterogeneity, however, while point estimates sometimes crossed direction of effect threshold, </w:t>
            </w:r>
            <w:r w:rsidR="00A23E54" w:rsidRPr="009F714F">
              <w:t>on balance, they</w:t>
            </w:r>
            <w:r w:rsidR="005A53FA" w:rsidRPr="001428E8">
              <w:t xml:space="preserve"> were </w:t>
            </w:r>
            <w:r w:rsidR="0059516F" w:rsidRPr="001428E8">
              <w:t>similar and confidence intervals overlapped</w:t>
            </w:r>
            <w:r w:rsidR="005A53FA" w:rsidRPr="001428E8">
              <w:t xml:space="preserve"> (no change for inconsistency). </w:t>
            </w:r>
            <w:r w:rsidR="00054CAD" w:rsidRPr="001428E8">
              <w:t xml:space="preserve">CI boundaries </w:t>
            </w:r>
            <w:r w:rsidR="0044214C">
              <w:t>fall within</w:t>
            </w:r>
            <w:r w:rsidR="00054CAD" w:rsidRPr="001428E8">
              <w:t xml:space="preserve"> MCID (</w:t>
            </w:r>
            <w:r w:rsidR="00054CAD" w:rsidRPr="009F714F">
              <w:t xml:space="preserve">FBG = </w:t>
            </w:r>
            <w:r w:rsidR="00167A93">
              <w:t>29 mg/dL</w:t>
            </w:r>
            <w:r w:rsidR="00054CAD" w:rsidRPr="009F714F">
              <w:t>)</w:t>
            </w:r>
            <w:r w:rsidR="0044214C">
              <w:t xml:space="preserve"> </w:t>
            </w:r>
            <w:r w:rsidR="00054CAD" w:rsidRPr="001428E8">
              <w:t xml:space="preserve">(no change for imprecision). </w:t>
            </w:r>
            <w:r w:rsidR="0014216F" w:rsidRPr="009F714F">
              <w:t>Suspected p</w:t>
            </w:r>
            <w:r w:rsidR="00853417" w:rsidRPr="009F714F">
              <w:t>ublication bias</w:t>
            </w:r>
            <w:r w:rsidR="0014216F" w:rsidRPr="009F714F">
              <w:t xml:space="preserve"> </w:t>
            </w:r>
            <w:r w:rsidR="0059516F" w:rsidRPr="009F714F">
              <w:t xml:space="preserve">based on inspection of funnel plot </w:t>
            </w:r>
            <w:r w:rsidR="001164E4" w:rsidRPr="001428E8">
              <w:t xml:space="preserve">and Egger’s test </w:t>
            </w:r>
            <w:r w:rsidR="0014216F" w:rsidRPr="009F714F">
              <w:t>(downgrade one)</w:t>
            </w:r>
            <w:r w:rsidR="00853417" w:rsidRPr="009F714F">
              <w:t>.</w:t>
            </w:r>
          </w:p>
          <w:p w14:paraId="7A7F5AAC" w14:textId="01CF02FE" w:rsidR="00391955" w:rsidRPr="001428E8" w:rsidRDefault="007E1F7D" w:rsidP="00107BEE">
            <w:pPr>
              <w:pStyle w:val="2024TABLEFOOTER"/>
              <w:numPr>
                <w:ilvl w:val="0"/>
                <w:numId w:val="12"/>
              </w:numPr>
            </w:pPr>
            <w:r w:rsidRPr="001428E8">
              <w:t xml:space="preserve">No serious risk of bias concerns (no change for risk of bias). </w:t>
            </w:r>
            <w:r w:rsidR="00A23E54" w:rsidRPr="009F714F">
              <w:t>Inconsistency supported by high I² values and statistically significant heterogeneity</w:t>
            </w:r>
            <w:r w:rsidR="00F7199B" w:rsidRPr="009F714F">
              <w:t xml:space="preserve">; </w:t>
            </w:r>
            <w:r w:rsidR="00A23E54" w:rsidRPr="009F714F">
              <w:t xml:space="preserve">point estimates varied and </w:t>
            </w:r>
            <w:r w:rsidR="0044214C">
              <w:t>lay on different sides of the</w:t>
            </w:r>
            <w:r w:rsidR="00A23E54" w:rsidRPr="009F714F">
              <w:t xml:space="preserve"> direction of effect threshold</w:t>
            </w:r>
            <w:r w:rsidR="00F7199B" w:rsidRPr="009F714F">
              <w:t xml:space="preserve"> </w:t>
            </w:r>
            <w:r w:rsidR="00A23E54" w:rsidRPr="009F714F">
              <w:t>(</w:t>
            </w:r>
            <w:r w:rsidR="00F7199B" w:rsidRPr="009F714F">
              <w:t>downgrade one</w:t>
            </w:r>
            <w:r w:rsidR="00A23E54" w:rsidRPr="009F714F">
              <w:t xml:space="preserve"> for inconsistency). </w:t>
            </w:r>
            <w:r w:rsidR="001A3261" w:rsidRPr="003D53F5">
              <w:t xml:space="preserve">CI boundaries </w:t>
            </w:r>
            <w:r w:rsidR="001A3261">
              <w:t>fall within</w:t>
            </w:r>
            <w:r w:rsidR="001A3261" w:rsidRPr="003D53F5">
              <w:t xml:space="preserve"> MCID </w:t>
            </w:r>
            <w:r w:rsidR="006D37A3" w:rsidRPr="009F714F">
              <w:t>(</w:t>
            </w:r>
            <w:r w:rsidR="00391955" w:rsidRPr="009F714F">
              <w:t>Hb1AC</w:t>
            </w:r>
            <w:r w:rsidR="006D37A3" w:rsidRPr="009F714F">
              <w:t xml:space="preserve"> </w:t>
            </w:r>
            <w:r w:rsidR="00391955" w:rsidRPr="001428E8">
              <w:t>= 0.5%)</w:t>
            </w:r>
            <w:r w:rsidR="00391955" w:rsidRPr="009F714F">
              <w:t xml:space="preserve"> </w:t>
            </w:r>
            <w:r w:rsidR="00391955" w:rsidRPr="001428E8">
              <w:t xml:space="preserve">(no change for imprecision). </w:t>
            </w:r>
            <w:r w:rsidR="006D37A3" w:rsidRPr="009F714F">
              <w:t>Publication bias unlikely supported by non-significant Egger test and visual inspection of funnel plot (no change for publication bias).</w:t>
            </w:r>
          </w:p>
          <w:p w14:paraId="604BA29C" w14:textId="0188522A" w:rsidR="009F714F" w:rsidRPr="001428E8" w:rsidRDefault="00564A52" w:rsidP="00107BEE">
            <w:pPr>
              <w:pStyle w:val="2024TABLEFOOTER"/>
              <w:numPr>
                <w:ilvl w:val="0"/>
                <w:numId w:val="12"/>
              </w:numPr>
            </w:pPr>
            <w:r w:rsidRPr="009F714F">
              <w:t>Risks of bias in included primary studies</w:t>
            </w:r>
            <w:r w:rsidR="005D10B2" w:rsidRPr="009F714F">
              <w:t xml:space="preserve"> </w:t>
            </w:r>
            <w:r w:rsidR="005D10B2" w:rsidRPr="009F714F" w:rsidDel="00436ADC">
              <w:t>(most RCTs did not report randomization methods and allocation concealment)</w:t>
            </w:r>
            <w:r w:rsidRPr="009F714F" w:rsidDel="00436ADC">
              <w:t xml:space="preserve"> (</w:t>
            </w:r>
            <w:r w:rsidRPr="009F714F">
              <w:t>downgrade one for risk of bias).</w:t>
            </w:r>
            <w:r w:rsidRPr="0054775B">
              <w:t xml:space="preserve"> </w:t>
            </w:r>
            <w:r w:rsidR="00032FE9" w:rsidRPr="00032FE9">
              <w:t>Inconsistency supported by high I² values and statistically significant heterogeneity, however, while point estimates varied greatly and sometimes crossed direction of effect threshold, point estimates favoured the intervention for the majority (no change for inconsistency).</w:t>
            </w:r>
            <w:r w:rsidR="00032FE9" w:rsidRPr="001428E8">
              <w:t xml:space="preserve"> </w:t>
            </w:r>
            <w:r w:rsidR="00C21911" w:rsidRPr="001428E8">
              <w:t xml:space="preserve">Small sample size, CI boundaries suggest very different inferences based on MCID </w:t>
            </w:r>
            <w:r w:rsidR="00C21911">
              <w:t>(HOMA-IR = 0.05)</w:t>
            </w:r>
            <w:r w:rsidR="00C21911" w:rsidRPr="003D53F5">
              <w:t xml:space="preserve"> </w:t>
            </w:r>
            <w:r w:rsidR="00C21911" w:rsidRPr="001428E8">
              <w:t xml:space="preserve">(downgraded </w:t>
            </w:r>
            <w:r w:rsidR="001F29C8">
              <w:t>2</w:t>
            </w:r>
            <w:r w:rsidR="00C21911" w:rsidRPr="001428E8">
              <w:t xml:space="preserve"> for </w:t>
            </w:r>
            <w:r w:rsidR="00E77B77">
              <w:t xml:space="preserve">serious </w:t>
            </w:r>
            <w:r w:rsidR="00C21911" w:rsidRPr="001428E8">
              <w:t>imprecision).</w:t>
            </w:r>
            <w:r w:rsidR="00C21911" w:rsidRPr="00C21911">
              <w:t xml:space="preserve"> </w:t>
            </w:r>
            <w:r w:rsidR="009F714F" w:rsidRPr="001428E8">
              <w:t>Publication bias unlikely supported by non-significant Egger test and visual inspection of funnel plot (no change for publication bias).</w:t>
            </w:r>
          </w:p>
          <w:p w14:paraId="0C18319A" w14:textId="4A91D7BE" w:rsidR="00DE04B2" w:rsidRPr="0054775B" w:rsidRDefault="008F6BD7" w:rsidP="00107BEE">
            <w:pPr>
              <w:pStyle w:val="2024TABLEFOOTER"/>
              <w:numPr>
                <w:ilvl w:val="0"/>
                <w:numId w:val="12"/>
              </w:numPr>
            </w:pPr>
            <w:r w:rsidRPr="001428E8">
              <w:t xml:space="preserve">No serious risk of bias concerns (no change for risk of bias). </w:t>
            </w:r>
            <w:r w:rsidR="002D1B3D" w:rsidRPr="009F714F">
              <w:t>Inconsistency supported by high I² values and statistically significant heterogeneity, point estimates varied in direction of effect</w:t>
            </w:r>
            <w:r w:rsidR="002D1B3D">
              <w:t xml:space="preserve">, limited overlap of CIs </w:t>
            </w:r>
            <w:r w:rsidR="002D1B3D" w:rsidRPr="009F714F">
              <w:t xml:space="preserve">(downgrade one for inconsistency). </w:t>
            </w:r>
            <w:r w:rsidR="00C72D78" w:rsidRPr="001428E8">
              <w:t xml:space="preserve">Small sample size, CI boundaries suggest very different inferences based on MCID </w:t>
            </w:r>
            <w:r w:rsidR="00C72D78" w:rsidRPr="003D53F5">
              <w:t xml:space="preserve">(SBP = </w:t>
            </w:r>
            <w:r w:rsidR="00C72D78" w:rsidRPr="009F714F">
              <w:t>2mmHg</w:t>
            </w:r>
            <w:r w:rsidR="00C72D78" w:rsidRPr="003D53F5">
              <w:t xml:space="preserve">) </w:t>
            </w:r>
            <w:r w:rsidR="00C72D78" w:rsidRPr="001428E8">
              <w:t xml:space="preserve">(downgraded </w:t>
            </w:r>
            <w:r w:rsidR="001F29C8">
              <w:t>2</w:t>
            </w:r>
            <w:r w:rsidR="00C72D78" w:rsidRPr="001428E8">
              <w:t xml:space="preserve"> for </w:t>
            </w:r>
            <w:r w:rsidR="00E77B77">
              <w:t xml:space="preserve">serious </w:t>
            </w:r>
            <w:r w:rsidR="00C72D78" w:rsidRPr="001428E8">
              <w:t>imprecision).</w:t>
            </w:r>
            <w:r w:rsidR="00C72D78" w:rsidRPr="00C72D78">
              <w:t xml:space="preserve"> </w:t>
            </w:r>
            <w:r w:rsidR="001164E4" w:rsidRPr="001428E8">
              <w:t>Suspected publication bias based on inspection of funnel plot (downgrade one</w:t>
            </w:r>
            <w:r w:rsidR="00F1278F">
              <w:t xml:space="preserve"> for publication bias</w:t>
            </w:r>
            <w:r w:rsidR="001164E4" w:rsidRPr="001428E8">
              <w:t>).</w:t>
            </w:r>
          </w:p>
          <w:p w14:paraId="34154579" w14:textId="517C889A" w:rsidR="004E6740" w:rsidRPr="0054775B" w:rsidRDefault="004E6740" w:rsidP="00107BEE">
            <w:pPr>
              <w:pStyle w:val="2024TABLEFOOTER"/>
              <w:numPr>
                <w:ilvl w:val="0"/>
                <w:numId w:val="12"/>
              </w:numPr>
            </w:pPr>
            <w:r w:rsidRPr="009F714F">
              <w:t xml:space="preserve">Risks of bias </w:t>
            </w:r>
            <w:r w:rsidR="00F12E9D" w:rsidRPr="009F714F">
              <w:t>concern</w:t>
            </w:r>
            <w:r w:rsidR="007828D1">
              <w:t>s</w:t>
            </w:r>
            <w:r w:rsidR="00F12E9D" w:rsidRPr="009F714F">
              <w:t xml:space="preserve"> </w:t>
            </w:r>
            <w:r w:rsidRPr="009F714F">
              <w:t xml:space="preserve">in </w:t>
            </w:r>
            <w:r w:rsidR="007828D1">
              <w:t xml:space="preserve">most </w:t>
            </w:r>
            <w:r w:rsidRPr="009F714F">
              <w:t>included primary studies</w:t>
            </w:r>
            <w:r w:rsidR="007828D1">
              <w:t xml:space="preserve"> as assessed by review authors</w:t>
            </w:r>
            <w:r w:rsidRPr="009F714F">
              <w:t xml:space="preserve"> (downgrade one for risk of bias). </w:t>
            </w:r>
            <w:r w:rsidR="00EA5E28" w:rsidRPr="009F714F">
              <w:t xml:space="preserve">Low inconsistency </w:t>
            </w:r>
            <w:r w:rsidR="00EA5E28" w:rsidRPr="001428E8">
              <w:t xml:space="preserve">supported by low I² values and non-statistically significant heterogeneity, point estimates </w:t>
            </w:r>
            <w:r w:rsidR="00636E5C" w:rsidRPr="001428E8">
              <w:t>generally</w:t>
            </w:r>
            <w:r w:rsidR="00EA5E28" w:rsidRPr="001428E8">
              <w:t xml:space="preserve"> favoured the intervention (no change for inconsistency). </w:t>
            </w:r>
            <w:r w:rsidR="000636E3" w:rsidRPr="001428E8">
              <w:t>Pooled effect confidence intervals were within MCID (DBP = 2mmHg) (no change for imprecision)</w:t>
            </w:r>
            <w:r w:rsidR="000636E3">
              <w:t>.</w:t>
            </w:r>
            <w:r w:rsidR="0062720F">
              <w:t xml:space="preserve"> </w:t>
            </w:r>
            <w:r w:rsidR="000C5E8A" w:rsidRPr="001428E8">
              <w:t>Publication bias unlikely supported by non-significant Egger test and visual inspection of funnel plot (no change for publication bias).</w:t>
            </w:r>
          </w:p>
        </w:tc>
      </w:tr>
    </w:tbl>
    <w:p w14:paraId="7D016017" w14:textId="6018B83F" w:rsidR="00835CC3" w:rsidRPr="0054775B" w:rsidRDefault="00835CC3" w:rsidP="009E6F7F">
      <w:pPr>
        <w:pStyle w:val="Caption1"/>
        <w:rPr>
          <w:rFonts w:ascii="Aptos" w:hAnsi="Aptos"/>
        </w:rPr>
      </w:pPr>
    </w:p>
    <w:p w14:paraId="71864A02" w14:textId="52A57064" w:rsidR="00604987" w:rsidRPr="0054775B" w:rsidRDefault="00604987" w:rsidP="006F63D3">
      <w:pPr>
        <w:pStyle w:val="2024TABLECAPTION"/>
        <w:rPr>
          <w:rFonts w:ascii="Aptos" w:hAnsi="Aptos"/>
        </w:rPr>
      </w:pPr>
      <w:bookmarkStart w:id="141" w:name="_Toc185261632"/>
      <w:r w:rsidRPr="0054775B">
        <w:rPr>
          <w:rFonts w:ascii="Aptos" w:hAnsi="Aptos"/>
        </w:rPr>
        <w:t xml:space="preserve">Table </w:t>
      </w:r>
      <w:r w:rsidRPr="0054775B">
        <w:rPr>
          <w:rFonts w:ascii="Aptos" w:hAnsi="Aptos"/>
        </w:rPr>
        <w:fldChar w:fldCharType="begin"/>
      </w:r>
      <w:r w:rsidRPr="0054775B">
        <w:rPr>
          <w:rFonts w:ascii="Aptos" w:hAnsi="Aptos"/>
        </w:rPr>
        <w:instrText>SEQ Table \* ARABIC</w:instrText>
      </w:r>
      <w:r w:rsidRPr="0054775B">
        <w:rPr>
          <w:rFonts w:ascii="Aptos" w:hAnsi="Aptos"/>
        </w:rPr>
        <w:fldChar w:fldCharType="separate"/>
      </w:r>
      <w:r w:rsidR="00651E04">
        <w:rPr>
          <w:rFonts w:ascii="Aptos" w:hAnsi="Aptos"/>
          <w:noProof/>
        </w:rPr>
        <w:t>54</w:t>
      </w:r>
      <w:r w:rsidRPr="0054775B">
        <w:rPr>
          <w:rFonts w:ascii="Aptos" w:hAnsi="Aptos"/>
        </w:rPr>
        <w:fldChar w:fldCharType="end"/>
      </w:r>
      <w:r w:rsidRPr="0054775B">
        <w:rPr>
          <w:rFonts w:ascii="Aptos" w:hAnsi="Aptos"/>
        </w:rPr>
        <w:t>. Antioxidants compared to placebo</w:t>
      </w:r>
      <w:r w:rsidR="003F2A20" w:rsidRPr="001428E8">
        <w:rPr>
          <w:rFonts w:ascii="Aptos" w:hAnsi="Aptos"/>
          <w:b w:val="0"/>
        </w:rPr>
        <w:t>/</w:t>
      </w:r>
      <w:r w:rsidR="003F2A20" w:rsidRPr="001428E8">
        <w:rPr>
          <w:rStyle w:val="Strong"/>
          <w:rFonts w:ascii="Aptos" w:hAnsi="Aptos"/>
          <w:b/>
        </w:rPr>
        <w:t>inactive control</w:t>
      </w:r>
      <w:r w:rsidRPr="0054775B">
        <w:rPr>
          <w:rFonts w:ascii="Aptos" w:hAnsi="Aptos"/>
        </w:rPr>
        <w:t xml:space="preserve"> for people at risk of T2DM</w:t>
      </w:r>
      <w:bookmarkEnd w:id="141"/>
    </w:p>
    <w:tbl>
      <w:tblPr>
        <w:tblW w:w="4662" w:type="pct"/>
        <w:tblLayout w:type="fixed"/>
        <w:tblCellMar>
          <w:top w:w="28" w:type="dxa"/>
          <w:left w:w="57" w:type="dxa"/>
          <w:bottom w:w="28" w:type="dxa"/>
          <w:right w:w="28" w:type="dxa"/>
        </w:tblCellMar>
        <w:tblLook w:val="04A0" w:firstRow="1" w:lastRow="0" w:firstColumn="1" w:lastColumn="0" w:noHBand="0" w:noVBand="1"/>
      </w:tblPr>
      <w:tblGrid>
        <w:gridCol w:w="785"/>
        <w:gridCol w:w="62"/>
        <w:gridCol w:w="3405"/>
        <w:gridCol w:w="1276"/>
        <w:gridCol w:w="1418"/>
        <w:gridCol w:w="1276"/>
        <w:gridCol w:w="1418"/>
        <w:gridCol w:w="4536"/>
      </w:tblGrid>
      <w:tr w:rsidR="00604987" w:rsidRPr="0054775B" w14:paraId="5B4A2A47" w14:textId="77777777">
        <w:trPr>
          <w:cantSplit/>
        </w:trPr>
        <w:tc>
          <w:tcPr>
            <w:tcW w:w="5000" w:type="pct"/>
            <w:gridSpan w:val="8"/>
            <w:tcBorders>
              <w:top w:val="single" w:sz="12" w:space="0" w:color="000000"/>
              <w:left w:val="nil"/>
              <w:bottom w:val="single" w:sz="12" w:space="0" w:color="000000"/>
              <w:right w:val="nil"/>
            </w:tcBorders>
          </w:tcPr>
          <w:p w14:paraId="47D232AD" w14:textId="6A45958A" w:rsidR="00604987" w:rsidRPr="0054775B" w:rsidRDefault="00604987" w:rsidP="003F2A20">
            <w:pPr>
              <w:pStyle w:val="2024TABLETEXT"/>
              <w:framePr w:hSpace="0" w:wrap="auto" w:vAnchor="margin" w:yAlign="inline"/>
              <w:suppressOverlap w:val="0"/>
              <w:rPr>
                <w:rStyle w:val="Strong"/>
              </w:rPr>
            </w:pPr>
            <w:r w:rsidRPr="0054775B">
              <w:rPr>
                <w:rStyle w:val="Strong"/>
                <w:b w:val="0"/>
                <w:bCs w:val="0"/>
              </w:rPr>
              <w:t>Patient or population:</w:t>
            </w:r>
            <w:r w:rsidRPr="0054775B">
              <w:rPr>
                <w:rStyle w:val="Strong"/>
              </w:rPr>
              <w:t xml:space="preserve"> </w:t>
            </w:r>
            <w:r w:rsidR="00510120" w:rsidRPr="0054775B">
              <w:rPr>
                <w:rStyle w:val="Strong"/>
              </w:rPr>
              <w:t>A</w:t>
            </w:r>
            <w:r w:rsidRPr="0054775B">
              <w:rPr>
                <w:rStyle w:val="Strong"/>
              </w:rPr>
              <w:t>t risk of T2DM</w:t>
            </w:r>
          </w:p>
          <w:p w14:paraId="65EEEBBD" w14:textId="3ACA39D9" w:rsidR="00604987" w:rsidRPr="0054775B" w:rsidRDefault="00604987" w:rsidP="003F2A20">
            <w:pPr>
              <w:pStyle w:val="2024TABLETEXT"/>
              <w:framePr w:hSpace="0" w:wrap="auto" w:vAnchor="margin" w:yAlign="inline"/>
              <w:suppressOverlap w:val="0"/>
              <w:rPr>
                <w:rStyle w:val="Strong"/>
              </w:rPr>
            </w:pPr>
            <w:r w:rsidRPr="0054775B">
              <w:rPr>
                <w:rStyle w:val="Strong"/>
                <w:b w:val="0"/>
                <w:bCs w:val="0"/>
              </w:rPr>
              <w:t>Intervention:</w:t>
            </w:r>
            <w:r w:rsidRPr="0054775B">
              <w:rPr>
                <w:rStyle w:val="Strong"/>
              </w:rPr>
              <w:t xml:space="preserve"> Antioxidants</w:t>
            </w:r>
          </w:p>
          <w:p w14:paraId="19D6AA26" w14:textId="147E91F4" w:rsidR="00604987" w:rsidRPr="0054775B" w:rsidRDefault="00604987" w:rsidP="003F2A20">
            <w:pPr>
              <w:pStyle w:val="2024TABLETEXT"/>
              <w:framePr w:hSpace="0" w:wrap="auto" w:vAnchor="margin" w:yAlign="inline"/>
              <w:suppressOverlap w:val="0"/>
            </w:pPr>
            <w:r w:rsidRPr="0054775B">
              <w:rPr>
                <w:rStyle w:val="Strong"/>
                <w:b w:val="0"/>
                <w:bCs w:val="0"/>
              </w:rPr>
              <w:t>Comparison:</w:t>
            </w:r>
            <w:r w:rsidRPr="0054775B">
              <w:rPr>
                <w:rStyle w:val="Strong"/>
              </w:rPr>
              <w:t xml:space="preserve"> Placebo</w:t>
            </w:r>
            <w:r w:rsidR="003F2A20" w:rsidRPr="0054775B">
              <w:rPr>
                <w:rStyle w:val="Strong"/>
              </w:rPr>
              <w:t>/inactive control</w:t>
            </w:r>
          </w:p>
        </w:tc>
      </w:tr>
      <w:tr w:rsidR="00E6799E" w:rsidRPr="0054775B" w14:paraId="111635DA" w14:textId="77777777" w:rsidTr="00C15178">
        <w:trPr>
          <w:cantSplit/>
          <w:trHeight w:val="258"/>
        </w:trPr>
        <w:tc>
          <w:tcPr>
            <w:tcW w:w="299" w:type="pct"/>
            <w:gridSpan w:val="2"/>
            <w:vMerge w:val="restart"/>
            <w:tcBorders>
              <w:right w:val="single" w:sz="6" w:space="0" w:color="EFEFEF"/>
            </w:tcBorders>
            <w:shd w:val="clear" w:color="auto" w:fill="FFE599" w:themeFill="accent4" w:themeFillTint="66"/>
            <w:vAlign w:val="bottom"/>
          </w:tcPr>
          <w:p w14:paraId="4744C1A8" w14:textId="77777777" w:rsidR="00E6799E" w:rsidRPr="0054775B" w:rsidRDefault="00E6799E" w:rsidP="006F63D3">
            <w:pPr>
              <w:pStyle w:val="2024TABLEHEADER"/>
            </w:pPr>
            <w:r w:rsidRPr="0054775B">
              <w:lastRenderedPageBreak/>
              <w:t>NTWC Rating*</w:t>
            </w:r>
          </w:p>
        </w:tc>
        <w:tc>
          <w:tcPr>
            <w:tcW w:w="1201" w:type="pct"/>
            <w:vMerge w:val="restart"/>
            <w:tcBorders>
              <w:right w:val="single" w:sz="6" w:space="0" w:color="EFEFEF"/>
            </w:tcBorders>
            <w:shd w:val="clear" w:color="auto" w:fill="FFE599" w:themeFill="accent4" w:themeFillTint="66"/>
            <w:vAlign w:val="bottom"/>
            <w:hideMark/>
          </w:tcPr>
          <w:p w14:paraId="33C61808" w14:textId="77777777" w:rsidR="00E6799E" w:rsidRPr="0054775B" w:rsidRDefault="00E6799E" w:rsidP="006F63D3">
            <w:pPr>
              <w:pStyle w:val="2024TABLEHEADER"/>
            </w:pPr>
            <w:r w:rsidRPr="0054775B">
              <w:t>Outcomes</w:t>
            </w:r>
          </w:p>
        </w:tc>
        <w:tc>
          <w:tcPr>
            <w:tcW w:w="450" w:type="pct"/>
            <w:vMerge w:val="restart"/>
            <w:shd w:val="clear" w:color="auto" w:fill="FFF2CC" w:themeFill="accent4" w:themeFillTint="33"/>
            <w:vAlign w:val="bottom"/>
          </w:tcPr>
          <w:p w14:paraId="5194C81E" w14:textId="7BD85C53" w:rsidR="00E6799E" w:rsidRPr="0054775B" w:rsidRDefault="00E6799E" w:rsidP="006F63D3">
            <w:pPr>
              <w:pStyle w:val="2024TABLEHEADER"/>
            </w:pPr>
            <w:r w:rsidRPr="0054775B">
              <w:t>Contributing review</w:t>
            </w:r>
          </w:p>
        </w:tc>
        <w:tc>
          <w:tcPr>
            <w:tcW w:w="500" w:type="pct"/>
            <w:vMerge w:val="restart"/>
            <w:tcBorders>
              <w:top w:val="single" w:sz="6" w:space="0" w:color="EFEFEF"/>
              <w:right w:val="single" w:sz="6" w:space="0" w:color="EFEFEF"/>
            </w:tcBorders>
            <w:shd w:val="clear" w:color="auto" w:fill="E0E0E0"/>
            <w:vAlign w:val="bottom"/>
          </w:tcPr>
          <w:p w14:paraId="20C5A6EC" w14:textId="68DF010A" w:rsidR="00E6799E" w:rsidRPr="0054775B" w:rsidRDefault="00E6799E" w:rsidP="006F63D3">
            <w:pPr>
              <w:pStyle w:val="2024TABLEHEADER"/>
            </w:pPr>
            <w:r w:rsidRPr="0054775B">
              <w:t>Relative effect</w:t>
            </w:r>
            <w:r w:rsidRPr="0054775B">
              <w:br/>
              <w:t>(95% CI)</w:t>
            </w:r>
          </w:p>
        </w:tc>
        <w:tc>
          <w:tcPr>
            <w:tcW w:w="450" w:type="pct"/>
            <w:vMerge w:val="restart"/>
            <w:tcBorders>
              <w:right w:val="single" w:sz="6" w:space="0" w:color="EFEFEF"/>
            </w:tcBorders>
            <w:shd w:val="clear" w:color="auto" w:fill="FFE599" w:themeFill="accent4" w:themeFillTint="66"/>
            <w:vAlign w:val="bottom"/>
            <w:hideMark/>
          </w:tcPr>
          <w:p w14:paraId="59A16474" w14:textId="77777777" w:rsidR="00E6799E" w:rsidRPr="0054775B" w:rsidRDefault="00E6799E" w:rsidP="006F63D3">
            <w:pPr>
              <w:pStyle w:val="2024TABLEHEADER"/>
            </w:pPr>
            <w:r w:rsidRPr="0054775B">
              <w:t>№ of participants</w:t>
            </w:r>
            <w:r w:rsidRPr="0054775B">
              <w:br/>
              <w:t>(studies)</w:t>
            </w:r>
          </w:p>
        </w:tc>
        <w:tc>
          <w:tcPr>
            <w:tcW w:w="500" w:type="pct"/>
            <w:vMerge w:val="restart"/>
            <w:tcBorders>
              <w:right w:val="single" w:sz="6" w:space="0" w:color="EFEFEF"/>
            </w:tcBorders>
            <w:shd w:val="clear" w:color="auto" w:fill="FFE599" w:themeFill="accent4" w:themeFillTint="66"/>
            <w:vAlign w:val="bottom"/>
            <w:hideMark/>
          </w:tcPr>
          <w:p w14:paraId="1F97A33D" w14:textId="77777777" w:rsidR="00E6799E" w:rsidRPr="0054775B" w:rsidRDefault="00E6799E" w:rsidP="006F63D3">
            <w:pPr>
              <w:pStyle w:val="2024TABLEHEADER"/>
            </w:pPr>
            <w:r w:rsidRPr="0054775B">
              <w:t>Certainty of the evidence</w:t>
            </w:r>
            <w:r w:rsidRPr="0054775B">
              <w:br/>
              <w:t>(GRADE)</w:t>
            </w:r>
          </w:p>
        </w:tc>
        <w:tc>
          <w:tcPr>
            <w:tcW w:w="1600" w:type="pct"/>
            <w:vMerge w:val="restart"/>
            <w:tcBorders>
              <w:right w:val="single" w:sz="6" w:space="0" w:color="EFEFEF"/>
            </w:tcBorders>
            <w:shd w:val="clear" w:color="auto" w:fill="FFE599" w:themeFill="accent4" w:themeFillTint="66"/>
            <w:vAlign w:val="bottom"/>
            <w:hideMark/>
          </w:tcPr>
          <w:p w14:paraId="175E209F" w14:textId="77777777" w:rsidR="00E6799E" w:rsidRPr="0054775B" w:rsidRDefault="00E6799E" w:rsidP="006F63D3">
            <w:pPr>
              <w:pStyle w:val="2024TABLEHEADER"/>
            </w:pPr>
            <w:r w:rsidRPr="0054775B">
              <w:t>Evidence statement</w:t>
            </w:r>
          </w:p>
        </w:tc>
      </w:tr>
      <w:tr w:rsidR="00E6799E" w:rsidRPr="0054775B" w14:paraId="294D1621" w14:textId="77777777" w:rsidTr="00C15178">
        <w:trPr>
          <w:cantSplit/>
          <w:trHeight w:val="215"/>
        </w:trPr>
        <w:tc>
          <w:tcPr>
            <w:tcW w:w="299" w:type="pct"/>
            <w:gridSpan w:val="2"/>
            <w:vMerge/>
            <w:tcBorders>
              <w:top w:val="single" w:sz="4" w:space="0" w:color="auto"/>
              <w:right w:val="single" w:sz="6" w:space="0" w:color="EFEFEF"/>
            </w:tcBorders>
            <w:shd w:val="clear" w:color="auto" w:fill="FFE599" w:themeFill="accent4" w:themeFillTint="66"/>
            <w:vAlign w:val="bottom"/>
          </w:tcPr>
          <w:p w14:paraId="1C1CA79E" w14:textId="77777777" w:rsidR="00E6799E" w:rsidRPr="0054775B" w:rsidRDefault="00E6799E" w:rsidP="009E6F7F">
            <w:pPr>
              <w:pStyle w:val="TableH28pt"/>
              <w:rPr>
                <w:rFonts w:ascii="Aptos" w:hAnsi="Aptos"/>
              </w:rPr>
            </w:pPr>
          </w:p>
        </w:tc>
        <w:tc>
          <w:tcPr>
            <w:tcW w:w="1201" w:type="pct"/>
            <w:vMerge/>
            <w:tcBorders>
              <w:top w:val="single" w:sz="4" w:space="0" w:color="auto"/>
              <w:right w:val="single" w:sz="6" w:space="0" w:color="EFEFEF"/>
            </w:tcBorders>
            <w:shd w:val="clear" w:color="auto" w:fill="FFE599" w:themeFill="accent4" w:themeFillTint="66"/>
            <w:vAlign w:val="bottom"/>
          </w:tcPr>
          <w:p w14:paraId="12570D73" w14:textId="77777777" w:rsidR="00E6799E" w:rsidRPr="0054775B" w:rsidRDefault="00E6799E" w:rsidP="009E6F7F">
            <w:pPr>
              <w:pStyle w:val="TableH28pt"/>
              <w:rPr>
                <w:rFonts w:ascii="Aptos" w:hAnsi="Aptos"/>
              </w:rPr>
            </w:pPr>
          </w:p>
        </w:tc>
        <w:tc>
          <w:tcPr>
            <w:tcW w:w="450" w:type="pct"/>
            <w:vMerge/>
            <w:tcBorders>
              <w:top w:val="single" w:sz="4" w:space="0" w:color="auto"/>
            </w:tcBorders>
            <w:shd w:val="clear" w:color="auto" w:fill="FFF2CC" w:themeFill="accent4" w:themeFillTint="33"/>
            <w:vAlign w:val="bottom"/>
          </w:tcPr>
          <w:p w14:paraId="30ABBF55" w14:textId="77777777" w:rsidR="00E6799E" w:rsidRPr="0054775B" w:rsidRDefault="00E6799E" w:rsidP="009E6F7F">
            <w:pPr>
              <w:pStyle w:val="TableH28pt"/>
              <w:rPr>
                <w:rFonts w:ascii="Aptos" w:hAnsi="Aptos"/>
              </w:rPr>
            </w:pPr>
          </w:p>
        </w:tc>
        <w:tc>
          <w:tcPr>
            <w:tcW w:w="500" w:type="pct"/>
            <w:vMerge/>
            <w:tcBorders>
              <w:right w:val="single" w:sz="6" w:space="0" w:color="EFEFEF"/>
            </w:tcBorders>
            <w:shd w:val="clear" w:color="auto" w:fill="E0E0E0"/>
            <w:vAlign w:val="bottom"/>
          </w:tcPr>
          <w:p w14:paraId="165DCB53" w14:textId="77777777" w:rsidR="00E6799E" w:rsidRPr="0054775B" w:rsidRDefault="00E6799E" w:rsidP="009E6F7F">
            <w:pPr>
              <w:pStyle w:val="TableH28pt"/>
              <w:rPr>
                <w:rFonts w:ascii="Aptos" w:hAnsi="Aptos"/>
              </w:rPr>
            </w:pPr>
          </w:p>
        </w:tc>
        <w:tc>
          <w:tcPr>
            <w:tcW w:w="450" w:type="pct"/>
            <w:vMerge/>
            <w:tcBorders>
              <w:right w:val="single" w:sz="6" w:space="0" w:color="EFEFEF"/>
            </w:tcBorders>
            <w:shd w:val="clear" w:color="auto" w:fill="FFE599" w:themeFill="accent4" w:themeFillTint="66"/>
            <w:vAlign w:val="bottom"/>
          </w:tcPr>
          <w:p w14:paraId="274DF06B" w14:textId="77777777" w:rsidR="00E6799E" w:rsidRPr="0054775B" w:rsidRDefault="00E6799E" w:rsidP="009E6F7F">
            <w:pPr>
              <w:pStyle w:val="TableH28pt"/>
              <w:rPr>
                <w:rFonts w:ascii="Aptos" w:hAnsi="Aptos"/>
              </w:rPr>
            </w:pPr>
          </w:p>
        </w:tc>
        <w:tc>
          <w:tcPr>
            <w:tcW w:w="500" w:type="pct"/>
            <w:vMerge/>
            <w:tcBorders>
              <w:right w:val="single" w:sz="6" w:space="0" w:color="EFEFEF"/>
            </w:tcBorders>
            <w:shd w:val="clear" w:color="auto" w:fill="FFE599" w:themeFill="accent4" w:themeFillTint="66"/>
            <w:vAlign w:val="bottom"/>
          </w:tcPr>
          <w:p w14:paraId="740CF45C" w14:textId="77777777" w:rsidR="00E6799E" w:rsidRPr="0054775B" w:rsidRDefault="00E6799E" w:rsidP="009E6F7F">
            <w:pPr>
              <w:pStyle w:val="TableH28pt"/>
              <w:rPr>
                <w:rFonts w:ascii="Aptos" w:hAnsi="Aptos"/>
              </w:rPr>
            </w:pPr>
          </w:p>
        </w:tc>
        <w:tc>
          <w:tcPr>
            <w:tcW w:w="1600" w:type="pct"/>
            <w:vMerge/>
            <w:tcBorders>
              <w:right w:val="single" w:sz="6" w:space="0" w:color="EFEFEF"/>
            </w:tcBorders>
            <w:shd w:val="clear" w:color="auto" w:fill="FFE599" w:themeFill="accent4" w:themeFillTint="66"/>
            <w:vAlign w:val="bottom"/>
          </w:tcPr>
          <w:p w14:paraId="3007762B" w14:textId="77777777" w:rsidR="00E6799E" w:rsidRPr="0054775B" w:rsidRDefault="00E6799E" w:rsidP="009E6F7F">
            <w:pPr>
              <w:pStyle w:val="TableH28pt"/>
              <w:rPr>
                <w:rFonts w:ascii="Aptos" w:hAnsi="Aptos"/>
              </w:rPr>
            </w:pPr>
          </w:p>
        </w:tc>
      </w:tr>
      <w:tr w:rsidR="00E6799E" w:rsidRPr="0054775B" w14:paraId="738754BE" w14:textId="77777777" w:rsidTr="00C15178">
        <w:trPr>
          <w:cantSplit/>
          <w:trHeight w:val="35"/>
        </w:trPr>
        <w:tc>
          <w:tcPr>
            <w:tcW w:w="277" w:type="pct"/>
            <w:vMerge w:val="restart"/>
            <w:tcBorders>
              <w:top w:val="single" w:sz="6" w:space="0" w:color="000000"/>
              <w:left w:val="nil"/>
              <w:right w:val="nil"/>
            </w:tcBorders>
            <w:vAlign w:val="center"/>
          </w:tcPr>
          <w:p w14:paraId="0D56C6E9" w14:textId="4D30EAE5" w:rsidR="00E6799E" w:rsidRPr="0054775B" w:rsidRDefault="00E6799E" w:rsidP="006572EF">
            <w:pPr>
              <w:pStyle w:val="2024TABLETEXT"/>
              <w:framePr w:hSpace="0" w:wrap="auto" w:vAnchor="margin" w:yAlign="inline"/>
              <w:suppressOverlap w:val="0"/>
            </w:pPr>
            <w:r w:rsidRPr="0054775B">
              <w:t>8</w:t>
            </w:r>
          </w:p>
        </w:tc>
        <w:tc>
          <w:tcPr>
            <w:tcW w:w="1223" w:type="pct"/>
            <w:gridSpan w:val="2"/>
            <w:tcBorders>
              <w:top w:val="single" w:sz="6" w:space="0" w:color="000000"/>
              <w:left w:val="nil"/>
              <w:bottom w:val="single" w:sz="6" w:space="0" w:color="000000"/>
              <w:right w:val="nil"/>
            </w:tcBorders>
            <w:vAlign w:val="center"/>
            <w:hideMark/>
          </w:tcPr>
          <w:p w14:paraId="040653ED" w14:textId="77777777" w:rsidR="00E6799E" w:rsidRPr="0054775B" w:rsidRDefault="00E6799E" w:rsidP="0021048B">
            <w:pPr>
              <w:pStyle w:val="2024TABLETEXT"/>
              <w:framePr w:hSpace="0" w:wrap="auto" w:vAnchor="margin" w:yAlign="inline"/>
              <w:ind w:left="87"/>
              <w:suppressOverlap w:val="0"/>
              <w:rPr>
                <w:b/>
                <w:bCs/>
              </w:rPr>
            </w:pPr>
            <w:r w:rsidRPr="0054775B">
              <w:rPr>
                <w:b/>
                <w:bCs/>
              </w:rPr>
              <w:t>Glycaemic control</w:t>
            </w:r>
          </w:p>
          <w:p w14:paraId="5742B592" w14:textId="7FA80A11" w:rsidR="00E6799E" w:rsidRPr="0054775B" w:rsidRDefault="00E6799E" w:rsidP="006572EF">
            <w:pPr>
              <w:pStyle w:val="2024TABLETEXT"/>
              <w:framePr w:hSpace="0" w:wrap="auto" w:vAnchor="margin" w:yAlign="inline"/>
              <w:ind w:left="370"/>
              <w:suppressOverlap w:val="0"/>
            </w:pPr>
            <w:r w:rsidRPr="0054775B">
              <w:rPr>
                <w:b/>
                <w:bCs/>
              </w:rPr>
              <w:t>Condition:</w:t>
            </w:r>
            <w:r w:rsidRPr="0054775B">
              <w:t xml:space="preserve"> Obesity (BMI ≥30 kg/m2)</w:t>
            </w:r>
          </w:p>
          <w:p w14:paraId="35A1C5C5" w14:textId="77777777" w:rsidR="00C330D1" w:rsidRPr="0054775B" w:rsidRDefault="00E6799E" w:rsidP="006572EF">
            <w:pPr>
              <w:pStyle w:val="2024TABLETEXT"/>
              <w:framePr w:hSpace="0" w:wrap="auto" w:vAnchor="margin" w:yAlign="inline"/>
              <w:ind w:left="370"/>
              <w:suppressOverlap w:val="0"/>
            </w:pPr>
            <w:r w:rsidRPr="0054775B">
              <w:rPr>
                <w:b/>
                <w:bCs/>
              </w:rPr>
              <w:t>Dosage:</w:t>
            </w:r>
            <w:r w:rsidRPr="0054775B">
              <w:t xml:space="preserve"> </w:t>
            </w:r>
            <w:r w:rsidR="00872D3B" w:rsidRPr="0054775B">
              <w:t>Range of antio</w:t>
            </w:r>
            <w:r w:rsidR="00C330D1" w:rsidRPr="0054775B">
              <w:t>xidants and dosage amounts</w:t>
            </w:r>
          </w:p>
          <w:p w14:paraId="551980BB" w14:textId="7450987C" w:rsidR="00E6799E" w:rsidRPr="0054775B" w:rsidRDefault="00C330D1" w:rsidP="006572EF">
            <w:pPr>
              <w:pStyle w:val="2024TABLETEXT"/>
              <w:framePr w:hSpace="0" w:wrap="auto" w:vAnchor="margin" w:yAlign="inline"/>
              <w:ind w:left="370"/>
              <w:suppressOverlap w:val="0"/>
              <w:rPr>
                <w:rFonts w:eastAsia="Calibri"/>
              </w:rPr>
            </w:pPr>
            <w:r w:rsidRPr="0054775B">
              <w:rPr>
                <w:b/>
                <w:bCs/>
              </w:rPr>
              <w:t>Follow up:</w:t>
            </w:r>
            <w:r w:rsidRPr="0054775B">
              <w:t xml:space="preserve"> </w:t>
            </w:r>
            <w:r w:rsidR="00872D3B" w:rsidRPr="0054775B">
              <w:t>30 days to 6 months</w:t>
            </w:r>
          </w:p>
        </w:tc>
        <w:tc>
          <w:tcPr>
            <w:tcW w:w="450" w:type="pct"/>
            <w:tcBorders>
              <w:top w:val="single" w:sz="6" w:space="0" w:color="000000"/>
              <w:left w:val="nil"/>
              <w:bottom w:val="single" w:sz="6" w:space="0" w:color="000000"/>
              <w:right w:val="nil"/>
            </w:tcBorders>
            <w:vAlign w:val="center"/>
          </w:tcPr>
          <w:p w14:paraId="4E6C6697" w14:textId="5E8D869A" w:rsidR="00E6799E" w:rsidRPr="0054775B" w:rsidRDefault="00E6799E" w:rsidP="006572EF">
            <w:pPr>
              <w:pStyle w:val="2024TABLETEXT"/>
              <w:framePr w:hSpace="0" w:wrap="auto" w:vAnchor="margin" w:yAlign="inline"/>
              <w:suppressOverlap w:val="0"/>
            </w:pPr>
          </w:p>
        </w:tc>
        <w:tc>
          <w:tcPr>
            <w:tcW w:w="500" w:type="pct"/>
            <w:tcBorders>
              <w:top w:val="single" w:sz="6" w:space="0" w:color="000000"/>
              <w:left w:val="nil"/>
              <w:bottom w:val="single" w:sz="6" w:space="0" w:color="000000"/>
              <w:right w:val="nil"/>
            </w:tcBorders>
            <w:shd w:val="clear" w:color="auto" w:fill="auto"/>
            <w:vAlign w:val="center"/>
          </w:tcPr>
          <w:p w14:paraId="6D704CEB" w14:textId="7E961416" w:rsidR="00E6799E" w:rsidRPr="0054775B" w:rsidRDefault="00E6799E" w:rsidP="006572EF">
            <w:pPr>
              <w:pStyle w:val="2024TABLETEXT"/>
              <w:framePr w:hSpace="0" w:wrap="auto" w:vAnchor="margin" w:yAlign="inline"/>
              <w:suppressOverlap w:val="0"/>
              <w:rPr>
                <w:b/>
                <w:bCs/>
                <w:sz w:val="16"/>
                <w:szCs w:val="16"/>
              </w:rPr>
            </w:pPr>
          </w:p>
        </w:tc>
        <w:tc>
          <w:tcPr>
            <w:tcW w:w="450" w:type="pct"/>
            <w:tcBorders>
              <w:top w:val="single" w:sz="6" w:space="0" w:color="000000"/>
              <w:left w:val="nil"/>
              <w:bottom w:val="single" w:sz="6" w:space="0" w:color="000000"/>
              <w:right w:val="nil"/>
            </w:tcBorders>
            <w:vAlign w:val="center"/>
          </w:tcPr>
          <w:p w14:paraId="0843B801" w14:textId="6C972C94" w:rsidR="00E6799E" w:rsidRPr="0054775B" w:rsidRDefault="00E6799E" w:rsidP="006572EF">
            <w:pPr>
              <w:pStyle w:val="2024TABLETEXT"/>
              <w:framePr w:hSpace="0" w:wrap="auto" w:vAnchor="margin" w:yAlign="inline"/>
              <w:suppressOverlap w:val="0"/>
            </w:pPr>
          </w:p>
        </w:tc>
        <w:tc>
          <w:tcPr>
            <w:tcW w:w="500" w:type="pct"/>
            <w:tcBorders>
              <w:top w:val="single" w:sz="6" w:space="0" w:color="000000"/>
              <w:left w:val="nil"/>
              <w:bottom w:val="single" w:sz="6" w:space="0" w:color="000000"/>
              <w:right w:val="nil"/>
            </w:tcBorders>
            <w:vAlign w:val="center"/>
          </w:tcPr>
          <w:p w14:paraId="28F6AFBE" w14:textId="58771F6D" w:rsidR="00E6799E" w:rsidRPr="0054775B" w:rsidRDefault="00E6799E" w:rsidP="006572EF">
            <w:pPr>
              <w:pStyle w:val="2024TABLETEXT"/>
              <w:framePr w:hSpace="0" w:wrap="auto" w:vAnchor="margin" w:yAlign="inline"/>
              <w:suppressOverlap w:val="0"/>
              <w:rPr>
                <w:rStyle w:val="FootnoteReference"/>
                <w:caps/>
                <w:highlight w:val="yellow"/>
              </w:rPr>
            </w:pPr>
          </w:p>
        </w:tc>
        <w:tc>
          <w:tcPr>
            <w:tcW w:w="1600" w:type="pct"/>
            <w:tcBorders>
              <w:top w:val="single" w:sz="6" w:space="0" w:color="000000"/>
              <w:left w:val="nil"/>
              <w:bottom w:val="single" w:sz="6" w:space="0" w:color="000000"/>
              <w:right w:val="nil"/>
            </w:tcBorders>
            <w:vAlign w:val="center"/>
          </w:tcPr>
          <w:p w14:paraId="1AC0DA67" w14:textId="61C833C6" w:rsidR="00E6799E" w:rsidRPr="0054775B" w:rsidRDefault="00E6799E" w:rsidP="006572EF">
            <w:pPr>
              <w:pStyle w:val="2024TABLETEXT"/>
              <w:framePr w:hSpace="0" w:wrap="auto" w:vAnchor="margin" w:yAlign="inline"/>
              <w:suppressOverlap w:val="0"/>
              <w:rPr>
                <w:highlight w:val="yellow"/>
              </w:rPr>
            </w:pPr>
          </w:p>
        </w:tc>
      </w:tr>
      <w:tr w:rsidR="00852A3F" w:rsidRPr="0054775B" w14:paraId="5C115EA4" w14:textId="77777777" w:rsidTr="00C15178">
        <w:trPr>
          <w:cantSplit/>
          <w:trHeight w:val="35"/>
        </w:trPr>
        <w:tc>
          <w:tcPr>
            <w:tcW w:w="277" w:type="pct"/>
            <w:vMerge/>
            <w:tcBorders>
              <w:left w:val="nil"/>
              <w:right w:val="nil"/>
            </w:tcBorders>
            <w:vAlign w:val="center"/>
          </w:tcPr>
          <w:p w14:paraId="37479DBD" w14:textId="77777777" w:rsidR="00852A3F" w:rsidRPr="0054775B" w:rsidRDefault="00852A3F" w:rsidP="00852A3F">
            <w:pPr>
              <w:pStyle w:val="2024TABLETEXT"/>
              <w:framePr w:hSpace="0" w:wrap="auto" w:vAnchor="margin" w:yAlign="inline"/>
              <w:suppressOverlap w:val="0"/>
            </w:pPr>
          </w:p>
        </w:tc>
        <w:tc>
          <w:tcPr>
            <w:tcW w:w="1223" w:type="pct"/>
            <w:gridSpan w:val="2"/>
            <w:tcBorders>
              <w:top w:val="single" w:sz="6" w:space="0" w:color="000000"/>
              <w:left w:val="nil"/>
              <w:bottom w:val="single" w:sz="6" w:space="0" w:color="000000"/>
              <w:right w:val="nil"/>
            </w:tcBorders>
            <w:vAlign w:val="center"/>
          </w:tcPr>
          <w:p w14:paraId="517B2DC8" w14:textId="2B0F5459" w:rsidR="000C7942" w:rsidRPr="001428E8" w:rsidRDefault="00852A3F" w:rsidP="00C330D1">
            <w:pPr>
              <w:pStyle w:val="2024TABLETEXT"/>
              <w:framePr w:hSpace="0" w:wrap="auto" w:vAnchor="margin" w:yAlign="inline"/>
              <w:ind w:left="369"/>
              <w:suppressOverlap w:val="0"/>
              <w:rPr>
                <w:b/>
                <w:color w:val="000000" w:themeColor="text1"/>
              </w:rPr>
            </w:pPr>
            <w:r w:rsidRPr="001428E8">
              <w:rPr>
                <w:b/>
                <w:color w:val="000000" w:themeColor="text1"/>
              </w:rPr>
              <w:t>Fasting blood glucose</w:t>
            </w:r>
          </w:p>
        </w:tc>
        <w:tc>
          <w:tcPr>
            <w:tcW w:w="450" w:type="pct"/>
            <w:tcBorders>
              <w:top w:val="single" w:sz="6" w:space="0" w:color="000000"/>
              <w:left w:val="nil"/>
              <w:bottom w:val="single" w:sz="6" w:space="0" w:color="000000"/>
              <w:right w:val="nil"/>
            </w:tcBorders>
            <w:vAlign w:val="center"/>
          </w:tcPr>
          <w:p w14:paraId="7D982E7D" w14:textId="37552053" w:rsidR="00852A3F" w:rsidRPr="001428E8" w:rsidRDefault="00852A3F" w:rsidP="00852A3F">
            <w:pPr>
              <w:pStyle w:val="2024TABLETEXT"/>
              <w:framePr w:hSpace="0" w:wrap="auto" w:vAnchor="margin" w:yAlign="inline"/>
              <w:suppressOverlap w:val="0"/>
              <w:rPr>
                <w:color w:val="000000" w:themeColor="text1"/>
              </w:rPr>
            </w:pPr>
            <w:r w:rsidRPr="001428E8">
              <w:rPr>
                <w:color w:val="000000" w:themeColor="text1"/>
              </w:rPr>
              <w:t>Wang 2022</w:t>
            </w:r>
          </w:p>
        </w:tc>
        <w:tc>
          <w:tcPr>
            <w:tcW w:w="500" w:type="pct"/>
            <w:tcBorders>
              <w:top w:val="single" w:sz="6" w:space="0" w:color="000000"/>
              <w:left w:val="nil"/>
              <w:bottom w:val="single" w:sz="6" w:space="0" w:color="000000"/>
              <w:right w:val="nil"/>
            </w:tcBorders>
            <w:shd w:val="clear" w:color="auto" w:fill="auto"/>
            <w:vAlign w:val="center"/>
          </w:tcPr>
          <w:p w14:paraId="7DBAD530" w14:textId="1E52BCD7" w:rsidR="00852A3F" w:rsidRPr="001428E8" w:rsidRDefault="00852A3F" w:rsidP="00852A3F">
            <w:pPr>
              <w:pStyle w:val="2024TABLETEXT"/>
              <w:framePr w:hSpace="0" w:wrap="auto" w:vAnchor="margin" w:yAlign="inline"/>
              <w:suppressOverlap w:val="0"/>
              <w:rPr>
                <w:color w:val="000000" w:themeColor="text1"/>
              </w:rPr>
            </w:pPr>
            <w:r w:rsidRPr="001428E8">
              <w:rPr>
                <w:color w:val="000000" w:themeColor="text1"/>
              </w:rPr>
              <w:t>SMD = –4.92 (–6.87</w:t>
            </w:r>
            <w:r w:rsidR="00A11CBA">
              <w:rPr>
                <w:color w:val="000000" w:themeColor="text1"/>
              </w:rPr>
              <w:t xml:space="preserve"> to </w:t>
            </w:r>
            <w:r w:rsidRPr="001428E8">
              <w:rPr>
                <w:color w:val="000000" w:themeColor="text1"/>
              </w:rPr>
              <w:t>–2.98)</w:t>
            </w:r>
            <w:r w:rsidR="0083501A" w:rsidRPr="001428E8">
              <w:rPr>
                <w:color w:val="000000" w:themeColor="text1"/>
              </w:rPr>
              <w:t>^</w:t>
            </w:r>
          </w:p>
        </w:tc>
        <w:tc>
          <w:tcPr>
            <w:tcW w:w="450" w:type="pct"/>
            <w:tcBorders>
              <w:top w:val="single" w:sz="6" w:space="0" w:color="000000"/>
              <w:left w:val="nil"/>
              <w:bottom w:val="single" w:sz="6" w:space="0" w:color="000000"/>
              <w:right w:val="nil"/>
            </w:tcBorders>
            <w:vAlign w:val="center"/>
          </w:tcPr>
          <w:p w14:paraId="03919125" w14:textId="3404114E" w:rsidR="00852A3F" w:rsidRPr="001428E8" w:rsidRDefault="00852A3F" w:rsidP="00852A3F">
            <w:pPr>
              <w:pStyle w:val="2024TABLETEXT"/>
              <w:framePr w:hSpace="0" w:wrap="auto" w:vAnchor="margin" w:yAlign="inline"/>
              <w:suppressOverlap w:val="0"/>
              <w:rPr>
                <w:color w:val="000000" w:themeColor="text1"/>
              </w:rPr>
            </w:pPr>
            <w:r w:rsidRPr="001428E8">
              <w:rPr>
                <w:color w:val="000000" w:themeColor="text1"/>
              </w:rPr>
              <w:t>315 (6)</w:t>
            </w:r>
          </w:p>
        </w:tc>
        <w:tc>
          <w:tcPr>
            <w:tcW w:w="500" w:type="pct"/>
            <w:tcBorders>
              <w:top w:val="single" w:sz="6" w:space="0" w:color="000000"/>
              <w:left w:val="nil"/>
              <w:bottom w:val="single" w:sz="6" w:space="0" w:color="000000"/>
              <w:right w:val="nil"/>
            </w:tcBorders>
            <w:vAlign w:val="bottom"/>
          </w:tcPr>
          <w:p w14:paraId="0279F1EA" w14:textId="29470516" w:rsidR="00852A3F" w:rsidRPr="001428E8" w:rsidRDefault="005B4E14" w:rsidP="00852A3F">
            <w:pPr>
              <w:pStyle w:val="2024TABLETEXT"/>
              <w:framePr w:hSpace="0" w:wrap="auto" w:vAnchor="margin" w:yAlign="inline"/>
              <w:suppressOverlap w:val="0"/>
              <w:rPr>
                <w:rStyle w:val="FootnoteReference"/>
                <w:caps/>
                <w:color w:val="000000" w:themeColor="text1"/>
                <w:highlight w:val="yellow"/>
              </w:rPr>
            </w:pPr>
            <w:r w:rsidRPr="001428E8">
              <w:rPr>
                <w:rFonts w:ascii="Cambria Math" w:hAnsi="Cambria Math" w:cs="Cambria Math"/>
                <w:color w:val="000000" w:themeColor="text1"/>
                <w:sz w:val="22"/>
                <w:szCs w:val="22"/>
              </w:rPr>
              <w:t>⨁⨁</w:t>
            </w:r>
            <w:r w:rsidR="007F1E30" w:rsidRPr="003D53F5">
              <w:rPr>
                <w:rFonts w:ascii="Cambria Math" w:hAnsi="Cambria Math" w:cs="Cambria Math"/>
                <w:color w:val="000000" w:themeColor="text1"/>
                <w:sz w:val="22"/>
                <w:szCs w:val="22"/>
              </w:rPr>
              <w:t>⨁</w:t>
            </w:r>
            <w:r w:rsidRPr="001428E8">
              <w:rPr>
                <w:rFonts w:ascii="Segoe UI Symbol" w:hAnsi="Segoe UI Symbol" w:cs="Segoe UI Symbol"/>
                <w:color w:val="000000" w:themeColor="text1"/>
              </w:rPr>
              <w:t>◯</w:t>
            </w:r>
            <w:r w:rsidRPr="001428E8">
              <w:rPr>
                <w:color w:val="000000" w:themeColor="text1"/>
              </w:rPr>
              <w:br/>
            </w:r>
            <w:r w:rsidR="007F1E30">
              <w:rPr>
                <w:color w:val="000000" w:themeColor="text1"/>
              </w:rPr>
              <w:t>MODERATE</w:t>
            </w:r>
            <w:r w:rsidRPr="001428E8">
              <w:rPr>
                <w:color w:val="000000" w:themeColor="text1"/>
                <w:vertAlign w:val="superscript"/>
              </w:rPr>
              <w:t>a</w:t>
            </w:r>
          </w:p>
        </w:tc>
        <w:tc>
          <w:tcPr>
            <w:tcW w:w="1600" w:type="pct"/>
            <w:tcBorders>
              <w:top w:val="single" w:sz="6" w:space="0" w:color="000000"/>
              <w:left w:val="nil"/>
              <w:bottom w:val="single" w:sz="6" w:space="0" w:color="000000"/>
              <w:right w:val="nil"/>
            </w:tcBorders>
            <w:vAlign w:val="center"/>
          </w:tcPr>
          <w:p w14:paraId="1B425DB3" w14:textId="2FE1F700" w:rsidR="00852A3F" w:rsidRPr="001428E8" w:rsidRDefault="00852A3F" w:rsidP="00852A3F">
            <w:pPr>
              <w:pStyle w:val="2024TABLETEXT"/>
              <w:framePr w:hSpace="0" w:wrap="auto" w:vAnchor="margin" w:yAlign="inline"/>
              <w:suppressOverlap w:val="0"/>
              <w:rPr>
                <w:color w:val="000000" w:themeColor="text1"/>
              </w:rPr>
            </w:pPr>
            <w:r w:rsidRPr="001428E8">
              <w:rPr>
                <w:color w:val="000000" w:themeColor="text1"/>
              </w:rPr>
              <w:t xml:space="preserve">Antioxidants </w:t>
            </w:r>
            <w:r w:rsidR="007F1E30">
              <w:rPr>
                <w:color w:val="000000" w:themeColor="text1"/>
              </w:rPr>
              <w:t>probably</w:t>
            </w:r>
            <w:r w:rsidR="007F1E30" w:rsidRPr="001428E8">
              <w:rPr>
                <w:color w:val="000000" w:themeColor="text1"/>
              </w:rPr>
              <w:t xml:space="preserve"> </w:t>
            </w:r>
            <w:r w:rsidRPr="001428E8">
              <w:rPr>
                <w:color w:val="000000" w:themeColor="text1"/>
              </w:rPr>
              <w:t xml:space="preserve">result in a </w:t>
            </w:r>
            <w:r w:rsidR="009A0F6D" w:rsidRPr="001428E8">
              <w:rPr>
                <w:color w:val="000000" w:themeColor="text1"/>
              </w:rPr>
              <w:t xml:space="preserve">large </w:t>
            </w:r>
            <w:r w:rsidRPr="001428E8">
              <w:rPr>
                <w:color w:val="000000" w:themeColor="text1"/>
              </w:rPr>
              <w:t>improvement in fasting blood glucose levels in people at risk of T2DM.</w:t>
            </w:r>
          </w:p>
        </w:tc>
      </w:tr>
      <w:tr w:rsidR="00AA1931" w:rsidRPr="0054775B" w14:paraId="60937706" w14:textId="77777777" w:rsidTr="00C15178">
        <w:trPr>
          <w:cantSplit/>
          <w:trHeight w:val="35"/>
        </w:trPr>
        <w:tc>
          <w:tcPr>
            <w:tcW w:w="277" w:type="pct"/>
            <w:vMerge/>
            <w:tcBorders>
              <w:left w:val="nil"/>
              <w:bottom w:val="single" w:sz="6" w:space="0" w:color="000000"/>
              <w:right w:val="nil"/>
            </w:tcBorders>
            <w:vAlign w:val="center"/>
          </w:tcPr>
          <w:p w14:paraId="68E6CB03" w14:textId="77777777" w:rsidR="00AA1931" w:rsidRPr="0054775B" w:rsidRDefault="00AA1931" w:rsidP="00AA1931">
            <w:pPr>
              <w:pStyle w:val="2024TABLETEXT"/>
              <w:framePr w:hSpace="0" w:wrap="auto" w:vAnchor="margin" w:yAlign="inline"/>
              <w:suppressOverlap w:val="0"/>
            </w:pPr>
          </w:p>
        </w:tc>
        <w:tc>
          <w:tcPr>
            <w:tcW w:w="1223" w:type="pct"/>
            <w:gridSpan w:val="2"/>
            <w:tcBorders>
              <w:top w:val="single" w:sz="6" w:space="0" w:color="000000"/>
              <w:left w:val="nil"/>
              <w:bottom w:val="single" w:sz="6" w:space="0" w:color="000000"/>
              <w:right w:val="nil"/>
            </w:tcBorders>
            <w:vAlign w:val="center"/>
          </w:tcPr>
          <w:p w14:paraId="79071AD6" w14:textId="72D5A34F" w:rsidR="00AA1931" w:rsidRPr="001428E8" w:rsidRDefault="00AA1931" w:rsidP="00AA1931">
            <w:pPr>
              <w:pStyle w:val="2024TABLETEXT"/>
              <w:framePr w:hSpace="0" w:wrap="auto" w:vAnchor="margin" w:yAlign="inline"/>
              <w:ind w:left="369"/>
              <w:suppressOverlap w:val="0"/>
              <w:rPr>
                <w:b/>
                <w:color w:val="000000" w:themeColor="text1"/>
              </w:rPr>
            </w:pPr>
            <w:r w:rsidRPr="001428E8">
              <w:rPr>
                <w:b/>
                <w:color w:val="000000" w:themeColor="text1"/>
              </w:rPr>
              <w:t>HOMA-</w:t>
            </w:r>
            <w:r w:rsidR="005E69D2" w:rsidRPr="001428E8">
              <w:rPr>
                <w:b/>
                <w:color w:val="000000" w:themeColor="text1"/>
              </w:rPr>
              <w:t>IR</w:t>
            </w:r>
          </w:p>
        </w:tc>
        <w:tc>
          <w:tcPr>
            <w:tcW w:w="450" w:type="pct"/>
            <w:tcBorders>
              <w:top w:val="single" w:sz="6" w:space="0" w:color="000000"/>
              <w:left w:val="nil"/>
              <w:bottom w:val="single" w:sz="6" w:space="0" w:color="000000"/>
              <w:right w:val="nil"/>
            </w:tcBorders>
            <w:vAlign w:val="center"/>
          </w:tcPr>
          <w:p w14:paraId="209D8166" w14:textId="57C5DC21" w:rsidR="00AA1931" w:rsidRPr="001428E8" w:rsidRDefault="00AA1931" w:rsidP="00AA1931">
            <w:pPr>
              <w:pStyle w:val="2024TABLETEXT"/>
              <w:framePr w:hSpace="0" w:wrap="auto" w:vAnchor="margin" w:yAlign="inline"/>
              <w:suppressOverlap w:val="0"/>
              <w:rPr>
                <w:color w:val="000000" w:themeColor="text1"/>
              </w:rPr>
            </w:pPr>
            <w:r w:rsidRPr="001428E8">
              <w:rPr>
                <w:color w:val="000000" w:themeColor="text1"/>
              </w:rPr>
              <w:t>Wang 2022</w:t>
            </w:r>
          </w:p>
        </w:tc>
        <w:tc>
          <w:tcPr>
            <w:tcW w:w="500" w:type="pct"/>
            <w:tcBorders>
              <w:top w:val="single" w:sz="6" w:space="0" w:color="000000"/>
              <w:left w:val="nil"/>
              <w:bottom w:val="single" w:sz="6" w:space="0" w:color="000000"/>
              <w:right w:val="nil"/>
            </w:tcBorders>
            <w:shd w:val="clear" w:color="auto" w:fill="auto"/>
            <w:vAlign w:val="center"/>
          </w:tcPr>
          <w:p w14:paraId="1EEFA253" w14:textId="383287F0" w:rsidR="00AA1931" w:rsidRPr="001428E8" w:rsidRDefault="00AA1931" w:rsidP="00AA1931">
            <w:pPr>
              <w:pStyle w:val="2024TABLETEXT"/>
              <w:framePr w:hSpace="0" w:wrap="auto" w:vAnchor="margin" w:yAlign="inline"/>
              <w:suppressOverlap w:val="0"/>
              <w:rPr>
                <w:color w:val="000000" w:themeColor="text1"/>
              </w:rPr>
            </w:pPr>
            <w:r w:rsidRPr="001428E8">
              <w:rPr>
                <w:color w:val="000000" w:themeColor="text1"/>
              </w:rPr>
              <w:t>MD = –0.45 (–0.61</w:t>
            </w:r>
            <w:r w:rsidR="00A11CBA">
              <w:rPr>
                <w:color w:val="000000" w:themeColor="text1"/>
              </w:rPr>
              <w:t xml:space="preserve"> to </w:t>
            </w:r>
            <w:r w:rsidRPr="001428E8">
              <w:rPr>
                <w:color w:val="000000" w:themeColor="text1"/>
              </w:rPr>
              <w:t>–0.30)</w:t>
            </w:r>
            <w:r w:rsidR="0083501A" w:rsidRPr="001428E8">
              <w:rPr>
                <w:color w:val="000000" w:themeColor="text1"/>
              </w:rPr>
              <w:t>#</w:t>
            </w:r>
          </w:p>
        </w:tc>
        <w:tc>
          <w:tcPr>
            <w:tcW w:w="450" w:type="pct"/>
            <w:tcBorders>
              <w:top w:val="single" w:sz="6" w:space="0" w:color="000000"/>
              <w:left w:val="nil"/>
              <w:bottom w:val="single" w:sz="6" w:space="0" w:color="000000"/>
              <w:right w:val="nil"/>
            </w:tcBorders>
            <w:vAlign w:val="center"/>
          </w:tcPr>
          <w:p w14:paraId="6A331AEC" w14:textId="759A7379" w:rsidR="00AA1931" w:rsidRPr="001428E8" w:rsidRDefault="00AA1931" w:rsidP="00AA1931">
            <w:pPr>
              <w:pStyle w:val="2024TABLETEXT"/>
              <w:framePr w:hSpace="0" w:wrap="auto" w:vAnchor="margin" w:yAlign="inline"/>
              <w:suppressOverlap w:val="0"/>
              <w:rPr>
                <w:color w:val="000000" w:themeColor="text1"/>
              </w:rPr>
            </w:pPr>
            <w:r w:rsidRPr="001428E8">
              <w:rPr>
                <w:color w:val="000000" w:themeColor="text1"/>
              </w:rPr>
              <w:t>395 (8)</w:t>
            </w:r>
          </w:p>
        </w:tc>
        <w:tc>
          <w:tcPr>
            <w:tcW w:w="500" w:type="pct"/>
            <w:tcBorders>
              <w:top w:val="single" w:sz="6" w:space="0" w:color="000000"/>
              <w:left w:val="nil"/>
              <w:bottom w:val="single" w:sz="6" w:space="0" w:color="000000"/>
              <w:right w:val="nil"/>
            </w:tcBorders>
            <w:vAlign w:val="bottom"/>
          </w:tcPr>
          <w:p w14:paraId="459CC898" w14:textId="581CC890" w:rsidR="00AA1931" w:rsidRPr="001428E8" w:rsidRDefault="00AA1931" w:rsidP="00AA1931">
            <w:pPr>
              <w:pStyle w:val="2024TABLETEXT"/>
              <w:framePr w:hSpace="0" w:wrap="auto" w:vAnchor="margin" w:yAlign="inline"/>
              <w:suppressOverlap w:val="0"/>
              <w:rPr>
                <w:rStyle w:val="FootnoteReference"/>
                <w:caps/>
                <w:color w:val="000000" w:themeColor="text1"/>
                <w:highlight w:val="yellow"/>
              </w:rPr>
            </w:pPr>
            <w:r w:rsidRPr="001428E8">
              <w:rPr>
                <w:rFonts w:ascii="Cambria Math" w:hAnsi="Cambria Math" w:cs="Cambria Math"/>
                <w:color w:val="000000" w:themeColor="text1"/>
                <w:sz w:val="22"/>
                <w:szCs w:val="22"/>
              </w:rPr>
              <w:t>⨁⨁</w:t>
            </w:r>
            <w:r w:rsidR="00780487" w:rsidRPr="001428E8">
              <w:rPr>
                <w:rFonts w:ascii="Cambria Math" w:hAnsi="Cambria Math" w:cs="Cambria Math"/>
                <w:color w:val="000000" w:themeColor="text1"/>
                <w:sz w:val="22"/>
                <w:szCs w:val="22"/>
              </w:rPr>
              <w:t>⨁</w:t>
            </w:r>
            <w:r w:rsidRPr="001428E8">
              <w:rPr>
                <w:rFonts w:ascii="Segoe UI Symbol" w:hAnsi="Segoe UI Symbol" w:cs="Segoe UI Symbol"/>
                <w:color w:val="000000" w:themeColor="text1"/>
              </w:rPr>
              <w:t>◯</w:t>
            </w:r>
            <w:r w:rsidRPr="001428E8">
              <w:rPr>
                <w:color w:val="000000" w:themeColor="text1"/>
              </w:rPr>
              <w:br/>
            </w:r>
            <w:r w:rsidR="00780487" w:rsidRPr="001428E8">
              <w:rPr>
                <w:color w:val="000000" w:themeColor="text1"/>
              </w:rPr>
              <w:t>MODERATE</w:t>
            </w:r>
            <w:r w:rsidRPr="001428E8">
              <w:rPr>
                <w:color w:val="000000" w:themeColor="text1"/>
                <w:vertAlign w:val="superscript"/>
              </w:rPr>
              <w:t>b</w:t>
            </w:r>
          </w:p>
        </w:tc>
        <w:tc>
          <w:tcPr>
            <w:tcW w:w="1600" w:type="pct"/>
            <w:tcBorders>
              <w:top w:val="single" w:sz="6" w:space="0" w:color="000000"/>
              <w:left w:val="nil"/>
              <w:bottom w:val="single" w:sz="6" w:space="0" w:color="000000"/>
              <w:right w:val="nil"/>
            </w:tcBorders>
            <w:vAlign w:val="center"/>
          </w:tcPr>
          <w:p w14:paraId="2AC84889" w14:textId="156619A7" w:rsidR="00AA1931" w:rsidRPr="001428E8" w:rsidRDefault="00AA1931" w:rsidP="00AA1931">
            <w:pPr>
              <w:pStyle w:val="2024TABLETEXT"/>
              <w:framePr w:hSpace="0" w:wrap="auto" w:vAnchor="margin" w:yAlign="inline"/>
              <w:suppressOverlap w:val="0"/>
              <w:rPr>
                <w:color w:val="000000" w:themeColor="text1"/>
              </w:rPr>
            </w:pPr>
            <w:r w:rsidRPr="001428E8">
              <w:rPr>
                <w:color w:val="000000" w:themeColor="text1"/>
              </w:rPr>
              <w:t xml:space="preserve">Antioxidants </w:t>
            </w:r>
            <w:r w:rsidR="00780487" w:rsidRPr="001428E8">
              <w:rPr>
                <w:color w:val="000000" w:themeColor="text1"/>
              </w:rPr>
              <w:t xml:space="preserve">probably </w:t>
            </w:r>
            <w:r w:rsidRPr="001428E8">
              <w:rPr>
                <w:color w:val="000000" w:themeColor="text1"/>
              </w:rPr>
              <w:t xml:space="preserve">result in a </w:t>
            </w:r>
            <w:r w:rsidR="00F40987" w:rsidRPr="001428E8">
              <w:rPr>
                <w:color w:val="000000" w:themeColor="text1"/>
              </w:rPr>
              <w:t>large</w:t>
            </w:r>
            <w:r w:rsidR="00780487" w:rsidRPr="001428E8">
              <w:rPr>
                <w:color w:val="000000" w:themeColor="text1"/>
              </w:rPr>
              <w:t xml:space="preserve"> </w:t>
            </w:r>
            <w:r w:rsidRPr="001428E8">
              <w:rPr>
                <w:color w:val="000000" w:themeColor="text1"/>
              </w:rPr>
              <w:t>improvement in HOMA-ir in people at risk of T2DM.</w:t>
            </w:r>
          </w:p>
        </w:tc>
      </w:tr>
      <w:tr w:rsidR="00966655" w:rsidRPr="0054775B" w14:paraId="2B23A129" w14:textId="77777777" w:rsidTr="00C15178">
        <w:trPr>
          <w:cantSplit/>
          <w:trHeight w:val="35"/>
        </w:trPr>
        <w:tc>
          <w:tcPr>
            <w:tcW w:w="277" w:type="pct"/>
            <w:tcBorders>
              <w:top w:val="single" w:sz="6" w:space="0" w:color="000000"/>
              <w:left w:val="nil"/>
              <w:right w:val="nil"/>
            </w:tcBorders>
            <w:vAlign w:val="center"/>
          </w:tcPr>
          <w:p w14:paraId="7CBAD48F" w14:textId="0248C3C2" w:rsidR="00966655" w:rsidRPr="0054775B" w:rsidRDefault="00966655" w:rsidP="00966655">
            <w:pPr>
              <w:pStyle w:val="2024TABLETEXT"/>
              <w:framePr w:hSpace="0" w:wrap="auto" w:vAnchor="margin" w:yAlign="inline"/>
              <w:suppressOverlap w:val="0"/>
            </w:pPr>
            <w:r w:rsidRPr="0054775B">
              <w:t>8</w:t>
            </w:r>
          </w:p>
        </w:tc>
        <w:tc>
          <w:tcPr>
            <w:tcW w:w="1223" w:type="pct"/>
            <w:gridSpan w:val="2"/>
            <w:tcBorders>
              <w:top w:val="single" w:sz="6" w:space="0" w:color="000000"/>
              <w:left w:val="nil"/>
              <w:bottom w:val="single" w:sz="6" w:space="0" w:color="000000"/>
              <w:right w:val="nil"/>
            </w:tcBorders>
            <w:vAlign w:val="center"/>
          </w:tcPr>
          <w:p w14:paraId="267977C6" w14:textId="34397692" w:rsidR="00966655" w:rsidRPr="0054775B" w:rsidRDefault="00966655" w:rsidP="00706CE9">
            <w:pPr>
              <w:pStyle w:val="2024TABLETEXT"/>
              <w:framePr w:hSpace="0" w:wrap="auto" w:vAnchor="margin" w:yAlign="inline"/>
              <w:suppressOverlap w:val="0"/>
            </w:pPr>
            <w:r w:rsidRPr="0054775B">
              <w:rPr>
                <w:b/>
                <w:bCs/>
              </w:rPr>
              <w:t>Blood pressure</w:t>
            </w:r>
          </w:p>
        </w:tc>
        <w:tc>
          <w:tcPr>
            <w:tcW w:w="450" w:type="pct"/>
            <w:tcBorders>
              <w:top w:val="single" w:sz="6" w:space="0" w:color="000000"/>
              <w:left w:val="nil"/>
              <w:bottom w:val="single" w:sz="6" w:space="0" w:color="000000"/>
              <w:right w:val="nil"/>
            </w:tcBorders>
            <w:vAlign w:val="center"/>
          </w:tcPr>
          <w:p w14:paraId="1CF4AA25" w14:textId="5F3AC515" w:rsidR="00966655" w:rsidRPr="0054775B" w:rsidRDefault="00966655" w:rsidP="00966655">
            <w:pPr>
              <w:pStyle w:val="2024TABLETEXT"/>
              <w:framePr w:hSpace="0" w:wrap="auto" w:vAnchor="margin" w:yAlign="inline"/>
              <w:suppressOverlap w:val="0"/>
            </w:pPr>
            <w:r w:rsidRPr="0054775B">
              <w:t>-</w:t>
            </w:r>
          </w:p>
        </w:tc>
        <w:tc>
          <w:tcPr>
            <w:tcW w:w="500" w:type="pct"/>
            <w:tcBorders>
              <w:top w:val="single" w:sz="6" w:space="0" w:color="000000"/>
              <w:left w:val="nil"/>
              <w:bottom w:val="single" w:sz="6" w:space="0" w:color="000000"/>
              <w:right w:val="nil"/>
            </w:tcBorders>
            <w:shd w:val="clear" w:color="auto" w:fill="auto"/>
            <w:vAlign w:val="center"/>
          </w:tcPr>
          <w:p w14:paraId="57E74A49" w14:textId="6CA79FD3" w:rsidR="00966655" w:rsidRPr="0054775B" w:rsidRDefault="00966655" w:rsidP="00966655">
            <w:pPr>
              <w:pStyle w:val="2024TABLETEXT"/>
              <w:framePr w:hSpace="0" w:wrap="auto" w:vAnchor="margin" w:yAlign="inline"/>
              <w:suppressOverlap w:val="0"/>
            </w:pPr>
            <w:r w:rsidRPr="0054775B">
              <w:t>-</w:t>
            </w:r>
          </w:p>
        </w:tc>
        <w:tc>
          <w:tcPr>
            <w:tcW w:w="450" w:type="pct"/>
            <w:tcBorders>
              <w:top w:val="single" w:sz="6" w:space="0" w:color="000000"/>
              <w:left w:val="nil"/>
              <w:bottom w:val="single" w:sz="6" w:space="0" w:color="000000"/>
              <w:right w:val="nil"/>
            </w:tcBorders>
            <w:vAlign w:val="center"/>
          </w:tcPr>
          <w:p w14:paraId="5F19C0F6" w14:textId="75AB62C0" w:rsidR="00966655" w:rsidRPr="0054775B" w:rsidRDefault="00966655" w:rsidP="00966655">
            <w:pPr>
              <w:pStyle w:val="2024TABLETEXT"/>
              <w:framePr w:hSpace="0" w:wrap="auto" w:vAnchor="margin" w:yAlign="inline"/>
              <w:suppressOverlap w:val="0"/>
            </w:pPr>
            <w:r w:rsidRPr="0054775B">
              <w:t>-</w:t>
            </w:r>
          </w:p>
        </w:tc>
        <w:tc>
          <w:tcPr>
            <w:tcW w:w="500" w:type="pct"/>
            <w:tcBorders>
              <w:top w:val="single" w:sz="6" w:space="0" w:color="000000"/>
              <w:left w:val="nil"/>
              <w:bottom w:val="single" w:sz="6" w:space="0" w:color="000000"/>
              <w:right w:val="nil"/>
            </w:tcBorders>
            <w:vAlign w:val="center"/>
          </w:tcPr>
          <w:p w14:paraId="7A0C9387" w14:textId="4AF85EC1" w:rsidR="00966655" w:rsidRPr="0054775B" w:rsidRDefault="00966655" w:rsidP="00966655">
            <w:pPr>
              <w:pStyle w:val="2024TABLETEXT"/>
              <w:framePr w:hSpace="0" w:wrap="auto" w:vAnchor="margin" w:yAlign="inline"/>
              <w:suppressOverlap w:val="0"/>
            </w:pPr>
            <w:r w:rsidRPr="0054775B">
              <w:t>-</w:t>
            </w:r>
          </w:p>
        </w:tc>
        <w:tc>
          <w:tcPr>
            <w:tcW w:w="1600" w:type="pct"/>
            <w:tcBorders>
              <w:top w:val="single" w:sz="6" w:space="0" w:color="000000"/>
              <w:left w:val="nil"/>
              <w:bottom w:val="single" w:sz="6" w:space="0" w:color="000000"/>
              <w:right w:val="nil"/>
            </w:tcBorders>
            <w:vAlign w:val="center"/>
          </w:tcPr>
          <w:p w14:paraId="4F848D0A" w14:textId="33710461" w:rsidR="00966655" w:rsidRPr="0054775B" w:rsidRDefault="00966655" w:rsidP="00966655">
            <w:pPr>
              <w:pStyle w:val="2024TABLETEXT"/>
              <w:framePr w:hSpace="0" w:wrap="auto" w:vAnchor="margin" w:yAlign="inline"/>
              <w:suppressOverlap w:val="0"/>
            </w:pPr>
            <w:r w:rsidRPr="0054775B">
              <w:t xml:space="preserve">No </w:t>
            </w:r>
            <w:r w:rsidR="00BC0B3C">
              <w:t>reviews</w:t>
            </w:r>
            <w:r w:rsidR="00BC0B3C" w:rsidRPr="0054775B">
              <w:t xml:space="preserve"> </w:t>
            </w:r>
            <w:r w:rsidRPr="0054775B">
              <w:t>found. The effect of antioxidants on blood pressure in people at risk of T2DM is unknown.</w:t>
            </w:r>
          </w:p>
        </w:tc>
      </w:tr>
      <w:tr w:rsidR="00966655" w:rsidRPr="0054775B" w14:paraId="000F865E" w14:textId="77777777" w:rsidTr="00C15178">
        <w:trPr>
          <w:cantSplit/>
          <w:trHeight w:val="198"/>
        </w:trPr>
        <w:tc>
          <w:tcPr>
            <w:tcW w:w="277" w:type="pct"/>
            <w:tcBorders>
              <w:top w:val="single" w:sz="6" w:space="0" w:color="000000"/>
              <w:left w:val="nil"/>
              <w:bottom w:val="single" w:sz="6" w:space="0" w:color="000000"/>
              <w:right w:val="nil"/>
            </w:tcBorders>
            <w:vAlign w:val="center"/>
          </w:tcPr>
          <w:p w14:paraId="29CAE720" w14:textId="65A3BFB7" w:rsidR="00966655" w:rsidRPr="0054775B" w:rsidRDefault="00966655" w:rsidP="00966655">
            <w:pPr>
              <w:pStyle w:val="2024TABLETEXT"/>
              <w:framePr w:hSpace="0" w:wrap="auto" w:vAnchor="margin" w:yAlign="inline"/>
              <w:suppressOverlap w:val="0"/>
            </w:pPr>
            <w:r w:rsidRPr="0054775B">
              <w:t>8</w:t>
            </w:r>
          </w:p>
        </w:tc>
        <w:tc>
          <w:tcPr>
            <w:tcW w:w="1223" w:type="pct"/>
            <w:gridSpan w:val="2"/>
            <w:tcBorders>
              <w:top w:val="single" w:sz="6" w:space="0" w:color="000000"/>
              <w:left w:val="nil"/>
              <w:bottom w:val="single" w:sz="6" w:space="0" w:color="000000"/>
              <w:right w:val="nil"/>
            </w:tcBorders>
            <w:vAlign w:val="center"/>
          </w:tcPr>
          <w:p w14:paraId="7BD73332" w14:textId="22A652EE" w:rsidR="00966655" w:rsidRPr="0054775B" w:rsidRDefault="00966655" w:rsidP="00966655">
            <w:pPr>
              <w:pStyle w:val="2024TABLETEXT"/>
              <w:framePr w:hSpace="0" w:wrap="auto" w:vAnchor="margin" w:yAlign="inline"/>
              <w:suppressOverlap w:val="0"/>
              <w:rPr>
                <w:b/>
                <w:bCs/>
              </w:rPr>
            </w:pPr>
            <w:r w:rsidRPr="0054775B">
              <w:rPr>
                <w:b/>
                <w:bCs/>
              </w:rPr>
              <w:t>Oxidative stress</w:t>
            </w:r>
          </w:p>
        </w:tc>
        <w:tc>
          <w:tcPr>
            <w:tcW w:w="450" w:type="pct"/>
            <w:tcBorders>
              <w:top w:val="single" w:sz="6" w:space="0" w:color="000000"/>
              <w:left w:val="nil"/>
              <w:bottom w:val="single" w:sz="6" w:space="0" w:color="000000"/>
              <w:right w:val="nil"/>
            </w:tcBorders>
            <w:vAlign w:val="center"/>
          </w:tcPr>
          <w:p w14:paraId="09D3F0B1" w14:textId="13408888" w:rsidR="00966655" w:rsidRPr="0054775B" w:rsidRDefault="00966655" w:rsidP="00966655">
            <w:pPr>
              <w:pStyle w:val="2024TABLETEXT"/>
              <w:framePr w:hSpace="0" w:wrap="auto" w:vAnchor="margin" w:yAlign="inline"/>
              <w:suppressOverlap w:val="0"/>
            </w:pPr>
            <w:r w:rsidRPr="0054775B">
              <w:t>-</w:t>
            </w:r>
          </w:p>
        </w:tc>
        <w:tc>
          <w:tcPr>
            <w:tcW w:w="500" w:type="pct"/>
            <w:tcBorders>
              <w:top w:val="single" w:sz="6" w:space="0" w:color="000000"/>
              <w:left w:val="nil"/>
              <w:bottom w:val="single" w:sz="6" w:space="0" w:color="000000"/>
              <w:right w:val="nil"/>
            </w:tcBorders>
            <w:shd w:val="clear" w:color="auto" w:fill="auto"/>
            <w:vAlign w:val="center"/>
          </w:tcPr>
          <w:p w14:paraId="26DAAA39" w14:textId="58C04B90" w:rsidR="00966655" w:rsidRPr="0054775B" w:rsidRDefault="00966655" w:rsidP="00966655">
            <w:pPr>
              <w:pStyle w:val="2024TABLETEXT"/>
              <w:framePr w:hSpace="0" w:wrap="auto" w:vAnchor="margin" w:yAlign="inline"/>
              <w:suppressOverlap w:val="0"/>
            </w:pPr>
            <w:r w:rsidRPr="0054775B">
              <w:t>-</w:t>
            </w:r>
          </w:p>
        </w:tc>
        <w:tc>
          <w:tcPr>
            <w:tcW w:w="450" w:type="pct"/>
            <w:tcBorders>
              <w:top w:val="single" w:sz="6" w:space="0" w:color="000000"/>
              <w:left w:val="nil"/>
              <w:bottom w:val="single" w:sz="6" w:space="0" w:color="000000"/>
              <w:right w:val="nil"/>
            </w:tcBorders>
            <w:vAlign w:val="center"/>
          </w:tcPr>
          <w:p w14:paraId="2DC106C7" w14:textId="74E64429" w:rsidR="00966655" w:rsidRPr="0054775B" w:rsidRDefault="00966655" w:rsidP="00966655">
            <w:pPr>
              <w:pStyle w:val="2024TABLETEXT"/>
              <w:framePr w:hSpace="0" w:wrap="auto" w:vAnchor="margin" w:yAlign="inline"/>
              <w:suppressOverlap w:val="0"/>
            </w:pPr>
            <w:r w:rsidRPr="0054775B">
              <w:t>-</w:t>
            </w:r>
          </w:p>
        </w:tc>
        <w:tc>
          <w:tcPr>
            <w:tcW w:w="500" w:type="pct"/>
            <w:tcBorders>
              <w:top w:val="single" w:sz="6" w:space="0" w:color="000000"/>
              <w:left w:val="nil"/>
              <w:bottom w:val="single" w:sz="6" w:space="0" w:color="000000"/>
              <w:right w:val="nil"/>
            </w:tcBorders>
            <w:vAlign w:val="center"/>
          </w:tcPr>
          <w:p w14:paraId="612DD15D" w14:textId="370167E1" w:rsidR="00966655" w:rsidRPr="0054775B" w:rsidRDefault="00966655" w:rsidP="00966655">
            <w:pPr>
              <w:pStyle w:val="2024TABLETEXT"/>
              <w:framePr w:hSpace="0" w:wrap="auto" w:vAnchor="margin" w:yAlign="inline"/>
              <w:suppressOverlap w:val="0"/>
            </w:pPr>
            <w:r w:rsidRPr="0054775B">
              <w:t>-</w:t>
            </w:r>
          </w:p>
        </w:tc>
        <w:tc>
          <w:tcPr>
            <w:tcW w:w="1600" w:type="pct"/>
            <w:tcBorders>
              <w:top w:val="single" w:sz="6" w:space="0" w:color="000000"/>
              <w:left w:val="nil"/>
              <w:bottom w:val="single" w:sz="6" w:space="0" w:color="000000"/>
              <w:right w:val="nil"/>
            </w:tcBorders>
            <w:vAlign w:val="center"/>
          </w:tcPr>
          <w:p w14:paraId="35C5CB28" w14:textId="5D8DB82F" w:rsidR="00966655" w:rsidRPr="0054775B" w:rsidRDefault="00966655" w:rsidP="00966655">
            <w:pPr>
              <w:pStyle w:val="2024TABLETEXT"/>
              <w:framePr w:hSpace="0" w:wrap="auto" w:vAnchor="margin" w:yAlign="inline"/>
              <w:suppressOverlap w:val="0"/>
              <w:rPr>
                <w:highlight w:val="yellow"/>
              </w:rPr>
            </w:pPr>
            <w:r w:rsidRPr="0054775B">
              <w:t xml:space="preserve">No </w:t>
            </w:r>
            <w:r w:rsidR="00BC0B3C">
              <w:t>reviews</w:t>
            </w:r>
            <w:r w:rsidR="00BC0B3C" w:rsidRPr="0054775B">
              <w:t xml:space="preserve"> </w:t>
            </w:r>
            <w:r w:rsidRPr="0054775B">
              <w:t>found. The effect of antioxidants on oxidative stress in people at risk of T2DM is unknown.</w:t>
            </w:r>
          </w:p>
        </w:tc>
      </w:tr>
      <w:tr w:rsidR="00966655" w:rsidRPr="0054775B" w14:paraId="13BC916A" w14:textId="77777777" w:rsidTr="00C15178">
        <w:trPr>
          <w:cantSplit/>
          <w:trHeight w:val="35"/>
        </w:trPr>
        <w:tc>
          <w:tcPr>
            <w:tcW w:w="277" w:type="pct"/>
            <w:tcBorders>
              <w:top w:val="single" w:sz="6" w:space="0" w:color="000000"/>
              <w:left w:val="nil"/>
              <w:bottom w:val="single" w:sz="6" w:space="0" w:color="000000"/>
              <w:right w:val="nil"/>
            </w:tcBorders>
            <w:vAlign w:val="center"/>
          </w:tcPr>
          <w:p w14:paraId="6EA2668A" w14:textId="55F28520" w:rsidR="00966655" w:rsidRPr="0054775B" w:rsidRDefault="00966655" w:rsidP="00966655">
            <w:pPr>
              <w:pStyle w:val="2024TABLETEXT"/>
              <w:framePr w:hSpace="0" w:wrap="auto" w:vAnchor="margin" w:yAlign="inline"/>
              <w:suppressOverlap w:val="0"/>
            </w:pPr>
            <w:r w:rsidRPr="0054775B">
              <w:t>8</w:t>
            </w:r>
          </w:p>
        </w:tc>
        <w:tc>
          <w:tcPr>
            <w:tcW w:w="1223" w:type="pct"/>
            <w:gridSpan w:val="2"/>
            <w:tcBorders>
              <w:top w:val="single" w:sz="6" w:space="0" w:color="000000"/>
              <w:left w:val="nil"/>
              <w:bottom w:val="single" w:sz="6" w:space="0" w:color="000000"/>
              <w:right w:val="nil"/>
            </w:tcBorders>
            <w:vAlign w:val="center"/>
          </w:tcPr>
          <w:p w14:paraId="6744A448" w14:textId="52C357D7" w:rsidR="00966655" w:rsidRPr="0054775B" w:rsidRDefault="00966655" w:rsidP="00966655">
            <w:pPr>
              <w:pStyle w:val="2024TABLETEXT"/>
              <w:framePr w:hSpace="0" w:wrap="auto" w:vAnchor="margin" w:yAlign="inline"/>
              <w:suppressOverlap w:val="0"/>
              <w:rPr>
                <w:b/>
                <w:bCs/>
              </w:rPr>
            </w:pPr>
            <w:r w:rsidRPr="0054775B">
              <w:rPr>
                <w:b/>
                <w:bCs/>
              </w:rPr>
              <w:t>Diabetes related symptoms</w:t>
            </w:r>
          </w:p>
        </w:tc>
        <w:tc>
          <w:tcPr>
            <w:tcW w:w="450" w:type="pct"/>
            <w:tcBorders>
              <w:top w:val="single" w:sz="6" w:space="0" w:color="000000"/>
              <w:left w:val="nil"/>
              <w:bottom w:val="single" w:sz="6" w:space="0" w:color="000000"/>
              <w:right w:val="nil"/>
            </w:tcBorders>
            <w:vAlign w:val="center"/>
          </w:tcPr>
          <w:p w14:paraId="4F5F5810" w14:textId="1D318E41" w:rsidR="00966655" w:rsidRPr="0054775B" w:rsidRDefault="00966655" w:rsidP="00966655">
            <w:pPr>
              <w:pStyle w:val="2024TABLETEXT"/>
              <w:framePr w:hSpace="0" w:wrap="auto" w:vAnchor="margin" w:yAlign="inline"/>
              <w:suppressOverlap w:val="0"/>
            </w:pPr>
            <w:r w:rsidRPr="0054775B">
              <w:t>-</w:t>
            </w:r>
          </w:p>
        </w:tc>
        <w:tc>
          <w:tcPr>
            <w:tcW w:w="500" w:type="pct"/>
            <w:tcBorders>
              <w:top w:val="single" w:sz="6" w:space="0" w:color="000000"/>
              <w:left w:val="nil"/>
              <w:bottom w:val="single" w:sz="6" w:space="0" w:color="000000"/>
              <w:right w:val="nil"/>
            </w:tcBorders>
            <w:shd w:val="clear" w:color="auto" w:fill="auto"/>
            <w:vAlign w:val="center"/>
          </w:tcPr>
          <w:p w14:paraId="658BA25D" w14:textId="3105A307" w:rsidR="00966655" w:rsidRPr="0054775B" w:rsidRDefault="00966655" w:rsidP="00966655">
            <w:pPr>
              <w:pStyle w:val="2024TABLETEXT"/>
              <w:framePr w:hSpace="0" w:wrap="auto" w:vAnchor="margin" w:yAlign="inline"/>
              <w:suppressOverlap w:val="0"/>
            </w:pPr>
            <w:r w:rsidRPr="0054775B">
              <w:t>-</w:t>
            </w:r>
          </w:p>
        </w:tc>
        <w:tc>
          <w:tcPr>
            <w:tcW w:w="450" w:type="pct"/>
            <w:tcBorders>
              <w:top w:val="single" w:sz="6" w:space="0" w:color="000000"/>
              <w:left w:val="nil"/>
              <w:bottom w:val="single" w:sz="6" w:space="0" w:color="000000"/>
              <w:right w:val="nil"/>
            </w:tcBorders>
            <w:vAlign w:val="center"/>
          </w:tcPr>
          <w:p w14:paraId="38E0B0D0" w14:textId="40D1CF6E" w:rsidR="00966655" w:rsidRPr="0054775B" w:rsidRDefault="00966655" w:rsidP="00966655">
            <w:pPr>
              <w:pStyle w:val="2024TABLETEXT"/>
              <w:framePr w:hSpace="0" w:wrap="auto" w:vAnchor="margin" w:yAlign="inline"/>
              <w:suppressOverlap w:val="0"/>
            </w:pPr>
            <w:r w:rsidRPr="0054775B">
              <w:t>-</w:t>
            </w:r>
          </w:p>
        </w:tc>
        <w:tc>
          <w:tcPr>
            <w:tcW w:w="500" w:type="pct"/>
            <w:tcBorders>
              <w:top w:val="single" w:sz="6" w:space="0" w:color="000000"/>
              <w:left w:val="nil"/>
              <w:bottom w:val="single" w:sz="6" w:space="0" w:color="000000"/>
              <w:right w:val="nil"/>
            </w:tcBorders>
            <w:vAlign w:val="center"/>
          </w:tcPr>
          <w:p w14:paraId="1EEBEC0A" w14:textId="4BFAECFE" w:rsidR="00966655" w:rsidRPr="0054775B" w:rsidRDefault="00966655" w:rsidP="00966655">
            <w:pPr>
              <w:pStyle w:val="2024TABLETEXT"/>
              <w:framePr w:hSpace="0" w:wrap="auto" w:vAnchor="margin" w:yAlign="inline"/>
              <w:suppressOverlap w:val="0"/>
            </w:pPr>
            <w:r w:rsidRPr="0054775B">
              <w:t>-</w:t>
            </w:r>
          </w:p>
        </w:tc>
        <w:tc>
          <w:tcPr>
            <w:tcW w:w="1600" w:type="pct"/>
            <w:tcBorders>
              <w:top w:val="single" w:sz="6" w:space="0" w:color="000000"/>
              <w:left w:val="nil"/>
              <w:bottom w:val="single" w:sz="6" w:space="0" w:color="000000"/>
              <w:right w:val="nil"/>
            </w:tcBorders>
            <w:vAlign w:val="center"/>
          </w:tcPr>
          <w:p w14:paraId="5BCAF241" w14:textId="07F4119F" w:rsidR="00966655" w:rsidRPr="0054775B" w:rsidRDefault="00966655" w:rsidP="00966655">
            <w:pPr>
              <w:pStyle w:val="2024TABLETEXT"/>
              <w:framePr w:hSpace="0" w:wrap="auto" w:vAnchor="margin" w:yAlign="inline"/>
              <w:suppressOverlap w:val="0"/>
              <w:rPr>
                <w:highlight w:val="yellow"/>
              </w:rPr>
            </w:pPr>
            <w:r w:rsidRPr="0054775B">
              <w:t xml:space="preserve">No </w:t>
            </w:r>
            <w:r w:rsidR="00BC0B3C">
              <w:t>reviews</w:t>
            </w:r>
            <w:r w:rsidR="00BC0B3C" w:rsidRPr="0054775B">
              <w:t xml:space="preserve"> </w:t>
            </w:r>
            <w:r w:rsidRPr="0054775B">
              <w:t>found. The effect of antioxidants on diabetes related symptoms in people at risk of T2DM is unknown.</w:t>
            </w:r>
          </w:p>
        </w:tc>
      </w:tr>
      <w:tr w:rsidR="00966655" w:rsidRPr="0054775B" w14:paraId="0B4AC1D6" w14:textId="77777777" w:rsidTr="00C15178">
        <w:trPr>
          <w:cantSplit/>
          <w:trHeight w:val="221"/>
        </w:trPr>
        <w:tc>
          <w:tcPr>
            <w:tcW w:w="277" w:type="pct"/>
            <w:tcBorders>
              <w:top w:val="single" w:sz="6" w:space="0" w:color="000000"/>
              <w:left w:val="nil"/>
              <w:bottom w:val="single" w:sz="6" w:space="0" w:color="000000"/>
              <w:right w:val="nil"/>
            </w:tcBorders>
            <w:vAlign w:val="center"/>
          </w:tcPr>
          <w:p w14:paraId="7D6D397E" w14:textId="477CA867" w:rsidR="00966655" w:rsidRPr="0054775B" w:rsidRDefault="00966655" w:rsidP="00966655">
            <w:pPr>
              <w:pStyle w:val="2024TABLETEXT"/>
              <w:framePr w:hSpace="0" w:wrap="auto" w:vAnchor="margin" w:yAlign="inline"/>
              <w:suppressOverlap w:val="0"/>
            </w:pPr>
            <w:r w:rsidRPr="0054775B">
              <w:t>8</w:t>
            </w:r>
          </w:p>
        </w:tc>
        <w:tc>
          <w:tcPr>
            <w:tcW w:w="1223" w:type="pct"/>
            <w:gridSpan w:val="2"/>
            <w:tcBorders>
              <w:top w:val="single" w:sz="6" w:space="0" w:color="000000"/>
              <w:left w:val="nil"/>
              <w:bottom w:val="single" w:sz="6" w:space="0" w:color="000000"/>
              <w:right w:val="nil"/>
            </w:tcBorders>
            <w:vAlign w:val="center"/>
          </w:tcPr>
          <w:p w14:paraId="5BF32960" w14:textId="2A2EEABA" w:rsidR="00966655" w:rsidRPr="0054775B" w:rsidRDefault="00966655" w:rsidP="00966655">
            <w:pPr>
              <w:pStyle w:val="2024TABLETEXT"/>
              <w:framePr w:hSpace="0" w:wrap="auto" w:vAnchor="margin" w:yAlign="inline"/>
              <w:suppressOverlap w:val="0"/>
              <w:rPr>
                <w:b/>
                <w:bCs/>
              </w:rPr>
            </w:pPr>
            <w:r w:rsidRPr="0054775B">
              <w:rPr>
                <w:b/>
                <w:bCs/>
              </w:rPr>
              <w:t>Overall diabetes related complications</w:t>
            </w:r>
          </w:p>
        </w:tc>
        <w:tc>
          <w:tcPr>
            <w:tcW w:w="450" w:type="pct"/>
            <w:tcBorders>
              <w:top w:val="single" w:sz="6" w:space="0" w:color="000000"/>
              <w:left w:val="nil"/>
              <w:bottom w:val="single" w:sz="6" w:space="0" w:color="000000"/>
              <w:right w:val="nil"/>
            </w:tcBorders>
            <w:vAlign w:val="center"/>
          </w:tcPr>
          <w:p w14:paraId="1A873247" w14:textId="3BBE8363" w:rsidR="00966655" w:rsidRPr="0054775B" w:rsidRDefault="00966655" w:rsidP="00966655">
            <w:pPr>
              <w:pStyle w:val="2024TABLETEXT"/>
              <w:framePr w:hSpace="0" w:wrap="auto" w:vAnchor="margin" w:yAlign="inline"/>
              <w:suppressOverlap w:val="0"/>
            </w:pPr>
            <w:r w:rsidRPr="0054775B">
              <w:t>-</w:t>
            </w:r>
          </w:p>
        </w:tc>
        <w:tc>
          <w:tcPr>
            <w:tcW w:w="500" w:type="pct"/>
            <w:tcBorders>
              <w:top w:val="single" w:sz="6" w:space="0" w:color="000000"/>
              <w:left w:val="nil"/>
              <w:bottom w:val="single" w:sz="6" w:space="0" w:color="000000"/>
              <w:right w:val="nil"/>
            </w:tcBorders>
            <w:shd w:val="clear" w:color="auto" w:fill="auto"/>
            <w:vAlign w:val="center"/>
          </w:tcPr>
          <w:p w14:paraId="1A7162A7" w14:textId="408C273E" w:rsidR="00966655" w:rsidRPr="0054775B" w:rsidRDefault="00966655" w:rsidP="00966655">
            <w:pPr>
              <w:pStyle w:val="2024TABLETEXT"/>
              <w:framePr w:hSpace="0" w:wrap="auto" w:vAnchor="margin" w:yAlign="inline"/>
              <w:suppressOverlap w:val="0"/>
            </w:pPr>
            <w:r w:rsidRPr="0054775B">
              <w:t>-</w:t>
            </w:r>
          </w:p>
        </w:tc>
        <w:tc>
          <w:tcPr>
            <w:tcW w:w="450" w:type="pct"/>
            <w:tcBorders>
              <w:top w:val="single" w:sz="6" w:space="0" w:color="000000"/>
              <w:left w:val="nil"/>
              <w:bottom w:val="single" w:sz="6" w:space="0" w:color="000000"/>
              <w:right w:val="nil"/>
            </w:tcBorders>
            <w:vAlign w:val="center"/>
          </w:tcPr>
          <w:p w14:paraId="0AE251C0" w14:textId="4C0F9670" w:rsidR="00966655" w:rsidRPr="0054775B" w:rsidRDefault="00966655" w:rsidP="00966655">
            <w:pPr>
              <w:pStyle w:val="2024TABLETEXT"/>
              <w:framePr w:hSpace="0" w:wrap="auto" w:vAnchor="margin" w:yAlign="inline"/>
              <w:suppressOverlap w:val="0"/>
            </w:pPr>
            <w:r w:rsidRPr="0054775B">
              <w:t>-</w:t>
            </w:r>
          </w:p>
        </w:tc>
        <w:tc>
          <w:tcPr>
            <w:tcW w:w="500" w:type="pct"/>
            <w:tcBorders>
              <w:top w:val="single" w:sz="6" w:space="0" w:color="000000"/>
              <w:left w:val="nil"/>
              <w:bottom w:val="single" w:sz="6" w:space="0" w:color="000000"/>
              <w:right w:val="nil"/>
            </w:tcBorders>
            <w:vAlign w:val="center"/>
          </w:tcPr>
          <w:p w14:paraId="2766E541" w14:textId="7462A656" w:rsidR="00966655" w:rsidRPr="0054775B" w:rsidRDefault="00966655" w:rsidP="00966655">
            <w:pPr>
              <w:pStyle w:val="2024TABLETEXT"/>
              <w:framePr w:hSpace="0" w:wrap="auto" w:vAnchor="margin" w:yAlign="inline"/>
              <w:suppressOverlap w:val="0"/>
            </w:pPr>
            <w:r w:rsidRPr="0054775B">
              <w:t>-</w:t>
            </w:r>
          </w:p>
        </w:tc>
        <w:tc>
          <w:tcPr>
            <w:tcW w:w="1600" w:type="pct"/>
            <w:tcBorders>
              <w:top w:val="single" w:sz="6" w:space="0" w:color="000000"/>
              <w:left w:val="nil"/>
              <w:bottom w:val="single" w:sz="6" w:space="0" w:color="000000"/>
              <w:right w:val="nil"/>
            </w:tcBorders>
            <w:vAlign w:val="center"/>
          </w:tcPr>
          <w:p w14:paraId="3175B26D" w14:textId="7A670DB5" w:rsidR="00966655" w:rsidRPr="0054775B" w:rsidRDefault="00966655" w:rsidP="00966655">
            <w:pPr>
              <w:pStyle w:val="2024TABLETEXT"/>
              <w:framePr w:hSpace="0" w:wrap="auto" w:vAnchor="margin" w:yAlign="inline"/>
              <w:suppressOverlap w:val="0"/>
              <w:rPr>
                <w:highlight w:val="yellow"/>
              </w:rPr>
            </w:pPr>
            <w:r w:rsidRPr="0054775B">
              <w:t xml:space="preserve">No </w:t>
            </w:r>
            <w:r w:rsidR="00BC0B3C">
              <w:t>reviews</w:t>
            </w:r>
            <w:r w:rsidR="00BC0B3C" w:rsidRPr="0054775B">
              <w:t xml:space="preserve"> </w:t>
            </w:r>
            <w:r w:rsidRPr="0054775B">
              <w:t>found. The effect of antioxidants on overall diabetes-related complications in people at risk of T2DM is unknown.</w:t>
            </w:r>
          </w:p>
        </w:tc>
      </w:tr>
      <w:tr w:rsidR="00966655" w:rsidRPr="0054775B" w14:paraId="5A768418" w14:textId="77777777" w:rsidTr="00C15178">
        <w:trPr>
          <w:cantSplit/>
          <w:trHeight w:val="198"/>
        </w:trPr>
        <w:tc>
          <w:tcPr>
            <w:tcW w:w="277" w:type="pct"/>
            <w:tcBorders>
              <w:top w:val="single" w:sz="6" w:space="0" w:color="000000"/>
              <w:left w:val="nil"/>
              <w:bottom w:val="single" w:sz="6" w:space="0" w:color="000000"/>
              <w:right w:val="nil"/>
            </w:tcBorders>
            <w:vAlign w:val="center"/>
          </w:tcPr>
          <w:p w14:paraId="4DFAF819" w14:textId="56DF5766" w:rsidR="00966655" w:rsidRPr="0054775B" w:rsidRDefault="00966655" w:rsidP="00966655">
            <w:pPr>
              <w:pStyle w:val="2024TABLETEXT"/>
              <w:framePr w:hSpace="0" w:wrap="auto" w:vAnchor="margin" w:yAlign="inline"/>
              <w:suppressOverlap w:val="0"/>
            </w:pPr>
            <w:r w:rsidRPr="0054775B">
              <w:t>8</w:t>
            </w:r>
          </w:p>
        </w:tc>
        <w:tc>
          <w:tcPr>
            <w:tcW w:w="1223" w:type="pct"/>
            <w:gridSpan w:val="2"/>
            <w:tcBorders>
              <w:top w:val="single" w:sz="6" w:space="0" w:color="000000"/>
              <w:left w:val="nil"/>
              <w:bottom w:val="single" w:sz="6" w:space="0" w:color="000000"/>
              <w:right w:val="nil"/>
            </w:tcBorders>
            <w:vAlign w:val="center"/>
          </w:tcPr>
          <w:p w14:paraId="6DA12E29" w14:textId="26C700CD" w:rsidR="00966655" w:rsidRPr="0054775B" w:rsidRDefault="00966655" w:rsidP="00966655">
            <w:pPr>
              <w:pStyle w:val="2024TABLETEXT"/>
              <w:framePr w:hSpace="0" w:wrap="auto" w:vAnchor="margin" w:yAlign="inline"/>
              <w:suppressOverlap w:val="0"/>
              <w:rPr>
                <w:b/>
                <w:bCs/>
              </w:rPr>
            </w:pPr>
            <w:r w:rsidRPr="0054775B">
              <w:rPr>
                <w:b/>
                <w:bCs/>
              </w:rPr>
              <w:t>HRQoL</w:t>
            </w:r>
          </w:p>
        </w:tc>
        <w:tc>
          <w:tcPr>
            <w:tcW w:w="450" w:type="pct"/>
            <w:tcBorders>
              <w:top w:val="single" w:sz="6" w:space="0" w:color="000000"/>
              <w:left w:val="nil"/>
              <w:bottom w:val="single" w:sz="6" w:space="0" w:color="000000"/>
              <w:right w:val="nil"/>
            </w:tcBorders>
            <w:vAlign w:val="center"/>
          </w:tcPr>
          <w:p w14:paraId="5B74D387" w14:textId="5E57894C" w:rsidR="00966655" w:rsidRPr="0054775B" w:rsidRDefault="00966655" w:rsidP="00966655">
            <w:pPr>
              <w:pStyle w:val="2024TABLETEXT"/>
              <w:framePr w:hSpace="0" w:wrap="auto" w:vAnchor="margin" w:yAlign="inline"/>
              <w:suppressOverlap w:val="0"/>
            </w:pPr>
            <w:r w:rsidRPr="0054775B">
              <w:t>-</w:t>
            </w:r>
          </w:p>
        </w:tc>
        <w:tc>
          <w:tcPr>
            <w:tcW w:w="500" w:type="pct"/>
            <w:tcBorders>
              <w:top w:val="single" w:sz="6" w:space="0" w:color="000000"/>
              <w:left w:val="nil"/>
              <w:bottom w:val="single" w:sz="6" w:space="0" w:color="000000"/>
              <w:right w:val="nil"/>
            </w:tcBorders>
            <w:shd w:val="clear" w:color="auto" w:fill="auto"/>
            <w:vAlign w:val="center"/>
          </w:tcPr>
          <w:p w14:paraId="5F20669C" w14:textId="7B9E3117" w:rsidR="00966655" w:rsidRPr="0054775B" w:rsidRDefault="00966655" w:rsidP="00966655">
            <w:pPr>
              <w:pStyle w:val="2024TABLETEXT"/>
              <w:framePr w:hSpace="0" w:wrap="auto" w:vAnchor="margin" w:yAlign="inline"/>
              <w:suppressOverlap w:val="0"/>
            </w:pPr>
            <w:r w:rsidRPr="0054775B">
              <w:t>-</w:t>
            </w:r>
          </w:p>
        </w:tc>
        <w:tc>
          <w:tcPr>
            <w:tcW w:w="450" w:type="pct"/>
            <w:tcBorders>
              <w:top w:val="single" w:sz="6" w:space="0" w:color="000000"/>
              <w:left w:val="nil"/>
              <w:bottom w:val="single" w:sz="6" w:space="0" w:color="000000"/>
              <w:right w:val="nil"/>
            </w:tcBorders>
            <w:vAlign w:val="center"/>
          </w:tcPr>
          <w:p w14:paraId="790D44D6" w14:textId="0D0B1A9C" w:rsidR="00966655" w:rsidRPr="0054775B" w:rsidRDefault="00966655" w:rsidP="00966655">
            <w:pPr>
              <w:pStyle w:val="2024TABLETEXT"/>
              <w:framePr w:hSpace="0" w:wrap="auto" w:vAnchor="margin" w:yAlign="inline"/>
              <w:suppressOverlap w:val="0"/>
            </w:pPr>
            <w:r w:rsidRPr="0054775B">
              <w:t>-</w:t>
            </w:r>
          </w:p>
        </w:tc>
        <w:tc>
          <w:tcPr>
            <w:tcW w:w="500" w:type="pct"/>
            <w:tcBorders>
              <w:top w:val="single" w:sz="6" w:space="0" w:color="000000"/>
              <w:left w:val="nil"/>
              <w:bottom w:val="single" w:sz="6" w:space="0" w:color="000000"/>
              <w:right w:val="nil"/>
            </w:tcBorders>
            <w:vAlign w:val="center"/>
          </w:tcPr>
          <w:p w14:paraId="0D16C19A" w14:textId="079417D3" w:rsidR="00966655" w:rsidRPr="0054775B" w:rsidRDefault="00966655" w:rsidP="00966655">
            <w:pPr>
              <w:pStyle w:val="2024TABLETEXT"/>
              <w:framePr w:hSpace="0" w:wrap="auto" w:vAnchor="margin" w:yAlign="inline"/>
              <w:suppressOverlap w:val="0"/>
            </w:pPr>
            <w:r w:rsidRPr="0054775B">
              <w:t>-</w:t>
            </w:r>
          </w:p>
        </w:tc>
        <w:tc>
          <w:tcPr>
            <w:tcW w:w="1600" w:type="pct"/>
            <w:tcBorders>
              <w:top w:val="single" w:sz="6" w:space="0" w:color="000000"/>
              <w:left w:val="nil"/>
              <w:bottom w:val="single" w:sz="6" w:space="0" w:color="000000"/>
              <w:right w:val="nil"/>
            </w:tcBorders>
            <w:vAlign w:val="center"/>
          </w:tcPr>
          <w:p w14:paraId="3D0DEE2A" w14:textId="636A3DC5" w:rsidR="00966655" w:rsidRPr="0054775B" w:rsidRDefault="00966655" w:rsidP="00966655">
            <w:pPr>
              <w:pStyle w:val="2024TABLETEXT"/>
              <w:framePr w:hSpace="0" w:wrap="auto" w:vAnchor="margin" w:yAlign="inline"/>
              <w:suppressOverlap w:val="0"/>
              <w:rPr>
                <w:highlight w:val="yellow"/>
              </w:rPr>
            </w:pPr>
            <w:r w:rsidRPr="0054775B">
              <w:t xml:space="preserve">No </w:t>
            </w:r>
            <w:r w:rsidR="00BC0B3C">
              <w:t>reviews</w:t>
            </w:r>
            <w:r w:rsidR="00BC0B3C" w:rsidRPr="0054775B">
              <w:t xml:space="preserve"> </w:t>
            </w:r>
            <w:r w:rsidRPr="0054775B">
              <w:t>found. The effect of antioxidants on HRQoL in people at risk of T2DM is unknown.</w:t>
            </w:r>
          </w:p>
        </w:tc>
      </w:tr>
      <w:tr w:rsidR="00966655" w:rsidRPr="0054775B" w14:paraId="7FC5E634" w14:textId="77777777" w:rsidTr="00C15178">
        <w:trPr>
          <w:cantSplit/>
          <w:trHeight w:val="176"/>
        </w:trPr>
        <w:tc>
          <w:tcPr>
            <w:tcW w:w="277" w:type="pct"/>
            <w:tcBorders>
              <w:top w:val="single" w:sz="6" w:space="0" w:color="000000"/>
              <w:left w:val="nil"/>
              <w:bottom w:val="single" w:sz="6" w:space="0" w:color="000000"/>
              <w:right w:val="nil"/>
            </w:tcBorders>
            <w:vAlign w:val="center"/>
          </w:tcPr>
          <w:p w14:paraId="0FB66776" w14:textId="4A572C98" w:rsidR="00966655" w:rsidRPr="0054775B" w:rsidRDefault="00966655" w:rsidP="00966655">
            <w:pPr>
              <w:pStyle w:val="2024TABLETEXT"/>
              <w:framePr w:hSpace="0" w:wrap="auto" w:vAnchor="margin" w:yAlign="inline"/>
              <w:suppressOverlap w:val="0"/>
            </w:pPr>
            <w:r w:rsidRPr="0054775B">
              <w:t>8</w:t>
            </w:r>
          </w:p>
        </w:tc>
        <w:tc>
          <w:tcPr>
            <w:tcW w:w="1223" w:type="pct"/>
            <w:gridSpan w:val="2"/>
            <w:tcBorders>
              <w:top w:val="single" w:sz="6" w:space="0" w:color="000000"/>
              <w:left w:val="nil"/>
              <w:bottom w:val="single" w:sz="6" w:space="0" w:color="000000"/>
              <w:right w:val="nil"/>
            </w:tcBorders>
            <w:vAlign w:val="center"/>
          </w:tcPr>
          <w:p w14:paraId="63ABCC11" w14:textId="7372C0AA" w:rsidR="00966655" w:rsidRPr="0054775B" w:rsidRDefault="00966655" w:rsidP="00966655">
            <w:pPr>
              <w:pStyle w:val="2024TABLETEXT"/>
              <w:framePr w:hSpace="0" w:wrap="auto" w:vAnchor="margin" w:yAlign="inline"/>
              <w:suppressOverlap w:val="0"/>
              <w:rPr>
                <w:b/>
                <w:bCs/>
              </w:rPr>
            </w:pPr>
            <w:r w:rsidRPr="0054775B">
              <w:rPr>
                <w:b/>
                <w:bCs/>
              </w:rPr>
              <w:t>Incidence of T2DM</w:t>
            </w:r>
          </w:p>
        </w:tc>
        <w:tc>
          <w:tcPr>
            <w:tcW w:w="450" w:type="pct"/>
            <w:tcBorders>
              <w:top w:val="single" w:sz="6" w:space="0" w:color="000000"/>
              <w:left w:val="nil"/>
              <w:bottom w:val="single" w:sz="6" w:space="0" w:color="000000"/>
              <w:right w:val="nil"/>
            </w:tcBorders>
            <w:vAlign w:val="center"/>
          </w:tcPr>
          <w:p w14:paraId="50C09CD7" w14:textId="77FBEEE0" w:rsidR="00966655" w:rsidRPr="0054775B" w:rsidRDefault="00966655" w:rsidP="00966655">
            <w:pPr>
              <w:pStyle w:val="2024TABLETEXT"/>
              <w:framePr w:hSpace="0" w:wrap="auto" w:vAnchor="margin" w:yAlign="inline"/>
              <w:suppressOverlap w:val="0"/>
            </w:pPr>
            <w:r w:rsidRPr="0054775B">
              <w:t>-</w:t>
            </w:r>
          </w:p>
        </w:tc>
        <w:tc>
          <w:tcPr>
            <w:tcW w:w="500" w:type="pct"/>
            <w:tcBorders>
              <w:top w:val="single" w:sz="6" w:space="0" w:color="000000"/>
              <w:left w:val="nil"/>
              <w:bottom w:val="single" w:sz="6" w:space="0" w:color="000000"/>
              <w:right w:val="nil"/>
            </w:tcBorders>
            <w:shd w:val="clear" w:color="auto" w:fill="auto"/>
            <w:vAlign w:val="center"/>
          </w:tcPr>
          <w:p w14:paraId="45870E45" w14:textId="4A8895C3" w:rsidR="00966655" w:rsidRPr="0054775B" w:rsidRDefault="00966655" w:rsidP="00966655">
            <w:pPr>
              <w:pStyle w:val="2024TABLETEXT"/>
              <w:framePr w:hSpace="0" w:wrap="auto" w:vAnchor="margin" w:yAlign="inline"/>
              <w:suppressOverlap w:val="0"/>
            </w:pPr>
            <w:r w:rsidRPr="0054775B">
              <w:t>-</w:t>
            </w:r>
          </w:p>
        </w:tc>
        <w:tc>
          <w:tcPr>
            <w:tcW w:w="450" w:type="pct"/>
            <w:tcBorders>
              <w:top w:val="single" w:sz="6" w:space="0" w:color="000000"/>
              <w:left w:val="nil"/>
              <w:bottom w:val="single" w:sz="6" w:space="0" w:color="000000"/>
              <w:right w:val="nil"/>
            </w:tcBorders>
            <w:vAlign w:val="center"/>
          </w:tcPr>
          <w:p w14:paraId="693B3E10" w14:textId="7E0896EE" w:rsidR="00966655" w:rsidRPr="0054775B" w:rsidRDefault="00966655" w:rsidP="00966655">
            <w:pPr>
              <w:pStyle w:val="2024TABLETEXT"/>
              <w:framePr w:hSpace="0" w:wrap="auto" w:vAnchor="margin" w:yAlign="inline"/>
              <w:suppressOverlap w:val="0"/>
            </w:pPr>
            <w:r w:rsidRPr="0054775B">
              <w:t>-</w:t>
            </w:r>
          </w:p>
        </w:tc>
        <w:tc>
          <w:tcPr>
            <w:tcW w:w="500" w:type="pct"/>
            <w:tcBorders>
              <w:top w:val="single" w:sz="6" w:space="0" w:color="000000"/>
              <w:left w:val="nil"/>
              <w:bottom w:val="single" w:sz="6" w:space="0" w:color="000000"/>
              <w:right w:val="nil"/>
            </w:tcBorders>
            <w:vAlign w:val="center"/>
          </w:tcPr>
          <w:p w14:paraId="20C8D337" w14:textId="5762A064" w:rsidR="00966655" w:rsidRPr="0054775B" w:rsidRDefault="00966655" w:rsidP="00966655">
            <w:pPr>
              <w:pStyle w:val="2024TABLETEXT"/>
              <w:framePr w:hSpace="0" w:wrap="auto" w:vAnchor="margin" w:yAlign="inline"/>
              <w:suppressOverlap w:val="0"/>
            </w:pPr>
            <w:r w:rsidRPr="0054775B">
              <w:t>-</w:t>
            </w:r>
          </w:p>
        </w:tc>
        <w:tc>
          <w:tcPr>
            <w:tcW w:w="1600" w:type="pct"/>
            <w:tcBorders>
              <w:top w:val="single" w:sz="6" w:space="0" w:color="000000"/>
              <w:left w:val="nil"/>
              <w:bottom w:val="single" w:sz="6" w:space="0" w:color="000000"/>
              <w:right w:val="nil"/>
            </w:tcBorders>
            <w:vAlign w:val="center"/>
          </w:tcPr>
          <w:p w14:paraId="535BB1EE" w14:textId="550A2A64" w:rsidR="00966655" w:rsidRPr="0054775B" w:rsidRDefault="00966655" w:rsidP="00966655">
            <w:pPr>
              <w:pStyle w:val="2024TABLETEXT"/>
              <w:framePr w:hSpace="0" w:wrap="auto" w:vAnchor="margin" w:yAlign="inline"/>
              <w:suppressOverlap w:val="0"/>
              <w:rPr>
                <w:highlight w:val="yellow"/>
              </w:rPr>
            </w:pPr>
            <w:r w:rsidRPr="0054775B">
              <w:t xml:space="preserve">No </w:t>
            </w:r>
            <w:r w:rsidR="00BC0B3C">
              <w:t>reviews</w:t>
            </w:r>
            <w:r w:rsidR="00BC0B3C" w:rsidRPr="0054775B">
              <w:t xml:space="preserve"> </w:t>
            </w:r>
            <w:r w:rsidRPr="0054775B">
              <w:t>found. The effect of antioxidants on incidence of T2DM in people at risk of T2DM is unknown.</w:t>
            </w:r>
          </w:p>
        </w:tc>
      </w:tr>
      <w:tr w:rsidR="00966655" w:rsidRPr="0054775B" w14:paraId="1733C28D" w14:textId="77777777">
        <w:trPr>
          <w:cantSplit/>
          <w:trHeight w:val="50"/>
        </w:trPr>
        <w:tc>
          <w:tcPr>
            <w:tcW w:w="5000" w:type="pct"/>
            <w:gridSpan w:val="8"/>
            <w:tcBorders>
              <w:top w:val="single" w:sz="6" w:space="0" w:color="000000"/>
              <w:left w:val="nil"/>
              <w:bottom w:val="single" w:sz="6" w:space="0" w:color="000000"/>
              <w:right w:val="nil"/>
            </w:tcBorders>
          </w:tcPr>
          <w:p w14:paraId="19014905" w14:textId="77777777" w:rsidR="00704844" w:rsidRPr="0054775B" w:rsidRDefault="00704844" w:rsidP="00704844">
            <w:pPr>
              <w:pStyle w:val="2024TABLEFOOTER"/>
              <w:rPr>
                <w:szCs w:val="16"/>
              </w:rPr>
            </w:pPr>
            <w:r w:rsidRPr="0054775B">
              <w:rPr>
                <w:szCs w:val="16"/>
              </w:rPr>
              <w:t>*Ratings 1-3 = of limited importance to decision making; 4-6 = important, but not critical, to decision making; 7-9 = critical for decision-making</w:t>
            </w:r>
          </w:p>
          <w:p w14:paraId="6B584427" w14:textId="1633AEA9" w:rsidR="00966655" w:rsidRPr="0054775B" w:rsidRDefault="00966655" w:rsidP="00966655">
            <w:pPr>
              <w:pStyle w:val="2024TABLEFOOTER"/>
            </w:pPr>
            <w:r w:rsidRPr="0054775B">
              <w:t>^SMDs of 0.2, 0.5, and 0.8 are considered small, medium, and large, respectively.</w:t>
            </w:r>
          </w:p>
          <w:p w14:paraId="31250454" w14:textId="0B6EEF31" w:rsidR="009E5DAF" w:rsidRPr="00A637C8" w:rsidRDefault="009E132A" w:rsidP="009E5DAF">
            <w:pPr>
              <w:pStyle w:val="2024TABLEFOOTER"/>
            </w:pPr>
            <w:r>
              <w:rPr>
                <w:szCs w:val="16"/>
              </w:rPr>
              <w:t>#</w:t>
            </w:r>
            <w:r w:rsidRPr="001428E8">
              <w:rPr>
                <w:szCs w:val="16"/>
              </w:rPr>
              <w:t xml:space="preserve">MCID for HOMA-IR </w:t>
            </w:r>
            <w:r w:rsidR="00615AE5">
              <w:rPr>
                <w:szCs w:val="16"/>
              </w:rPr>
              <w:t xml:space="preserve">reported as </w:t>
            </w:r>
            <w:r w:rsidR="00615AE5">
              <w:t>0.05</w:t>
            </w:r>
            <w:r w:rsidR="009E5DAF">
              <w:t xml:space="preserve"> </w:t>
            </w:r>
            <w:r w:rsidR="00227084">
              <w:rPr>
                <w:noProof/>
              </w:rPr>
              <w:t>(209, 215)</w:t>
            </w:r>
            <w:r w:rsidR="009E5DAF">
              <w:t>.</w:t>
            </w:r>
          </w:p>
          <w:p w14:paraId="1840603A" w14:textId="77777777" w:rsidR="009E132A" w:rsidRDefault="009E132A" w:rsidP="00966655">
            <w:pPr>
              <w:pStyle w:val="2024TABLEFOOTER"/>
              <w:rPr>
                <w:szCs w:val="16"/>
              </w:rPr>
            </w:pPr>
          </w:p>
          <w:p w14:paraId="0BDC22E8" w14:textId="6328332E" w:rsidR="00966655" w:rsidRPr="0054775B" w:rsidRDefault="00966655" w:rsidP="00966655">
            <w:pPr>
              <w:pStyle w:val="2024TABLEFOOTER"/>
              <w:rPr>
                <w:szCs w:val="16"/>
              </w:rPr>
            </w:pPr>
            <w:r w:rsidRPr="0054775B">
              <w:rPr>
                <w:szCs w:val="16"/>
              </w:rPr>
              <w:t xml:space="preserve">Abbreviations: BMI=Body mass index, CVD=cardiovascular disease, T2DM=Type II Diabetes Mellitus, </w:t>
            </w:r>
            <w:r w:rsidRPr="0054775B">
              <w:t>CoQ10= Coenzyme Q10, CI=Confidence interval, MD=Mean difference, NR=Not reported, HRQoL=health-related quality of life</w:t>
            </w:r>
            <w:r w:rsidR="009F0B05">
              <w:t xml:space="preserve">; </w:t>
            </w:r>
            <w:r w:rsidR="009F0B05" w:rsidRPr="009F0B05">
              <w:rPr>
                <w:szCs w:val="16"/>
              </w:rPr>
              <w:t>Homeostatic Model Assessment for Insulin Resistance=HOMA-ir</w:t>
            </w:r>
          </w:p>
        </w:tc>
      </w:tr>
      <w:tr w:rsidR="00966655" w:rsidRPr="0054775B" w14:paraId="27488064" w14:textId="77777777">
        <w:trPr>
          <w:cantSplit/>
          <w:trHeight w:val="236"/>
        </w:trPr>
        <w:tc>
          <w:tcPr>
            <w:tcW w:w="5000" w:type="pct"/>
            <w:gridSpan w:val="8"/>
            <w:tcBorders>
              <w:top w:val="single" w:sz="6" w:space="0" w:color="000000"/>
              <w:left w:val="nil"/>
              <w:bottom w:val="single" w:sz="6" w:space="0" w:color="000000"/>
              <w:right w:val="nil"/>
            </w:tcBorders>
          </w:tcPr>
          <w:p w14:paraId="37BB4B67" w14:textId="77777777" w:rsidR="00966655" w:rsidRPr="0054775B" w:rsidRDefault="00966655" w:rsidP="00966655">
            <w:pPr>
              <w:pStyle w:val="2024TABLEFOOTER"/>
              <w:rPr>
                <w:b/>
                <w:bCs/>
                <w:szCs w:val="16"/>
              </w:rPr>
            </w:pPr>
            <w:r w:rsidRPr="0054775B">
              <w:rPr>
                <w:szCs w:val="16"/>
              </w:rPr>
              <w:t>GRADE Working Group grades of evidence</w:t>
            </w:r>
            <w:r w:rsidRPr="0054775B">
              <w:rPr>
                <w:szCs w:val="16"/>
              </w:rPr>
              <w:br/>
            </w:r>
            <w:r w:rsidRPr="0054775B">
              <w:rPr>
                <w:b/>
                <w:bCs/>
                <w:szCs w:val="16"/>
              </w:rPr>
              <w:t>High certainty:</w:t>
            </w:r>
            <w:r w:rsidRPr="0054775B">
              <w:rPr>
                <w:szCs w:val="16"/>
              </w:rPr>
              <w:t xml:space="preserve"> we are very confident that the true effect lies close to that of the estimate of the effect.</w:t>
            </w:r>
            <w:r w:rsidRPr="0054775B">
              <w:rPr>
                <w:szCs w:val="16"/>
              </w:rPr>
              <w:br/>
            </w:r>
            <w:r w:rsidRPr="0054775B">
              <w:rPr>
                <w:b/>
                <w:bCs/>
                <w:szCs w:val="16"/>
              </w:rPr>
              <w:t>Moderate certainty:</w:t>
            </w:r>
            <w:r w:rsidRPr="0054775B">
              <w:rPr>
                <w:szCs w:val="16"/>
              </w:rPr>
              <w:t xml:space="preserve"> we are moderately confident in the effect estimate: the true effect is likely to be close to the estimate of the effect, but there is a possibility that it is substantially different.</w:t>
            </w:r>
            <w:r w:rsidRPr="0054775B">
              <w:rPr>
                <w:szCs w:val="16"/>
              </w:rPr>
              <w:br/>
            </w:r>
            <w:r w:rsidRPr="0054775B">
              <w:rPr>
                <w:b/>
                <w:bCs/>
                <w:szCs w:val="16"/>
              </w:rPr>
              <w:t>Low certainty:</w:t>
            </w:r>
            <w:r w:rsidRPr="0054775B">
              <w:rPr>
                <w:szCs w:val="16"/>
              </w:rPr>
              <w:t xml:space="preserve"> our confidence in the effect estimate is limited: the true effect may be substantially different from the estimate of the effect.</w:t>
            </w:r>
            <w:r w:rsidRPr="0054775B">
              <w:rPr>
                <w:szCs w:val="16"/>
              </w:rPr>
              <w:br/>
            </w:r>
            <w:r w:rsidRPr="0054775B">
              <w:rPr>
                <w:b/>
                <w:bCs/>
                <w:szCs w:val="16"/>
              </w:rPr>
              <w:t>Very low certainty:</w:t>
            </w:r>
            <w:r w:rsidRPr="0054775B">
              <w:rPr>
                <w:szCs w:val="16"/>
              </w:rPr>
              <w:t xml:space="preserve"> we have very little confidence in the effect estimate: the true effect is likely to be substantially different from the estimate of effect.</w:t>
            </w:r>
          </w:p>
        </w:tc>
      </w:tr>
      <w:tr w:rsidR="00966655" w:rsidRPr="0054775B" w14:paraId="2C8000CD" w14:textId="77777777">
        <w:trPr>
          <w:cantSplit/>
          <w:trHeight w:val="236"/>
        </w:trPr>
        <w:tc>
          <w:tcPr>
            <w:tcW w:w="5000" w:type="pct"/>
            <w:gridSpan w:val="8"/>
            <w:tcBorders>
              <w:top w:val="single" w:sz="6" w:space="0" w:color="000000"/>
              <w:left w:val="nil"/>
              <w:bottom w:val="single" w:sz="6" w:space="0" w:color="000000"/>
              <w:right w:val="nil"/>
            </w:tcBorders>
          </w:tcPr>
          <w:p w14:paraId="23724B3B" w14:textId="77777777" w:rsidR="00966655" w:rsidRPr="0054775B" w:rsidRDefault="00966655" w:rsidP="00966655">
            <w:pPr>
              <w:pStyle w:val="2024TABLEFOOTER"/>
              <w:rPr>
                <w:szCs w:val="16"/>
              </w:rPr>
            </w:pPr>
            <w:r w:rsidRPr="0054775B">
              <w:rPr>
                <w:szCs w:val="16"/>
              </w:rPr>
              <w:lastRenderedPageBreak/>
              <w:t>Explanations</w:t>
            </w:r>
          </w:p>
          <w:p w14:paraId="22F914F0" w14:textId="6784C975" w:rsidR="00780487" w:rsidRDefault="00780487" w:rsidP="00780487">
            <w:pPr>
              <w:pStyle w:val="2024TABLEFOOTER"/>
              <w:tabs>
                <w:tab w:val="clear" w:pos="284"/>
                <w:tab w:val="left" w:pos="231"/>
              </w:tabs>
              <w:rPr>
                <w:color w:val="000000" w:themeColor="text1"/>
                <w:szCs w:val="16"/>
              </w:rPr>
            </w:pPr>
            <w:r>
              <w:rPr>
                <w:color w:val="000000" w:themeColor="text1"/>
                <w:szCs w:val="16"/>
              </w:rPr>
              <w:t xml:space="preserve">a. </w:t>
            </w:r>
            <w:r w:rsidR="00B90460">
              <w:rPr>
                <w:color w:val="000000" w:themeColor="text1"/>
                <w:szCs w:val="16"/>
              </w:rPr>
              <w:t>Some concerns about risk of bias primarily related to allocation concealment, however unlikely to impact FBG as this is an objective measure</w:t>
            </w:r>
            <w:r w:rsidR="009A0F6D">
              <w:rPr>
                <w:color w:val="000000" w:themeColor="text1"/>
                <w:szCs w:val="16"/>
              </w:rPr>
              <w:t xml:space="preserve"> (no change for risk of bias). </w:t>
            </w:r>
            <w:r w:rsidR="0062720F" w:rsidRPr="009F714F">
              <w:t xml:space="preserve">Low inconsistency </w:t>
            </w:r>
            <w:r w:rsidR="0062720F" w:rsidRPr="003D53F5">
              <w:t>supported by low I² values and non-statistically significant heterogeneity, point estimates generally favoured the intervention</w:t>
            </w:r>
            <w:r w:rsidR="0062720F">
              <w:t xml:space="preserve"> with overlapping CIs</w:t>
            </w:r>
            <w:r w:rsidR="0062720F" w:rsidRPr="003D53F5">
              <w:t xml:space="preserve"> (no change for inconsistency). </w:t>
            </w:r>
            <w:r w:rsidR="007F1E30" w:rsidRPr="00780487">
              <w:rPr>
                <w:color w:val="000000" w:themeColor="text1"/>
                <w:szCs w:val="16"/>
              </w:rPr>
              <w:t xml:space="preserve">Small sample size, </w:t>
            </w:r>
            <w:r w:rsidR="007F1E30">
              <w:rPr>
                <w:color w:val="000000" w:themeColor="text1"/>
                <w:szCs w:val="16"/>
              </w:rPr>
              <w:t>CIs</w:t>
            </w:r>
            <w:r w:rsidR="007F1E30" w:rsidRPr="00780487">
              <w:rPr>
                <w:color w:val="000000" w:themeColor="text1"/>
                <w:szCs w:val="16"/>
              </w:rPr>
              <w:t xml:space="preserve"> are wider than MCID, though lower bound would still indicate clinically important difference (downgrade one for imprecision).</w:t>
            </w:r>
            <w:r w:rsidR="007F1E30">
              <w:t xml:space="preserve"> </w:t>
            </w:r>
            <w:r w:rsidR="00C12E8B" w:rsidRPr="00C12E8B">
              <w:rPr>
                <w:color w:val="000000" w:themeColor="text1"/>
                <w:szCs w:val="16"/>
              </w:rPr>
              <w:t>Publication bias unlikely supported by non-significant Egger test and visual inspection of funnel plot (no change for publication bias).</w:t>
            </w:r>
          </w:p>
          <w:p w14:paraId="02A5C4EA" w14:textId="17723BBB" w:rsidR="00966655" w:rsidRPr="0054775B" w:rsidRDefault="00780487" w:rsidP="001428E8">
            <w:pPr>
              <w:pStyle w:val="2024TABLEFOOTER"/>
              <w:tabs>
                <w:tab w:val="clear" w:pos="284"/>
                <w:tab w:val="left" w:pos="231"/>
              </w:tabs>
              <w:rPr>
                <w:szCs w:val="16"/>
              </w:rPr>
            </w:pPr>
            <w:r>
              <w:rPr>
                <w:color w:val="000000" w:themeColor="text1"/>
                <w:szCs w:val="16"/>
              </w:rPr>
              <w:t xml:space="preserve">b. </w:t>
            </w:r>
            <w:r w:rsidR="009E4D08" w:rsidRPr="00780487">
              <w:rPr>
                <w:color w:val="000000" w:themeColor="text1"/>
                <w:szCs w:val="16"/>
              </w:rPr>
              <w:t xml:space="preserve">Some concerns about risk of bias primarily related to allocation concealment, however unlikely to impact HOMA-IR as this is an objective measure (no change for risk of bias). </w:t>
            </w:r>
            <w:r w:rsidR="007F1E30" w:rsidRPr="009F714F">
              <w:t xml:space="preserve">Low inconsistency </w:t>
            </w:r>
            <w:r w:rsidR="007F1E30" w:rsidRPr="003D53F5">
              <w:t>supported by low I² values and non-statistically significant heterogeneity, point estimates generally favoured the intervention</w:t>
            </w:r>
            <w:r w:rsidR="007F1E30">
              <w:t xml:space="preserve"> with overlapping CIs</w:t>
            </w:r>
            <w:r w:rsidR="007F1E30" w:rsidRPr="003D53F5">
              <w:t xml:space="preserve"> (no change for inconsistency).</w:t>
            </w:r>
            <w:r w:rsidR="007F1E30">
              <w:t xml:space="preserve"> </w:t>
            </w:r>
            <w:r w:rsidR="009E4D08" w:rsidRPr="00780487">
              <w:rPr>
                <w:color w:val="000000" w:themeColor="text1"/>
                <w:szCs w:val="16"/>
              </w:rPr>
              <w:t xml:space="preserve">Small sample size, </w:t>
            </w:r>
            <w:r w:rsidR="007F1E30">
              <w:rPr>
                <w:color w:val="000000" w:themeColor="text1"/>
                <w:szCs w:val="16"/>
              </w:rPr>
              <w:t>CIs</w:t>
            </w:r>
            <w:r w:rsidR="00C00FA4" w:rsidRPr="00780487">
              <w:rPr>
                <w:color w:val="000000" w:themeColor="text1"/>
                <w:szCs w:val="16"/>
              </w:rPr>
              <w:t xml:space="preserve"> are wider than MCID, though lower bound </w:t>
            </w:r>
            <w:r w:rsidR="006B26C9" w:rsidRPr="00780487">
              <w:rPr>
                <w:color w:val="000000" w:themeColor="text1"/>
                <w:szCs w:val="16"/>
              </w:rPr>
              <w:t xml:space="preserve">would still indicate clinically important difference </w:t>
            </w:r>
            <w:r w:rsidR="009E4D08" w:rsidRPr="00780487">
              <w:rPr>
                <w:color w:val="000000" w:themeColor="text1"/>
                <w:szCs w:val="16"/>
              </w:rPr>
              <w:t xml:space="preserve">(downgrade </w:t>
            </w:r>
            <w:r w:rsidR="006B26C9" w:rsidRPr="00780487">
              <w:rPr>
                <w:color w:val="000000" w:themeColor="text1"/>
                <w:szCs w:val="16"/>
              </w:rPr>
              <w:t>one</w:t>
            </w:r>
            <w:r w:rsidR="009E4D08" w:rsidRPr="00780487">
              <w:rPr>
                <w:color w:val="000000" w:themeColor="text1"/>
                <w:szCs w:val="16"/>
              </w:rPr>
              <w:t xml:space="preserve"> for imprecision).</w:t>
            </w:r>
            <w:r w:rsidR="009E4D08">
              <w:t xml:space="preserve"> </w:t>
            </w:r>
            <w:r w:rsidR="009E4D08" w:rsidRPr="00780487">
              <w:rPr>
                <w:color w:val="000000" w:themeColor="text1"/>
                <w:szCs w:val="16"/>
              </w:rPr>
              <w:t>Publication bias unlikely supported by non-significant Egger test and visual inspection of funnel plot (no change for publication bias).</w:t>
            </w:r>
          </w:p>
        </w:tc>
      </w:tr>
    </w:tbl>
    <w:p w14:paraId="45AB905E" w14:textId="77777777" w:rsidR="00604987" w:rsidRPr="0054775B" w:rsidRDefault="00604987" w:rsidP="009E6F7F">
      <w:pPr>
        <w:pStyle w:val="Caption1"/>
        <w:rPr>
          <w:rFonts w:ascii="Aptos" w:hAnsi="Aptos"/>
        </w:rPr>
      </w:pPr>
    </w:p>
    <w:p w14:paraId="491D9E7A" w14:textId="77777777" w:rsidR="00604987" w:rsidRPr="0054775B" w:rsidRDefault="00604987" w:rsidP="009E6F7F">
      <w:pPr>
        <w:pStyle w:val="2024HEADER3"/>
        <w:rPr>
          <w:rFonts w:ascii="Aptos" w:hAnsi="Aptos"/>
        </w:rPr>
        <w:sectPr w:rsidR="00604987" w:rsidRPr="0054775B" w:rsidSect="006A72DC">
          <w:pgSz w:w="16840" w:h="11910" w:orient="landscape"/>
          <w:pgMar w:top="1340" w:right="280" w:bottom="1340" w:left="1356" w:header="720" w:footer="720" w:gutter="0"/>
          <w:cols w:space="720"/>
          <w:docGrid w:linePitch="299"/>
        </w:sectPr>
      </w:pPr>
    </w:p>
    <w:p w14:paraId="592DC9A0" w14:textId="4EA9824F" w:rsidR="00A24D67" w:rsidRPr="0054775B" w:rsidRDefault="00A24D67" w:rsidP="00703071">
      <w:pPr>
        <w:pStyle w:val="2024HEADER1"/>
      </w:pPr>
      <w:bookmarkStart w:id="142" w:name="_Toc111119282"/>
      <w:bookmarkStart w:id="143" w:name="_Toc179379631"/>
      <w:r w:rsidRPr="0054775B">
        <w:lastRenderedPageBreak/>
        <w:t>Discussion</w:t>
      </w:r>
      <w:bookmarkEnd w:id="142"/>
      <w:bookmarkEnd w:id="143"/>
    </w:p>
    <w:p w14:paraId="6CDC536B" w14:textId="639B2131" w:rsidR="00906956" w:rsidRPr="0054775B" w:rsidRDefault="00965FDA" w:rsidP="009E6F7F">
      <w:r w:rsidRPr="0054775B">
        <w:t xml:space="preserve">This </w:t>
      </w:r>
      <w:r w:rsidR="00912F03" w:rsidRPr="0054775B">
        <w:t>overview</w:t>
      </w:r>
      <w:r w:rsidR="001A06FD" w:rsidRPr="0054775B">
        <w:t xml:space="preserve"> </w:t>
      </w:r>
      <w:r w:rsidR="00843BD4" w:rsidRPr="0054775B">
        <w:t xml:space="preserve">was designed </w:t>
      </w:r>
      <w:r w:rsidR="00350FD6" w:rsidRPr="0054775B">
        <w:t>to summarise</w:t>
      </w:r>
      <w:r w:rsidR="009912E6" w:rsidRPr="0054775B">
        <w:t xml:space="preserve"> the </w:t>
      </w:r>
      <w:r w:rsidR="00843BD4" w:rsidRPr="0054775B">
        <w:t>evidence relating to</w:t>
      </w:r>
      <w:r w:rsidR="009912E6" w:rsidRPr="0054775B">
        <w:t xml:space="preserve"> nutritional supplementation in the context of naturopathy</w:t>
      </w:r>
      <w:r w:rsidR="000B7B7B" w:rsidRPr="0054775B">
        <w:t xml:space="preserve"> in preventing and/or treating injury, disease, medical conditions or pre-clinical conditions. The</w:t>
      </w:r>
      <w:r w:rsidR="009912E6" w:rsidRPr="0054775B">
        <w:t xml:space="preserve"> </w:t>
      </w:r>
      <w:r w:rsidR="0032217A" w:rsidRPr="0054775B">
        <w:t>target population</w:t>
      </w:r>
      <w:r w:rsidR="000B7B7B" w:rsidRPr="0054775B">
        <w:t>s</w:t>
      </w:r>
      <w:r w:rsidR="0032217A" w:rsidRPr="0054775B">
        <w:t>, intervention</w:t>
      </w:r>
      <w:r w:rsidR="000B7B7B" w:rsidRPr="0054775B">
        <w:t>s</w:t>
      </w:r>
      <w:r w:rsidR="0032217A" w:rsidRPr="0054775B">
        <w:t>, and conditions of interest</w:t>
      </w:r>
      <w:r w:rsidR="000B7B7B" w:rsidRPr="0054775B">
        <w:t xml:space="preserve"> were </w:t>
      </w:r>
      <w:r w:rsidR="0032217A" w:rsidRPr="0054775B">
        <w:t>determined as those which are mos</w:t>
      </w:r>
      <w:r w:rsidR="00942B3E" w:rsidRPr="0054775B">
        <w:t xml:space="preserve">t commonly seen </w:t>
      </w:r>
      <w:r w:rsidR="0032217A" w:rsidRPr="0054775B">
        <w:t xml:space="preserve">by naturopaths in </w:t>
      </w:r>
      <w:r w:rsidR="009B3837" w:rsidRPr="0054775B">
        <w:t>Australia</w:t>
      </w:r>
      <w:r w:rsidR="00972EDD" w:rsidRPr="0054775B">
        <w:t xml:space="preserve">. </w:t>
      </w:r>
      <w:r w:rsidR="006F2471" w:rsidRPr="0054775B">
        <w:t xml:space="preserve">This </w:t>
      </w:r>
      <w:r w:rsidR="00912F03" w:rsidRPr="0054775B">
        <w:t>overview</w:t>
      </w:r>
      <w:r w:rsidR="006F2471" w:rsidRPr="0054775B">
        <w:t xml:space="preserve"> is a companion review to the systematic review </w:t>
      </w:r>
      <w:r w:rsidR="006F2471" w:rsidRPr="0054775B">
        <w:rPr>
          <w:rFonts w:eastAsia="Cambria"/>
        </w:rPr>
        <w:t>of primary studies on the effects of whole system, multi-modal or single modal interventions delivered in the context of naturopathic practice, for preventing and treating health conditions.</w:t>
      </w:r>
      <w:r w:rsidR="006F2471" w:rsidRPr="0054775B">
        <w:t xml:space="preserve"> </w:t>
      </w:r>
      <w:r w:rsidR="001A06FD" w:rsidRPr="0054775B">
        <w:t>However</w:t>
      </w:r>
      <w:r w:rsidR="006F2471" w:rsidRPr="0054775B">
        <w:t xml:space="preserve">, for this </w:t>
      </w:r>
      <w:r w:rsidR="00912F03" w:rsidRPr="0054775B">
        <w:t>overview</w:t>
      </w:r>
      <w:r w:rsidR="006F2471" w:rsidRPr="0054775B">
        <w:t xml:space="preserve">, the intervention (supplement) was </w:t>
      </w:r>
      <w:r w:rsidR="006F2471" w:rsidRPr="0054775B">
        <w:rPr>
          <w:rFonts w:eastAsia="Cambria"/>
        </w:rPr>
        <w:t xml:space="preserve">not required to be delivered by a naturopath for the </w:t>
      </w:r>
      <w:r w:rsidR="003C2AC9">
        <w:rPr>
          <w:rFonts w:eastAsia="Cambria"/>
        </w:rPr>
        <w:t>review</w:t>
      </w:r>
      <w:r w:rsidR="003C2AC9" w:rsidRPr="0054775B">
        <w:rPr>
          <w:rFonts w:eastAsia="Cambria"/>
        </w:rPr>
        <w:t xml:space="preserve"> </w:t>
      </w:r>
      <w:r w:rsidR="006F2471" w:rsidRPr="0054775B">
        <w:rPr>
          <w:rFonts w:eastAsia="Cambria"/>
        </w:rPr>
        <w:t xml:space="preserve">to be included for analysis in this report. </w:t>
      </w:r>
      <w:r w:rsidR="00084439" w:rsidRPr="0054775B">
        <w:rPr>
          <w:rFonts w:eastAsia="Cambria"/>
        </w:rPr>
        <w:t>As per the protocol, the review did not compare different forms of the intervention (e.g. different strains of probiotic) or different wa</w:t>
      </w:r>
      <w:r w:rsidR="00F93207" w:rsidRPr="0054775B">
        <w:rPr>
          <w:rFonts w:eastAsia="Cambria"/>
        </w:rPr>
        <w:t>y</w:t>
      </w:r>
      <w:r w:rsidR="00084439" w:rsidRPr="0054775B">
        <w:rPr>
          <w:rFonts w:eastAsia="Cambria"/>
        </w:rPr>
        <w:t xml:space="preserve">s of </w:t>
      </w:r>
      <w:r w:rsidR="00F93207" w:rsidRPr="0054775B">
        <w:rPr>
          <w:rFonts w:eastAsia="Cambria"/>
        </w:rPr>
        <w:t>administering.</w:t>
      </w:r>
      <w:r w:rsidR="00972EDD" w:rsidRPr="0054775B">
        <w:t xml:space="preserve"> </w:t>
      </w:r>
      <w:r w:rsidR="00FE3703">
        <w:t>When considering the effectiveness of naturopathy</w:t>
      </w:r>
      <w:r w:rsidR="004F2F18">
        <w:t>,</w:t>
      </w:r>
      <w:r w:rsidR="00FE3703">
        <w:t xml:space="preserve"> the companion review on western herbal medicine should also be considered. </w:t>
      </w:r>
    </w:p>
    <w:p w14:paraId="4C9CE879" w14:textId="39B5FE36" w:rsidR="00A24D67" w:rsidRPr="0054775B" w:rsidRDefault="00A24D67" w:rsidP="00F9201F">
      <w:pPr>
        <w:pStyle w:val="2024HEADER2"/>
      </w:pPr>
      <w:bookmarkStart w:id="144" w:name="_Toc111119283"/>
      <w:bookmarkStart w:id="145" w:name="_Toc179379632"/>
      <w:r w:rsidRPr="0054775B">
        <w:t>Summary of main results</w:t>
      </w:r>
      <w:bookmarkEnd w:id="144"/>
      <w:bookmarkEnd w:id="145"/>
    </w:p>
    <w:p w14:paraId="1A32AE9B" w14:textId="108D9682" w:rsidR="00EC28A8" w:rsidRPr="0054775B" w:rsidRDefault="009B3837" w:rsidP="009E6F7F">
      <w:r w:rsidRPr="0054775B">
        <w:t>The</w:t>
      </w:r>
      <w:r w:rsidR="00CC46CF" w:rsidRPr="0054775B">
        <w:t xml:space="preserve"> objective was to provide an overview of systematic review evidence </w:t>
      </w:r>
      <w:r w:rsidR="00060CF5" w:rsidRPr="0054775B">
        <w:t xml:space="preserve">for </w:t>
      </w:r>
      <w:r w:rsidR="00C66D3F" w:rsidRPr="0054775B">
        <w:t xml:space="preserve">15 </w:t>
      </w:r>
      <w:r w:rsidRPr="0054775B">
        <w:t>priority</w:t>
      </w:r>
      <w:r w:rsidR="00CD2E82" w:rsidRPr="0054775B">
        <w:t xml:space="preserve"> population-</w:t>
      </w:r>
      <w:r w:rsidR="0032560B">
        <w:t>supplement pair</w:t>
      </w:r>
      <w:r w:rsidR="00CD2E82" w:rsidRPr="0054775B">
        <w:t xml:space="preserve">s. </w:t>
      </w:r>
    </w:p>
    <w:p w14:paraId="5D179FF3" w14:textId="05E353B7" w:rsidR="00D54D48" w:rsidRPr="0054775B" w:rsidRDefault="00C66D3F" w:rsidP="009E6F7F">
      <w:r w:rsidRPr="0054775B">
        <w:t xml:space="preserve">In total, </w:t>
      </w:r>
      <w:r w:rsidR="00BB0641" w:rsidRPr="0054775B">
        <w:t>4</w:t>
      </w:r>
      <w:r w:rsidR="00B93447" w:rsidRPr="0054775B">
        <w:t>80</w:t>
      </w:r>
      <w:r w:rsidR="00BB0641" w:rsidRPr="0054775B">
        <w:t xml:space="preserve"> </w:t>
      </w:r>
      <w:r w:rsidR="00BB0641" w:rsidRPr="0054775B">
        <w:rPr>
          <w:lang w:eastAsia="en-AU"/>
        </w:rPr>
        <w:t xml:space="preserve">systematic </w:t>
      </w:r>
      <w:r w:rsidR="00BB0641" w:rsidRPr="0054775B">
        <w:t xml:space="preserve">reviews were sought for </w:t>
      </w:r>
      <w:r w:rsidR="00794EEF" w:rsidRPr="0054775B">
        <w:t>full text</w:t>
      </w:r>
      <w:r w:rsidR="00BB0641" w:rsidRPr="0054775B">
        <w:t xml:space="preserve"> </w:t>
      </w:r>
      <w:r w:rsidR="00F84993" w:rsidRPr="0054775B">
        <w:t>assessment</w:t>
      </w:r>
      <w:r w:rsidR="00BB0641" w:rsidRPr="0054775B">
        <w:t xml:space="preserve">, of which </w:t>
      </w:r>
      <w:r w:rsidR="00B93447" w:rsidRPr="0054775B">
        <w:t>9</w:t>
      </w:r>
      <w:r w:rsidR="009D16C8" w:rsidRPr="0054775B">
        <w:t>7</w:t>
      </w:r>
      <w:r w:rsidR="00834370" w:rsidRPr="0054775B">
        <w:t xml:space="preserve"> were included in this </w:t>
      </w:r>
      <w:r w:rsidR="00912F03" w:rsidRPr="0054775B">
        <w:t>overview</w:t>
      </w:r>
      <w:r w:rsidR="00BB0641" w:rsidRPr="0054775B">
        <w:t>.</w:t>
      </w:r>
      <w:r w:rsidR="00834370" w:rsidRPr="0054775B">
        <w:t xml:space="preserve"> </w:t>
      </w:r>
      <w:r w:rsidR="00BB0641" w:rsidRPr="0054775B">
        <w:t>R</w:t>
      </w:r>
      <w:r w:rsidR="00BF6643" w:rsidRPr="0054775B">
        <w:t xml:space="preserve">esults from </w:t>
      </w:r>
      <w:r w:rsidR="00B93447" w:rsidRPr="0054775B">
        <w:rPr>
          <w:lang w:eastAsia="en-AU"/>
        </w:rPr>
        <w:t>2</w:t>
      </w:r>
      <w:r w:rsidR="009D16C8" w:rsidRPr="0054775B">
        <w:rPr>
          <w:lang w:eastAsia="en-AU"/>
        </w:rPr>
        <w:t>6</w:t>
      </w:r>
      <w:r w:rsidRPr="0054775B">
        <w:rPr>
          <w:lang w:eastAsia="en-AU"/>
        </w:rPr>
        <w:t xml:space="preserve"> reviews</w:t>
      </w:r>
      <w:r w:rsidR="00BF6643" w:rsidRPr="0054775B">
        <w:rPr>
          <w:lang w:eastAsia="en-AU"/>
        </w:rPr>
        <w:t xml:space="preserve"> </w:t>
      </w:r>
      <w:r w:rsidR="00B93447" w:rsidRPr="0054775B">
        <w:rPr>
          <w:lang w:eastAsia="en-AU"/>
        </w:rPr>
        <w:t xml:space="preserve">contribute to the findings, chosen as the </w:t>
      </w:r>
      <w:r w:rsidR="00CB566A" w:rsidRPr="0054775B">
        <w:t>most relevant</w:t>
      </w:r>
      <w:r w:rsidR="00B93447" w:rsidRPr="0054775B">
        <w:t xml:space="preserve">, </w:t>
      </w:r>
      <w:r w:rsidR="00CB566A" w:rsidRPr="0054775B">
        <w:t xml:space="preserve">comprehensive </w:t>
      </w:r>
      <w:r w:rsidR="00B93447" w:rsidRPr="0054775B">
        <w:t xml:space="preserve">and with the lowest risk of bias </w:t>
      </w:r>
      <w:r w:rsidR="00CB566A" w:rsidRPr="0054775B">
        <w:t>for a</w:t>
      </w:r>
      <w:r w:rsidR="00B93447" w:rsidRPr="0054775B">
        <w:t xml:space="preserve"> population, </w:t>
      </w:r>
      <w:r w:rsidR="00BE7AC0" w:rsidRPr="0054775B">
        <w:t>intervention,</w:t>
      </w:r>
      <w:r w:rsidR="00B93447" w:rsidRPr="0054775B">
        <w:t xml:space="preserve"> and priority</w:t>
      </w:r>
      <w:r w:rsidR="00CB566A" w:rsidRPr="0054775B">
        <w:t xml:space="preserve"> outcome</w:t>
      </w:r>
      <w:r w:rsidRPr="0054775B">
        <w:rPr>
          <w:lang w:eastAsia="en-AU"/>
        </w:rPr>
        <w:t>.</w:t>
      </w:r>
      <w:r w:rsidR="002325A1" w:rsidRPr="0054775B">
        <w:rPr>
          <w:lang w:eastAsia="en-AU"/>
        </w:rPr>
        <w:t xml:space="preserve"> </w:t>
      </w:r>
      <w:r w:rsidR="00CB26D1" w:rsidRPr="0054775B">
        <w:rPr>
          <w:lang w:eastAsia="en-AU"/>
        </w:rPr>
        <w:t>In total, 437</w:t>
      </w:r>
      <w:r w:rsidR="00A24D67" w:rsidRPr="0054775B">
        <w:rPr>
          <w:lang w:eastAsia="en-AU"/>
        </w:rPr>
        <w:t xml:space="preserve"> citations were provided through the Department’s public call for evidence or by other key stakeholders</w:t>
      </w:r>
      <w:r w:rsidR="002B2C7C" w:rsidRPr="0054775B">
        <w:rPr>
          <w:lang w:eastAsia="en-AU"/>
        </w:rPr>
        <w:t xml:space="preserve">. </w:t>
      </w:r>
      <w:r w:rsidR="00BB67FE" w:rsidRPr="0054775B">
        <w:rPr>
          <w:lang w:eastAsia="en-AU"/>
        </w:rPr>
        <w:t xml:space="preserve">Following screening and assessment, one </w:t>
      </w:r>
      <w:r w:rsidR="003C2AC9">
        <w:rPr>
          <w:lang w:eastAsia="en-AU"/>
        </w:rPr>
        <w:t>review</w:t>
      </w:r>
      <w:r w:rsidR="003C2AC9" w:rsidRPr="0054775B">
        <w:rPr>
          <w:lang w:eastAsia="en-AU"/>
        </w:rPr>
        <w:t xml:space="preserve"> </w:t>
      </w:r>
      <w:r w:rsidR="00F57AC6" w:rsidRPr="0054775B">
        <w:rPr>
          <w:lang w:eastAsia="en-AU"/>
        </w:rPr>
        <w:t xml:space="preserve">met inclusion criteria </w:t>
      </w:r>
      <w:r w:rsidR="004F781A" w:rsidRPr="0054775B">
        <w:rPr>
          <w:lang w:eastAsia="en-AU"/>
        </w:rPr>
        <w:t>and was</w:t>
      </w:r>
      <w:r w:rsidR="00D90195" w:rsidRPr="0054775B">
        <w:rPr>
          <w:lang w:eastAsia="en-AU"/>
        </w:rPr>
        <w:t xml:space="preserve"> included</w:t>
      </w:r>
      <w:r w:rsidR="004F781A" w:rsidRPr="0054775B" w:rsidDel="00B92588">
        <w:rPr>
          <w:lang w:eastAsia="en-AU"/>
        </w:rPr>
        <w:t xml:space="preserve"> </w:t>
      </w:r>
      <w:r w:rsidR="00A61385">
        <w:rPr>
          <w:noProof/>
          <w:lang w:eastAsia="en-AU"/>
        </w:rPr>
        <w:t>(96)</w:t>
      </w:r>
      <w:r w:rsidR="00D90195" w:rsidRPr="0054775B">
        <w:rPr>
          <w:lang w:eastAsia="en-AU"/>
        </w:rPr>
        <w:t>.</w:t>
      </w:r>
      <w:r w:rsidR="00CD3216" w:rsidRPr="0054775B">
        <w:rPr>
          <w:lang w:eastAsia="en-AU"/>
        </w:rPr>
        <w:t xml:space="preserve"> </w:t>
      </w:r>
      <w:r w:rsidR="000B0A34" w:rsidRPr="0054775B">
        <w:rPr>
          <w:lang w:eastAsia="en-AU"/>
        </w:rPr>
        <w:t xml:space="preserve">For most </w:t>
      </w:r>
      <w:r w:rsidR="0032560B">
        <w:rPr>
          <w:lang w:eastAsia="en-AU"/>
        </w:rPr>
        <w:t>population-supplement pair</w:t>
      </w:r>
      <w:r w:rsidR="000B0A34" w:rsidRPr="0054775B">
        <w:rPr>
          <w:lang w:eastAsia="en-AU"/>
        </w:rPr>
        <w:t xml:space="preserve">s, results were not available for </w:t>
      </w:r>
      <w:r w:rsidR="00EE1C8B">
        <w:rPr>
          <w:lang w:eastAsia="en-AU"/>
        </w:rPr>
        <w:t>many</w:t>
      </w:r>
      <w:r w:rsidR="000B0A34" w:rsidRPr="0054775B">
        <w:rPr>
          <w:lang w:eastAsia="en-AU"/>
        </w:rPr>
        <w:t xml:space="preserve"> prioritised outcomes</w:t>
      </w:r>
      <w:r w:rsidR="000B0A34" w:rsidRPr="0054775B" w:rsidDel="00D7618E">
        <w:rPr>
          <w:lang w:eastAsia="en-AU"/>
        </w:rPr>
        <w:t>,</w:t>
      </w:r>
      <w:r w:rsidR="000B0A34" w:rsidRPr="0054775B">
        <w:rPr>
          <w:lang w:eastAsia="en-AU"/>
        </w:rPr>
        <w:t xml:space="preserve"> and therefore are unknown. </w:t>
      </w:r>
    </w:p>
    <w:p w14:paraId="5A181F25" w14:textId="203247C3" w:rsidR="00685D63" w:rsidRPr="0054775B" w:rsidRDefault="00685D63" w:rsidP="002B5411">
      <w:r w:rsidRPr="0054775B">
        <w:t xml:space="preserve">An overview of the key findings and appraisal of the certainty of evidence for each outcome where evidence was identified is presented below. Where the GRADE </w:t>
      </w:r>
      <w:r w:rsidR="007F7524" w:rsidRPr="0054775B">
        <w:t>assessment</w:t>
      </w:r>
      <w:r w:rsidRPr="0054775B">
        <w:t xml:space="preserve"> </w:t>
      </w:r>
      <w:r w:rsidR="00825E00" w:rsidRPr="0054775B">
        <w:t>wa</w:t>
      </w:r>
      <w:r w:rsidRPr="0054775B">
        <w:t xml:space="preserve">s “very low”, we have not provided </w:t>
      </w:r>
      <w:r w:rsidR="00B472A5">
        <w:t xml:space="preserve">key </w:t>
      </w:r>
      <w:r w:rsidR="002D0963">
        <w:t>results</w:t>
      </w:r>
      <w:r w:rsidRPr="0054775B">
        <w:t xml:space="preserve"> given the uncertainty of evidence.</w:t>
      </w:r>
    </w:p>
    <w:p w14:paraId="0F4B27E4" w14:textId="4E744AB1" w:rsidR="00FF7C90" w:rsidRPr="0054775B" w:rsidRDefault="00E706A2" w:rsidP="00FF7C90">
      <w:pPr>
        <w:rPr>
          <w:lang w:eastAsia="en-AU"/>
        </w:rPr>
      </w:pPr>
      <w:r w:rsidRPr="0054775B">
        <w:rPr>
          <w:lang w:eastAsia="en-AU"/>
        </w:rPr>
        <w:t xml:space="preserve">There was </w:t>
      </w:r>
      <w:r w:rsidRPr="004A5FBB">
        <w:rPr>
          <w:b/>
          <w:bCs/>
          <w:lang w:eastAsia="en-AU"/>
        </w:rPr>
        <w:t xml:space="preserve">moderate certainty </w:t>
      </w:r>
      <w:r w:rsidRPr="0019617D">
        <w:rPr>
          <w:lang w:eastAsia="en-AU"/>
        </w:rPr>
        <w:t>evidence</w:t>
      </w:r>
      <w:r w:rsidRPr="0054775B">
        <w:rPr>
          <w:lang w:eastAsia="en-AU"/>
        </w:rPr>
        <w:t xml:space="preserve"> that nutritional supplements </w:t>
      </w:r>
      <w:r w:rsidRPr="0019617D">
        <w:rPr>
          <w:lang w:eastAsia="en-AU"/>
        </w:rPr>
        <w:t>probably</w:t>
      </w:r>
      <w:r w:rsidRPr="004A5FBB">
        <w:rPr>
          <w:b/>
          <w:bCs/>
          <w:lang w:eastAsia="en-AU"/>
        </w:rPr>
        <w:t xml:space="preserve"> </w:t>
      </w:r>
      <w:r w:rsidR="00FF7C90" w:rsidRPr="004A5FBB">
        <w:rPr>
          <w:b/>
          <w:bCs/>
          <w:lang w:eastAsia="en-AU"/>
        </w:rPr>
        <w:t>improve</w:t>
      </w:r>
      <w:r w:rsidR="00FF7C90" w:rsidRPr="0054775B">
        <w:rPr>
          <w:lang w:eastAsia="en-AU"/>
        </w:rPr>
        <w:t xml:space="preserve"> </w:t>
      </w:r>
      <w:r w:rsidRPr="0054775B">
        <w:rPr>
          <w:lang w:eastAsia="en-AU"/>
        </w:rPr>
        <w:t xml:space="preserve">some key health outcomes </w:t>
      </w:r>
      <w:r>
        <w:rPr>
          <w:lang w:eastAsia="en-AU"/>
        </w:rPr>
        <w:t>for people with and at-risk of four</w:t>
      </w:r>
      <w:r w:rsidRPr="0054775B">
        <w:rPr>
          <w:lang w:eastAsia="en-AU"/>
        </w:rPr>
        <w:t xml:space="preserve"> </w:t>
      </w:r>
      <w:r w:rsidRPr="0019617D">
        <w:rPr>
          <w:lang w:eastAsia="en-AU"/>
        </w:rPr>
        <w:t>conditions</w:t>
      </w:r>
      <w:r w:rsidR="00FF7C90" w:rsidRPr="0054775B">
        <w:rPr>
          <w:lang w:eastAsia="en-AU"/>
        </w:rPr>
        <w:t>:</w:t>
      </w:r>
    </w:p>
    <w:p w14:paraId="514618E3" w14:textId="64DEF0C8" w:rsidR="00FF7C90" w:rsidRPr="0054775B" w:rsidRDefault="00FF7C90" w:rsidP="00107BEE">
      <w:pPr>
        <w:pStyle w:val="ListParagraph"/>
        <w:numPr>
          <w:ilvl w:val="0"/>
          <w:numId w:val="21"/>
        </w:numPr>
        <w:ind w:left="426"/>
        <w:rPr>
          <w:lang w:eastAsia="en-AU"/>
        </w:rPr>
      </w:pPr>
      <w:r w:rsidRPr="0054775B">
        <w:t>Probiotics</w:t>
      </w:r>
      <w:r w:rsidRPr="0054775B">
        <w:rPr>
          <w:lang w:eastAsia="en-AU"/>
        </w:rPr>
        <w:t xml:space="preserve"> probably</w:t>
      </w:r>
      <w:r>
        <w:rPr>
          <w:lang w:eastAsia="en-AU"/>
        </w:rPr>
        <w:t xml:space="preserve"> </w:t>
      </w:r>
      <w:r w:rsidR="009C5085">
        <w:rPr>
          <w:lang w:eastAsia="en-AU"/>
        </w:rPr>
        <w:t xml:space="preserve">increases </w:t>
      </w:r>
      <w:r>
        <w:rPr>
          <w:lang w:eastAsia="en-AU"/>
        </w:rPr>
        <w:t xml:space="preserve">the number of people with </w:t>
      </w:r>
      <w:r w:rsidRPr="0054775B">
        <w:rPr>
          <w:lang w:eastAsia="en-AU"/>
        </w:rPr>
        <w:t>global symptom</w:t>
      </w:r>
      <w:r>
        <w:rPr>
          <w:lang w:eastAsia="en-AU"/>
        </w:rPr>
        <w:t xml:space="preserve"> improvement </w:t>
      </w:r>
      <w:r w:rsidR="00B55CB6">
        <w:rPr>
          <w:lang w:eastAsia="en-AU"/>
        </w:rPr>
        <w:t>of 10%-50%</w:t>
      </w:r>
      <w:r w:rsidR="009D055A">
        <w:rPr>
          <w:lang w:eastAsia="en-AU"/>
        </w:rPr>
        <w:t xml:space="preserve"> when assessed </w:t>
      </w:r>
      <w:r w:rsidRPr="0054775B" w:rsidDel="00FB1CB3">
        <w:rPr>
          <w:lang w:eastAsia="en-AU"/>
        </w:rPr>
        <w:t xml:space="preserve">as a dichotomous outcome </w:t>
      </w:r>
      <w:r w:rsidRPr="0054775B">
        <w:rPr>
          <w:lang w:eastAsia="en-AU"/>
        </w:rPr>
        <w:t xml:space="preserve">for </w:t>
      </w:r>
      <w:r>
        <w:rPr>
          <w:lang w:eastAsia="en-AU"/>
        </w:rPr>
        <w:t>people with irritable bowel syndrome (</w:t>
      </w:r>
      <w:r w:rsidRPr="0054775B">
        <w:rPr>
          <w:lang w:eastAsia="en-AU"/>
        </w:rPr>
        <w:t>IBS</w:t>
      </w:r>
      <w:r>
        <w:rPr>
          <w:lang w:eastAsia="en-AU"/>
        </w:rPr>
        <w:t>)</w:t>
      </w:r>
      <w:r w:rsidR="00FB1CB3">
        <w:rPr>
          <w:lang w:eastAsia="en-AU"/>
        </w:rPr>
        <w:t xml:space="preserve"> although </w:t>
      </w:r>
      <w:r w:rsidR="00FB1CB3">
        <w:t>p</w:t>
      </w:r>
      <w:r w:rsidR="00FB1CB3" w:rsidRPr="0054775B">
        <w:t>robiotics</w:t>
      </w:r>
      <w:r w:rsidR="00FB1CB3" w:rsidRPr="0054775B">
        <w:rPr>
          <w:lang w:eastAsia="en-AU"/>
        </w:rPr>
        <w:t xml:space="preserve"> </w:t>
      </w:r>
      <w:r w:rsidR="00FB1CB3" w:rsidRPr="00643B09">
        <w:rPr>
          <w:b/>
          <w:bCs/>
          <w:lang w:eastAsia="en-AU"/>
        </w:rPr>
        <w:t>may have little to no effect</w:t>
      </w:r>
      <w:r w:rsidR="00FB1CB3">
        <w:rPr>
          <w:lang w:eastAsia="en-AU"/>
        </w:rPr>
        <w:t xml:space="preserve"> on </w:t>
      </w:r>
      <w:r w:rsidR="00FB1CB3" w:rsidRPr="0054775B">
        <w:t>global</w:t>
      </w:r>
      <w:r w:rsidR="00FB1CB3">
        <w:t xml:space="preserve"> IBS </w:t>
      </w:r>
      <w:r w:rsidR="00FB1CB3" w:rsidRPr="0054775B">
        <w:t xml:space="preserve">symptoms or response </w:t>
      </w:r>
      <w:r w:rsidR="00FB1CB3">
        <w:t>on average</w:t>
      </w:r>
      <w:r w:rsidR="009D055A">
        <w:t xml:space="preserve"> (continuous scale)</w:t>
      </w:r>
      <w:r w:rsidR="00FB1CB3">
        <w:t>.</w:t>
      </w:r>
    </w:p>
    <w:p w14:paraId="0935AC1D" w14:textId="77777777" w:rsidR="00FF7C90" w:rsidRDefault="00FF7C90" w:rsidP="00107BEE">
      <w:pPr>
        <w:pStyle w:val="ListParagraph"/>
        <w:numPr>
          <w:ilvl w:val="0"/>
          <w:numId w:val="21"/>
        </w:numPr>
        <w:ind w:left="426"/>
        <w:rPr>
          <w:lang w:eastAsia="en-AU"/>
        </w:rPr>
      </w:pPr>
      <w:r w:rsidRPr="0054775B">
        <w:rPr>
          <w:lang w:eastAsia="en-AU"/>
        </w:rPr>
        <w:t>Antioxida</w:t>
      </w:r>
      <w:r>
        <w:rPr>
          <w:lang w:eastAsia="en-AU"/>
        </w:rPr>
        <w:t>n</w:t>
      </w:r>
      <w:r w:rsidRPr="0054775B">
        <w:rPr>
          <w:lang w:eastAsia="en-AU"/>
        </w:rPr>
        <w:t xml:space="preserve">ts (specifically CoQ10 and </w:t>
      </w:r>
      <w:r>
        <w:rPr>
          <w:lang w:eastAsia="en-AU"/>
        </w:rPr>
        <w:t>ALA</w:t>
      </w:r>
      <w:r w:rsidRPr="0054775B">
        <w:rPr>
          <w:lang w:eastAsia="en-AU"/>
        </w:rPr>
        <w:t xml:space="preserve">) probably </w:t>
      </w:r>
      <w:r>
        <w:rPr>
          <w:lang w:eastAsia="en-AU"/>
        </w:rPr>
        <w:t>reduce</w:t>
      </w:r>
      <w:r w:rsidRPr="0054775B">
        <w:rPr>
          <w:lang w:eastAsia="en-AU"/>
        </w:rPr>
        <w:t xml:space="preserve"> </w:t>
      </w:r>
      <w:r>
        <w:rPr>
          <w:lang w:eastAsia="en-AU"/>
        </w:rPr>
        <w:t xml:space="preserve">global </w:t>
      </w:r>
      <w:r w:rsidRPr="0054775B">
        <w:rPr>
          <w:lang w:eastAsia="en-AU"/>
        </w:rPr>
        <w:t>fatigue severity/</w:t>
      </w:r>
      <w:r>
        <w:rPr>
          <w:lang w:eastAsia="en-AU"/>
        </w:rPr>
        <w:t>burden</w:t>
      </w:r>
      <w:r w:rsidRPr="00050027">
        <w:rPr>
          <w:lang w:eastAsia="en-AU"/>
        </w:rPr>
        <w:t xml:space="preserve"> </w:t>
      </w:r>
      <w:r>
        <w:rPr>
          <w:lang w:eastAsia="en-AU"/>
        </w:rPr>
        <w:t xml:space="preserve">in people with </w:t>
      </w:r>
      <w:r w:rsidRPr="0054775B">
        <w:rPr>
          <w:lang w:eastAsia="en-AU"/>
        </w:rPr>
        <w:t>fatigue</w:t>
      </w:r>
      <w:r>
        <w:rPr>
          <w:lang w:eastAsia="en-AU"/>
        </w:rPr>
        <w:t xml:space="preserve"> </w:t>
      </w:r>
      <w:r w:rsidRPr="0054775B">
        <w:rPr>
          <w:lang w:eastAsia="en-AU"/>
        </w:rPr>
        <w:t>(including myalgic encephalomyelitis and Chronic Fatigue Syndrome)</w:t>
      </w:r>
      <w:r>
        <w:rPr>
          <w:lang w:eastAsia="en-AU"/>
        </w:rPr>
        <w:t>.</w:t>
      </w:r>
    </w:p>
    <w:p w14:paraId="6B187A5F" w14:textId="7F70867D" w:rsidR="00FF7C90" w:rsidRDefault="007662B8" w:rsidP="007662B8">
      <w:pPr>
        <w:pStyle w:val="ListParagraph"/>
        <w:numPr>
          <w:ilvl w:val="0"/>
          <w:numId w:val="21"/>
        </w:numPr>
        <w:ind w:left="426"/>
        <w:rPr>
          <w:lang w:eastAsia="en-AU"/>
        </w:rPr>
      </w:pPr>
      <w:r>
        <w:rPr>
          <w:lang w:eastAsia="en-AU"/>
        </w:rPr>
        <w:t xml:space="preserve">Zinc </w:t>
      </w:r>
      <w:r w:rsidRPr="00643B09">
        <w:rPr>
          <w:b/>
          <w:bCs/>
          <w:lang w:eastAsia="en-AU"/>
        </w:rPr>
        <w:t>probably</w:t>
      </w:r>
      <w:r>
        <w:rPr>
          <w:lang w:eastAsia="en-AU"/>
        </w:rPr>
        <w:t xml:space="preserve"> </w:t>
      </w:r>
      <w:r w:rsidRPr="00643B09">
        <w:rPr>
          <w:b/>
          <w:bCs/>
          <w:lang w:eastAsia="en-AU"/>
        </w:rPr>
        <w:t>reduces</w:t>
      </w:r>
      <w:r w:rsidRPr="00ED6D48">
        <w:rPr>
          <w:lang w:eastAsia="en-AU"/>
        </w:rPr>
        <w:t xml:space="preserve"> </w:t>
      </w:r>
      <w:r>
        <w:rPr>
          <w:lang w:eastAsia="en-AU"/>
        </w:rPr>
        <w:t xml:space="preserve">recurrent infections when measured by </w:t>
      </w:r>
      <w:r w:rsidRPr="00ED6D48">
        <w:rPr>
          <w:lang w:eastAsia="en-AU"/>
        </w:rPr>
        <w:t xml:space="preserve">the number of episodes of </w:t>
      </w:r>
      <w:r w:rsidR="00752C2C">
        <w:rPr>
          <w:lang w:eastAsia="en-AU"/>
        </w:rPr>
        <w:t xml:space="preserve">definite </w:t>
      </w:r>
      <w:r w:rsidRPr="00ED6D48">
        <w:rPr>
          <w:lang w:eastAsia="en-AU"/>
        </w:rPr>
        <w:t xml:space="preserve">infection per </w:t>
      </w:r>
      <w:r>
        <w:rPr>
          <w:lang w:eastAsia="en-AU"/>
        </w:rPr>
        <w:t>child</w:t>
      </w:r>
      <w:r w:rsidRPr="00ED6D48">
        <w:rPr>
          <w:lang w:eastAsia="en-AU"/>
        </w:rPr>
        <w:t xml:space="preserve"> per year </w:t>
      </w:r>
      <w:r>
        <w:rPr>
          <w:lang w:eastAsia="en-AU"/>
        </w:rPr>
        <w:t xml:space="preserve">in children with </w:t>
      </w:r>
      <w:r w:rsidRPr="00ED6D48">
        <w:rPr>
          <w:lang w:eastAsia="en-AU"/>
        </w:rPr>
        <w:t>otitis media</w:t>
      </w:r>
      <w:r>
        <w:rPr>
          <w:lang w:eastAsia="en-AU"/>
        </w:rPr>
        <w:t xml:space="preserve"> </w:t>
      </w:r>
      <w:r w:rsidRPr="00A826C6">
        <w:rPr>
          <w:lang w:eastAsia="en-AU"/>
        </w:rPr>
        <w:t>(although when recurrence is measured by the number of children with at least one episode of infection during follow-up, zinc may have little to no effect on recurrent infections in children with otitis media</w:t>
      </w:r>
      <w:r w:rsidRPr="00ED6D48">
        <w:rPr>
          <w:lang w:eastAsia="en-AU"/>
        </w:rPr>
        <w:t>).</w:t>
      </w:r>
    </w:p>
    <w:p w14:paraId="251B844D" w14:textId="77777777" w:rsidR="00FF7C90" w:rsidRDefault="00FF7C90" w:rsidP="00107BEE">
      <w:pPr>
        <w:pStyle w:val="ListParagraph"/>
        <w:numPr>
          <w:ilvl w:val="0"/>
          <w:numId w:val="21"/>
        </w:numPr>
        <w:ind w:left="426"/>
        <w:rPr>
          <w:lang w:eastAsia="en-AU"/>
        </w:rPr>
      </w:pPr>
      <w:r w:rsidRPr="0054775B">
        <w:rPr>
          <w:lang w:eastAsia="en-AU"/>
        </w:rPr>
        <w:t xml:space="preserve">Antioxidants (specifically CoQ10 and </w:t>
      </w:r>
      <w:r>
        <w:rPr>
          <w:lang w:eastAsia="en-AU"/>
        </w:rPr>
        <w:t>ALA</w:t>
      </w:r>
      <w:r w:rsidRPr="0054775B">
        <w:rPr>
          <w:lang w:eastAsia="en-AU"/>
        </w:rPr>
        <w:t>) probably improve</w:t>
      </w:r>
      <w:r>
        <w:rPr>
          <w:lang w:eastAsia="en-AU"/>
        </w:rPr>
        <w:t>s</w:t>
      </w:r>
      <w:r w:rsidRPr="0054775B">
        <w:rPr>
          <w:lang w:eastAsia="en-AU"/>
        </w:rPr>
        <w:t xml:space="preserve"> </w:t>
      </w:r>
      <w:r>
        <w:rPr>
          <w:lang w:eastAsia="en-AU"/>
        </w:rPr>
        <w:t>fasting blood glucose</w:t>
      </w:r>
      <w:r>
        <w:rPr>
          <w:color w:val="000000" w:themeColor="text1"/>
        </w:rPr>
        <w:t xml:space="preserve"> </w:t>
      </w:r>
      <w:r>
        <w:rPr>
          <w:lang w:eastAsia="en-AU"/>
        </w:rPr>
        <w:t>and HOMA-IR (glycaemic control) in people at risk of Type II Diabetes Mellitus due to obesity.</w:t>
      </w:r>
    </w:p>
    <w:p w14:paraId="2BAF4621" w14:textId="77777777" w:rsidR="00FF7C90" w:rsidRDefault="00FF7C90" w:rsidP="00FF7C90">
      <w:pPr>
        <w:rPr>
          <w:lang w:eastAsia="en-AU"/>
        </w:rPr>
      </w:pPr>
      <w:r w:rsidRPr="0054775B">
        <w:rPr>
          <w:lang w:eastAsia="en-AU"/>
        </w:rPr>
        <w:lastRenderedPageBreak/>
        <w:t xml:space="preserve">There was </w:t>
      </w:r>
      <w:r>
        <w:rPr>
          <w:b/>
          <w:bCs/>
          <w:lang w:eastAsia="en-AU"/>
        </w:rPr>
        <w:t>low</w:t>
      </w:r>
      <w:r w:rsidRPr="00353AA7">
        <w:rPr>
          <w:b/>
          <w:bCs/>
          <w:lang w:eastAsia="en-AU"/>
        </w:rPr>
        <w:t xml:space="preserve"> certainty </w:t>
      </w:r>
      <w:r w:rsidRPr="0019617D">
        <w:rPr>
          <w:lang w:eastAsia="en-AU"/>
        </w:rPr>
        <w:t>evidence</w:t>
      </w:r>
      <w:r w:rsidRPr="0054775B">
        <w:rPr>
          <w:lang w:eastAsia="en-AU"/>
        </w:rPr>
        <w:t xml:space="preserve"> that nutritional supplements </w:t>
      </w:r>
      <w:r>
        <w:rPr>
          <w:lang w:eastAsia="en-AU"/>
        </w:rPr>
        <w:t>may</w:t>
      </w:r>
      <w:r w:rsidRPr="00353AA7">
        <w:rPr>
          <w:b/>
          <w:bCs/>
          <w:lang w:eastAsia="en-AU"/>
        </w:rPr>
        <w:t xml:space="preserve"> improve</w:t>
      </w:r>
      <w:r w:rsidRPr="0054775B">
        <w:rPr>
          <w:lang w:eastAsia="en-AU"/>
        </w:rPr>
        <w:t xml:space="preserve"> some key health outcomes </w:t>
      </w:r>
      <w:r>
        <w:rPr>
          <w:lang w:eastAsia="en-AU"/>
        </w:rPr>
        <w:t xml:space="preserve">for people with and at-risk of </w:t>
      </w:r>
      <w:r w:rsidRPr="004A5FBB">
        <w:rPr>
          <w:lang w:eastAsia="en-AU"/>
        </w:rPr>
        <w:t>four</w:t>
      </w:r>
      <w:r w:rsidRPr="00EE4FA5">
        <w:rPr>
          <w:lang w:eastAsia="en-AU"/>
        </w:rPr>
        <w:t xml:space="preserve"> conditions</w:t>
      </w:r>
      <w:r w:rsidRPr="0054775B">
        <w:rPr>
          <w:lang w:eastAsia="en-AU"/>
        </w:rPr>
        <w:t>:</w:t>
      </w:r>
    </w:p>
    <w:p w14:paraId="7E2236C0" w14:textId="77777777" w:rsidR="00FF7C90" w:rsidRDefault="00FF7C90" w:rsidP="00107BEE">
      <w:pPr>
        <w:pStyle w:val="ListParagraph"/>
        <w:numPr>
          <w:ilvl w:val="0"/>
          <w:numId w:val="21"/>
        </w:numPr>
        <w:ind w:left="426"/>
        <w:rPr>
          <w:lang w:eastAsia="en-AU"/>
        </w:rPr>
      </w:pPr>
      <w:r>
        <w:rPr>
          <w:lang w:eastAsia="en-AU"/>
        </w:rPr>
        <w:t>Magnesium</w:t>
      </w:r>
      <w:r w:rsidRPr="0054775B">
        <w:rPr>
          <w:lang w:eastAsia="en-AU"/>
        </w:rPr>
        <w:t xml:space="preserve"> </w:t>
      </w:r>
      <w:r>
        <w:rPr>
          <w:lang w:eastAsia="en-AU"/>
        </w:rPr>
        <w:t xml:space="preserve">+ a naturopathy co-intervention may </w:t>
      </w:r>
      <w:r w:rsidRPr="0054775B">
        <w:rPr>
          <w:lang w:eastAsia="en-AU"/>
        </w:rPr>
        <w:t>improve anxiety-related emotional functioning/mental health burden</w:t>
      </w:r>
      <w:r w:rsidRPr="00050027">
        <w:rPr>
          <w:lang w:eastAsia="en-AU"/>
        </w:rPr>
        <w:t xml:space="preserve"> </w:t>
      </w:r>
      <w:r>
        <w:rPr>
          <w:lang w:eastAsia="en-AU"/>
        </w:rPr>
        <w:t>in people with anxiety.</w:t>
      </w:r>
    </w:p>
    <w:p w14:paraId="019B70FE" w14:textId="77777777" w:rsidR="00FF7C90" w:rsidRDefault="00FF7C90" w:rsidP="00107BEE">
      <w:pPr>
        <w:pStyle w:val="ListParagraph"/>
        <w:numPr>
          <w:ilvl w:val="0"/>
          <w:numId w:val="21"/>
        </w:numPr>
        <w:ind w:left="426"/>
        <w:rPr>
          <w:lang w:eastAsia="en-AU"/>
        </w:rPr>
      </w:pPr>
      <w:r w:rsidRPr="0054775B">
        <w:rPr>
          <w:lang w:eastAsia="en-AU"/>
        </w:rPr>
        <w:t xml:space="preserve">Probiotics </w:t>
      </w:r>
      <w:r>
        <w:rPr>
          <w:lang w:eastAsia="en-AU"/>
        </w:rPr>
        <w:t>may improve stool consistency</w:t>
      </w:r>
      <w:r w:rsidDel="00F0790C">
        <w:rPr>
          <w:lang w:eastAsia="en-AU"/>
        </w:rPr>
        <w:t xml:space="preserve"> </w:t>
      </w:r>
      <w:r>
        <w:rPr>
          <w:lang w:eastAsia="en-AU"/>
        </w:rPr>
        <w:t xml:space="preserve">and health-related quality of life, and slightly </w:t>
      </w:r>
      <w:r w:rsidRPr="0054775B">
        <w:rPr>
          <w:lang w:eastAsia="en-AU"/>
        </w:rPr>
        <w:t xml:space="preserve">improve </w:t>
      </w:r>
      <w:r>
        <w:rPr>
          <w:lang w:eastAsia="en-AU"/>
        </w:rPr>
        <w:t>abdominal pain</w:t>
      </w:r>
      <w:r>
        <w:t xml:space="preserve"> </w:t>
      </w:r>
      <w:r>
        <w:rPr>
          <w:lang w:eastAsia="en-AU"/>
        </w:rPr>
        <w:t>and stool frequency</w:t>
      </w:r>
      <w:r w:rsidRPr="00050027" w:rsidDel="00F0790C">
        <w:rPr>
          <w:lang w:eastAsia="en-AU"/>
        </w:rPr>
        <w:t xml:space="preserve"> </w:t>
      </w:r>
      <w:r>
        <w:rPr>
          <w:lang w:eastAsia="en-AU"/>
        </w:rPr>
        <w:t>in people with</w:t>
      </w:r>
      <w:r w:rsidRPr="0054775B">
        <w:rPr>
          <w:lang w:eastAsia="en-AU"/>
        </w:rPr>
        <w:t xml:space="preserve"> </w:t>
      </w:r>
      <w:r>
        <w:rPr>
          <w:lang w:eastAsia="en-AU"/>
        </w:rPr>
        <w:t>IBS.</w:t>
      </w:r>
    </w:p>
    <w:p w14:paraId="434A82E3" w14:textId="77777777" w:rsidR="00FF7C90" w:rsidRDefault="00FF7C90" w:rsidP="00107BEE">
      <w:pPr>
        <w:pStyle w:val="ListParagraph"/>
        <w:numPr>
          <w:ilvl w:val="0"/>
          <w:numId w:val="21"/>
        </w:numPr>
        <w:ind w:left="426"/>
        <w:rPr>
          <w:lang w:eastAsia="en-AU"/>
        </w:rPr>
      </w:pPr>
      <w:r>
        <w:rPr>
          <w:lang w:eastAsia="en-AU"/>
        </w:rPr>
        <w:t>Magnesium may reduce headache pain frequency</w:t>
      </w:r>
      <w:r w:rsidDel="00F0790C">
        <w:rPr>
          <w:lang w:eastAsia="en-AU"/>
        </w:rPr>
        <w:t xml:space="preserve"> </w:t>
      </w:r>
      <w:r>
        <w:rPr>
          <w:lang w:eastAsia="en-AU"/>
        </w:rPr>
        <w:t>and the number of days with migraine</w:t>
      </w:r>
      <w:r w:rsidDel="00F0790C">
        <w:rPr>
          <w:lang w:eastAsia="en-AU"/>
        </w:rPr>
        <w:t xml:space="preserve"> </w:t>
      </w:r>
      <w:r>
        <w:rPr>
          <w:lang w:eastAsia="en-AU"/>
        </w:rPr>
        <w:t>in people with headache and migraine.</w:t>
      </w:r>
    </w:p>
    <w:p w14:paraId="1C8C044D" w14:textId="5DBA22FD" w:rsidR="00FF7C90" w:rsidRDefault="00FF7C90" w:rsidP="00107BEE">
      <w:pPr>
        <w:pStyle w:val="ListParagraph"/>
        <w:numPr>
          <w:ilvl w:val="0"/>
          <w:numId w:val="21"/>
        </w:numPr>
        <w:ind w:left="426"/>
        <w:rPr>
          <w:lang w:eastAsia="en-AU"/>
        </w:rPr>
      </w:pPr>
      <w:r>
        <w:t>Omega-3</w:t>
      </w:r>
      <w:r w:rsidR="001D0020" w:rsidRPr="001D0020">
        <w:t xml:space="preserve"> </w:t>
      </w:r>
      <w:r w:rsidR="001D0020">
        <w:t>fatty acids</w:t>
      </w:r>
      <w:r>
        <w:t xml:space="preserve"> may slightly improve systolic blood pressure</w:t>
      </w:r>
      <w:r w:rsidRPr="00341C8F">
        <w:t xml:space="preserve"> </w:t>
      </w:r>
      <w:r>
        <w:t>in people with hypertension.</w:t>
      </w:r>
    </w:p>
    <w:p w14:paraId="428DC801" w14:textId="77777777" w:rsidR="00FF7C90" w:rsidRPr="0054775B" w:rsidRDefault="00FF7C90" w:rsidP="00FF7C90">
      <w:pPr>
        <w:rPr>
          <w:lang w:eastAsia="en-AU"/>
        </w:rPr>
      </w:pPr>
      <w:r w:rsidRPr="0054775B">
        <w:rPr>
          <w:lang w:eastAsia="en-AU"/>
        </w:rPr>
        <w:t xml:space="preserve">There was </w:t>
      </w:r>
      <w:r w:rsidRPr="00253756">
        <w:rPr>
          <w:b/>
          <w:bCs/>
          <w:lang w:eastAsia="en-AU"/>
        </w:rPr>
        <w:t xml:space="preserve">moderate certainty </w:t>
      </w:r>
      <w:r w:rsidRPr="004A5FBB">
        <w:rPr>
          <w:lang w:eastAsia="en-AU"/>
        </w:rPr>
        <w:t>evidence</w:t>
      </w:r>
      <w:r w:rsidRPr="0054775B">
        <w:rPr>
          <w:lang w:eastAsia="en-AU"/>
        </w:rPr>
        <w:t xml:space="preserve"> that nutritional supplements </w:t>
      </w:r>
      <w:r w:rsidRPr="004A5FBB">
        <w:rPr>
          <w:lang w:eastAsia="en-AU"/>
        </w:rPr>
        <w:t>probably result in</w:t>
      </w:r>
      <w:r>
        <w:rPr>
          <w:b/>
          <w:bCs/>
          <w:lang w:eastAsia="en-AU"/>
        </w:rPr>
        <w:t xml:space="preserve"> little to no difference</w:t>
      </w:r>
      <w:r w:rsidRPr="0054775B">
        <w:rPr>
          <w:lang w:eastAsia="en-AU"/>
        </w:rPr>
        <w:t xml:space="preserve"> </w:t>
      </w:r>
      <w:r>
        <w:rPr>
          <w:lang w:eastAsia="en-AU"/>
        </w:rPr>
        <w:t xml:space="preserve">for </w:t>
      </w:r>
      <w:r w:rsidRPr="0054775B">
        <w:rPr>
          <w:lang w:eastAsia="en-AU"/>
        </w:rPr>
        <w:t xml:space="preserve">some key health outcomes </w:t>
      </w:r>
      <w:r>
        <w:rPr>
          <w:lang w:eastAsia="en-AU"/>
        </w:rPr>
        <w:t>for people with and at-risk of two</w:t>
      </w:r>
      <w:r w:rsidRPr="0054775B">
        <w:rPr>
          <w:lang w:eastAsia="en-AU"/>
        </w:rPr>
        <w:t xml:space="preserve"> </w:t>
      </w:r>
      <w:r w:rsidRPr="0019617D">
        <w:rPr>
          <w:lang w:eastAsia="en-AU"/>
        </w:rPr>
        <w:t>conditions</w:t>
      </w:r>
      <w:r w:rsidRPr="0054775B">
        <w:rPr>
          <w:lang w:eastAsia="en-AU"/>
        </w:rPr>
        <w:t>:</w:t>
      </w:r>
    </w:p>
    <w:p w14:paraId="543E9385" w14:textId="6FCDC276" w:rsidR="00FF7C90" w:rsidRDefault="00FF7C90" w:rsidP="00107BEE">
      <w:pPr>
        <w:pStyle w:val="ListParagraph"/>
        <w:numPr>
          <w:ilvl w:val="0"/>
          <w:numId w:val="21"/>
        </w:numPr>
        <w:ind w:left="426"/>
        <w:rPr>
          <w:lang w:eastAsia="en-AU"/>
        </w:rPr>
      </w:pPr>
      <w:r>
        <w:t>Omega-3</w:t>
      </w:r>
      <w:r w:rsidR="001D0020" w:rsidRPr="001D0020">
        <w:t xml:space="preserve"> </w:t>
      </w:r>
      <w:r w:rsidR="001D0020">
        <w:t>fatty acids</w:t>
      </w:r>
      <w:r>
        <w:t xml:space="preserve"> probably has little to no effect on </w:t>
      </w:r>
      <w:r w:rsidRPr="00471A63">
        <w:t xml:space="preserve">depression-related emotional functioning/mental health burden </w:t>
      </w:r>
      <w:r>
        <w:t>in</w:t>
      </w:r>
      <w:r w:rsidRPr="00471A63">
        <w:t xml:space="preserve"> people a</w:t>
      </w:r>
      <w:r>
        <w:t>t-</w:t>
      </w:r>
      <w:r w:rsidRPr="00471A63">
        <w:t xml:space="preserve">risk of </w:t>
      </w:r>
      <w:r>
        <w:t xml:space="preserve">perinatal </w:t>
      </w:r>
      <w:r w:rsidRPr="00471A63">
        <w:t>depression</w:t>
      </w:r>
      <w:r>
        <w:t>.</w:t>
      </w:r>
    </w:p>
    <w:p w14:paraId="7FAE4841" w14:textId="77777777" w:rsidR="00FF7C90" w:rsidRDefault="00FF7C90" w:rsidP="00107BEE">
      <w:pPr>
        <w:pStyle w:val="ListParagraph"/>
        <w:numPr>
          <w:ilvl w:val="0"/>
          <w:numId w:val="21"/>
        </w:numPr>
        <w:ind w:left="426"/>
        <w:rPr>
          <w:lang w:eastAsia="en-AU"/>
        </w:rPr>
      </w:pPr>
      <w:r w:rsidRPr="0054775B">
        <w:rPr>
          <w:lang w:eastAsia="en-AU"/>
        </w:rPr>
        <w:t xml:space="preserve">Antioxidants (specifically CoQ10 and </w:t>
      </w:r>
      <w:r>
        <w:rPr>
          <w:lang w:eastAsia="en-AU"/>
        </w:rPr>
        <w:t>ALA</w:t>
      </w:r>
      <w:r w:rsidRPr="0054775B">
        <w:rPr>
          <w:lang w:eastAsia="en-AU"/>
        </w:rPr>
        <w:t xml:space="preserve">) probably </w:t>
      </w:r>
      <w:r>
        <w:rPr>
          <w:lang w:eastAsia="en-AU"/>
        </w:rPr>
        <w:t>have little to no effect on</w:t>
      </w:r>
      <w:r w:rsidRPr="0054775B">
        <w:rPr>
          <w:lang w:eastAsia="en-AU"/>
        </w:rPr>
        <w:t xml:space="preserve"> </w:t>
      </w:r>
      <w:r>
        <w:rPr>
          <w:lang w:eastAsia="en-AU"/>
        </w:rPr>
        <w:t>fasting blood glucose</w:t>
      </w:r>
      <w:r w:rsidDel="00F0790C">
        <w:t xml:space="preserve"> </w:t>
      </w:r>
      <w:r>
        <w:rPr>
          <w:lang w:eastAsia="en-AU"/>
        </w:rPr>
        <w:t>and Hb1AC levels (glycaemic control), or diastolic blood pressure</w:t>
      </w:r>
      <w:r w:rsidDel="00724945">
        <w:t xml:space="preserve"> </w:t>
      </w:r>
      <w:r>
        <w:rPr>
          <w:lang w:eastAsia="en-AU"/>
        </w:rPr>
        <w:t>in people with Type II Diabetes.</w:t>
      </w:r>
    </w:p>
    <w:p w14:paraId="5C16D7E1" w14:textId="77777777" w:rsidR="00FF7C90" w:rsidRPr="0054775B" w:rsidRDefault="00FF7C90" w:rsidP="00FF7C90">
      <w:pPr>
        <w:rPr>
          <w:lang w:eastAsia="en-AU"/>
        </w:rPr>
      </w:pPr>
      <w:r w:rsidRPr="0054775B">
        <w:rPr>
          <w:lang w:eastAsia="en-AU"/>
        </w:rPr>
        <w:t xml:space="preserve">There was </w:t>
      </w:r>
      <w:r>
        <w:rPr>
          <w:b/>
          <w:bCs/>
          <w:lang w:eastAsia="en-AU"/>
        </w:rPr>
        <w:t>low</w:t>
      </w:r>
      <w:r w:rsidRPr="00253756">
        <w:rPr>
          <w:b/>
          <w:bCs/>
          <w:lang w:eastAsia="en-AU"/>
        </w:rPr>
        <w:t xml:space="preserve"> certainty </w:t>
      </w:r>
      <w:r w:rsidRPr="004A5FBB">
        <w:rPr>
          <w:lang w:eastAsia="en-AU"/>
        </w:rPr>
        <w:t>evidence</w:t>
      </w:r>
      <w:r w:rsidRPr="0054775B">
        <w:rPr>
          <w:lang w:eastAsia="en-AU"/>
        </w:rPr>
        <w:t xml:space="preserve"> that nutritional supplements </w:t>
      </w:r>
      <w:r w:rsidRPr="004A5FBB">
        <w:rPr>
          <w:lang w:eastAsia="en-AU"/>
        </w:rPr>
        <w:t>probably result in</w:t>
      </w:r>
      <w:r>
        <w:rPr>
          <w:b/>
          <w:bCs/>
          <w:lang w:eastAsia="en-AU"/>
        </w:rPr>
        <w:t xml:space="preserve"> little to no difference</w:t>
      </w:r>
      <w:r w:rsidRPr="0054775B">
        <w:rPr>
          <w:lang w:eastAsia="en-AU"/>
        </w:rPr>
        <w:t xml:space="preserve"> </w:t>
      </w:r>
      <w:r>
        <w:rPr>
          <w:lang w:eastAsia="en-AU"/>
        </w:rPr>
        <w:t xml:space="preserve">for </w:t>
      </w:r>
      <w:r w:rsidRPr="0054775B">
        <w:rPr>
          <w:lang w:eastAsia="en-AU"/>
        </w:rPr>
        <w:t xml:space="preserve">some key health outcomes </w:t>
      </w:r>
      <w:r>
        <w:rPr>
          <w:lang w:eastAsia="en-AU"/>
        </w:rPr>
        <w:t xml:space="preserve">for people </w:t>
      </w:r>
      <w:r w:rsidRPr="00EE4FA5">
        <w:rPr>
          <w:lang w:eastAsia="en-AU"/>
        </w:rPr>
        <w:t xml:space="preserve">with and at-risk of </w:t>
      </w:r>
      <w:r w:rsidRPr="004A5FBB">
        <w:rPr>
          <w:lang w:eastAsia="en-AU"/>
        </w:rPr>
        <w:t>four</w:t>
      </w:r>
      <w:r w:rsidRPr="00EE4FA5">
        <w:rPr>
          <w:lang w:eastAsia="en-AU"/>
        </w:rPr>
        <w:t xml:space="preserve"> conditions</w:t>
      </w:r>
      <w:r w:rsidRPr="0054775B">
        <w:rPr>
          <w:lang w:eastAsia="en-AU"/>
        </w:rPr>
        <w:t>:</w:t>
      </w:r>
    </w:p>
    <w:p w14:paraId="78433B2D" w14:textId="7E390349" w:rsidR="00FF7C90" w:rsidRDefault="00FF7C90" w:rsidP="00107BEE">
      <w:pPr>
        <w:pStyle w:val="ListParagraph"/>
        <w:numPr>
          <w:ilvl w:val="0"/>
          <w:numId w:val="21"/>
        </w:numPr>
        <w:ind w:left="426"/>
        <w:rPr>
          <w:lang w:eastAsia="en-AU"/>
        </w:rPr>
      </w:pPr>
      <w:r>
        <w:t>Omega-3</w:t>
      </w:r>
      <w:r w:rsidR="001D0020" w:rsidRPr="001D0020">
        <w:t xml:space="preserve"> </w:t>
      </w:r>
      <w:r w:rsidR="001D0020">
        <w:t>fatty acids</w:t>
      </w:r>
      <w:r>
        <w:t xml:space="preserve"> may have little to no effect on </w:t>
      </w:r>
      <w:r>
        <w:rPr>
          <w:lang w:eastAsia="en-AU"/>
        </w:rPr>
        <w:t>the number of people with response (50% improvement)</w:t>
      </w:r>
      <w:r w:rsidDel="00724945">
        <w:rPr>
          <w:lang w:eastAsia="en-AU"/>
        </w:rPr>
        <w:t xml:space="preserve"> </w:t>
      </w:r>
      <w:r>
        <w:rPr>
          <w:lang w:eastAsia="en-AU"/>
        </w:rPr>
        <w:t>or remission (no or low depression)</w:t>
      </w:r>
      <w:r w:rsidDel="00724945">
        <w:rPr>
          <w:lang w:eastAsia="en-AU"/>
        </w:rPr>
        <w:t xml:space="preserve"> </w:t>
      </w:r>
      <w:r>
        <w:rPr>
          <w:lang w:eastAsia="en-AU"/>
        </w:rPr>
        <w:t>i</w:t>
      </w:r>
      <w:r>
        <w:t xml:space="preserve">n people </w:t>
      </w:r>
      <w:r>
        <w:rPr>
          <w:lang w:eastAsia="en-AU"/>
        </w:rPr>
        <w:t>with</w:t>
      </w:r>
      <w:r>
        <w:t xml:space="preserve"> depression.</w:t>
      </w:r>
    </w:p>
    <w:p w14:paraId="464224DC" w14:textId="08965063" w:rsidR="00FF7C90" w:rsidRDefault="00FF7C90" w:rsidP="00107BEE">
      <w:pPr>
        <w:pStyle w:val="ListParagraph"/>
        <w:numPr>
          <w:ilvl w:val="0"/>
          <w:numId w:val="21"/>
        </w:numPr>
        <w:ind w:left="426"/>
        <w:rPr>
          <w:lang w:eastAsia="en-AU"/>
        </w:rPr>
      </w:pPr>
      <w:r>
        <w:t>Omega-3</w:t>
      </w:r>
      <w:r w:rsidR="001D0020" w:rsidRPr="001D0020">
        <w:t xml:space="preserve"> </w:t>
      </w:r>
      <w:r w:rsidR="001D0020">
        <w:t>fatty acids</w:t>
      </w:r>
      <w:r>
        <w:t xml:space="preserve"> may have little to no effect on diastolic blood pressure</w:t>
      </w:r>
      <w:r w:rsidRPr="00297442">
        <w:t xml:space="preserve"> </w:t>
      </w:r>
      <w:r>
        <w:t>in people with hypertension.</w:t>
      </w:r>
    </w:p>
    <w:p w14:paraId="3E824078" w14:textId="449A301E" w:rsidR="00E706A2" w:rsidRPr="0054775B" w:rsidRDefault="00E706A2" w:rsidP="00E706A2">
      <w:pPr>
        <w:rPr>
          <w:lang w:eastAsia="en-AU"/>
        </w:rPr>
      </w:pPr>
      <w:r w:rsidRPr="0054775B">
        <w:t>The overview found only very low certainty evidence for</w:t>
      </w:r>
      <w:r>
        <w:t xml:space="preserve"> the following pairings: magnesium for </w:t>
      </w:r>
      <w:r w:rsidRPr="0054775B">
        <w:t>insomnia</w:t>
      </w:r>
      <w:r w:rsidRPr="0054775B">
        <w:rPr>
          <w:lang w:eastAsia="en-AU"/>
        </w:rPr>
        <w:t xml:space="preserve">/sleeping disorders, </w:t>
      </w:r>
      <w:r>
        <w:rPr>
          <w:lang w:eastAsia="en-AU"/>
        </w:rPr>
        <w:t xml:space="preserve">zinc for </w:t>
      </w:r>
      <w:r w:rsidRPr="0054775B">
        <w:rPr>
          <w:lang w:eastAsia="en-AU"/>
        </w:rPr>
        <w:t xml:space="preserve">atopic disorders, </w:t>
      </w:r>
      <w:r>
        <w:t xml:space="preserve">magnesium for </w:t>
      </w:r>
      <w:r w:rsidRPr="0054775B">
        <w:rPr>
          <w:lang w:eastAsia="en-AU"/>
        </w:rPr>
        <w:t xml:space="preserve">fibromyalgia, and for some priority outcomes within the conditions listed above.  </w:t>
      </w:r>
    </w:p>
    <w:p w14:paraId="1E014F9A" w14:textId="5BEDDD57" w:rsidR="00073004" w:rsidRPr="0054775B" w:rsidRDefault="00073004" w:rsidP="00CD4FE9">
      <w:pPr>
        <w:rPr>
          <w:lang w:eastAsia="en-AU"/>
        </w:rPr>
      </w:pPr>
      <w:r w:rsidRPr="0054775B">
        <w:rPr>
          <w:lang w:eastAsia="en-AU"/>
        </w:rPr>
        <w:t>No relevant reviews were identified for</w:t>
      </w:r>
      <w:r>
        <w:rPr>
          <w:lang w:eastAsia="en-AU"/>
        </w:rPr>
        <w:t>: magnesium for s</w:t>
      </w:r>
      <w:r w:rsidRPr="0054775B">
        <w:rPr>
          <w:lang w:eastAsia="en-AU"/>
        </w:rPr>
        <w:t>tress (perceived, occupational)</w:t>
      </w:r>
      <w:r>
        <w:rPr>
          <w:lang w:eastAsia="en-AU"/>
        </w:rPr>
        <w:t xml:space="preserve">, </w:t>
      </w:r>
      <w:r w:rsidRPr="0054775B">
        <w:rPr>
          <w:lang w:eastAsia="en-AU"/>
        </w:rPr>
        <w:t>cruciferous indoles</w:t>
      </w:r>
      <w:r>
        <w:rPr>
          <w:lang w:eastAsia="en-AU"/>
        </w:rPr>
        <w:t xml:space="preserve"> for d</w:t>
      </w:r>
      <w:r w:rsidRPr="0054775B">
        <w:rPr>
          <w:lang w:eastAsia="en-AU"/>
        </w:rPr>
        <w:t>ysmenorrhea</w:t>
      </w:r>
      <w:r>
        <w:rPr>
          <w:lang w:eastAsia="en-AU"/>
        </w:rPr>
        <w:t xml:space="preserve">, </w:t>
      </w:r>
      <w:r w:rsidRPr="0054775B">
        <w:rPr>
          <w:lang w:eastAsia="en-AU"/>
        </w:rPr>
        <w:t>cruciferous indoles</w:t>
      </w:r>
      <w:r>
        <w:rPr>
          <w:lang w:eastAsia="en-AU"/>
        </w:rPr>
        <w:t xml:space="preserve"> for p</w:t>
      </w:r>
      <w:r w:rsidRPr="0054775B">
        <w:rPr>
          <w:lang w:eastAsia="en-AU"/>
        </w:rPr>
        <w:t>remenstrual syndrome (PMS)</w:t>
      </w:r>
      <w:r>
        <w:rPr>
          <w:lang w:eastAsia="en-AU"/>
        </w:rPr>
        <w:t>, and magnesium for a</w:t>
      </w:r>
      <w:r w:rsidRPr="0054775B">
        <w:rPr>
          <w:lang w:eastAsia="en-AU"/>
        </w:rPr>
        <w:t>rthritis/osteoarthritis.</w:t>
      </w:r>
    </w:p>
    <w:p w14:paraId="5D69C830" w14:textId="73F7FADD" w:rsidR="00A24D67" w:rsidRPr="0054775B" w:rsidRDefault="00A24D67" w:rsidP="00F9201F">
      <w:pPr>
        <w:pStyle w:val="2024HEADER2"/>
      </w:pPr>
      <w:bookmarkStart w:id="146" w:name="_Toc178347939"/>
      <w:bookmarkStart w:id="147" w:name="_Toc111119284"/>
      <w:bookmarkStart w:id="148" w:name="_Toc179379633"/>
      <w:bookmarkEnd w:id="146"/>
      <w:r w:rsidRPr="0054775B">
        <w:t>Overall completeness and applicability of evidence</w:t>
      </w:r>
      <w:bookmarkEnd w:id="147"/>
      <w:bookmarkEnd w:id="148"/>
    </w:p>
    <w:p w14:paraId="467B2869" w14:textId="1D81620A" w:rsidR="00A407F0" w:rsidRPr="0054775B" w:rsidDel="00A407F0" w:rsidRDefault="00A24D67" w:rsidP="009E6F7F">
      <w:pPr>
        <w:rPr>
          <w:lang w:eastAsia="en-AU"/>
        </w:rPr>
      </w:pPr>
      <w:r w:rsidRPr="0054775B">
        <w:rPr>
          <w:lang w:eastAsia="en-AU"/>
        </w:rPr>
        <w:t>There</w:t>
      </w:r>
      <w:r w:rsidR="009C4572" w:rsidRPr="0054775B">
        <w:rPr>
          <w:lang w:eastAsia="en-AU"/>
        </w:rPr>
        <w:t xml:space="preserve"> were very few</w:t>
      </w:r>
      <w:r w:rsidR="000074A2" w:rsidRPr="0054775B">
        <w:rPr>
          <w:lang w:eastAsia="en-AU"/>
        </w:rPr>
        <w:t xml:space="preserve"> reviews</w:t>
      </w:r>
      <w:r w:rsidR="009C4572" w:rsidRPr="0054775B">
        <w:rPr>
          <w:lang w:eastAsia="en-AU"/>
        </w:rPr>
        <w:t xml:space="preserve"> </w:t>
      </w:r>
      <w:r w:rsidR="000074A2" w:rsidRPr="0054775B">
        <w:rPr>
          <w:lang w:eastAsia="en-AU"/>
        </w:rPr>
        <w:t xml:space="preserve">identified </w:t>
      </w:r>
      <w:r w:rsidR="009C4572" w:rsidRPr="0054775B">
        <w:rPr>
          <w:lang w:eastAsia="en-AU"/>
        </w:rPr>
        <w:t>which</w:t>
      </w:r>
      <w:r w:rsidR="000074A2" w:rsidRPr="0054775B">
        <w:rPr>
          <w:lang w:eastAsia="en-AU"/>
        </w:rPr>
        <w:t xml:space="preserve"> directly</w:t>
      </w:r>
      <w:r w:rsidR="009C4572" w:rsidRPr="0054775B">
        <w:rPr>
          <w:lang w:eastAsia="en-AU"/>
        </w:rPr>
        <w:t xml:space="preserve"> matched the PICOs under consideration.</w:t>
      </w:r>
      <w:r w:rsidR="004F4117" w:rsidRPr="0054775B">
        <w:rPr>
          <w:lang w:eastAsia="en-AU"/>
        </w:rPr>
        <w:t xml:space="preserve"> Definitions of conditions varied across reviews</w:t>
      </w:r>
      <w:r w:rsidR="00A22EBF" w:rsidRPr="0054775B">
        <w:rPr>
          <w:lang w:eastAsia="en-AU"/>
        </w:rPr>
        <w:t>,</w:t>
      </w:r>
      <w:r w:rsidR="004F4117" w:rsidRPr="0054775B">
        <w:rPr>
          <w:lang w:eastAsia="en-AU"/>
        </w:rPr>
        <w:t xml:space="preserve"> particularly for conditions like</w:t>
      </w:r>
      <w:r w:rsidR="00B653EE" w:rsidRPr="0054775B">
        <w:rPr>
          <w:lang w:eastAsia="en-AU"/>
        </w:rPr>
        <w:t xml:space="preserve"> fatigue </w:t>
      </w:r>
      <w:r w:rsidR="00FB5A02" w:rsidRPr="0054775B">
        <w:rPr>
          <w:lang w:eastAsia="en-AU"/>
        </w:rPr>
        <w:t xml:space="preserve">where there is no agreed upon definition outside of clinical diagnoses of CFS or ME. </w:t>
      </w:r>
      <w:r w:rsidR="00D11E7D" w:rsidRPr="0054775B">
        <w:rPr>
          <w:lang w:eastAsia="en-AU"/>
        </w:rPr>
        <w:t xml:space="preserve">In </w:t>
      </w:r>
      <w:r w:rsidR="00B93450" w:rsidRPr="0054775B">
        <w:rPr>
          <w:lang w:eastAsia="en-AU"/>
        </w:rPr>
        <w:t>addition,</w:t>
      </w:r>
      <w:r w:rsidR="00D11E7D" w:rsidRPr="0054775B">
        <w:rPr>
          <w:lang w:eastAsia="en-AU"/>
        </w:rPr>
        <w:t xml:space="preserve"> it is important to note that some </w:t>
      </w:r>
      <w:r w:rsidR="00B93450" w:rsidRPr="0054775B">
        <w:rPr>
          <w:lang w:eastAsia="en-AU"/>
        </w:rPr>
        <w:t xml:space="preserve">priority populations were a broad class of conditions, </w:t>
      </w:r>
      <w:r w:rsidR="00AE7AA8">
        <w:rPr>
          <w:lang w:eastAsia="en-AU"/>
        </w:rPr>
        <w:t>al</w:t>
      </w:r>
      <w:r w:rsidR="00B93450" w:rsidRPr="0054775B">
        <w:rPr>
          <w:lang w:eastAsia="en-AU"/>
        </w:rPr>
        <w:t xml:space="preserve">though the identified reviews may only examine one or two subclasses (e.g. for atopic disorders, only reviews related to atopic dermatitis were identified). </w:t>
      </w:r>
      <w:r w:rsidR="00AE7AA8">
        <w:rPr>
          <w:lang w:eastAsia="en-AU"/>
        </w:rPr>
        <w:t>Alt</w:t>
      </w:r>
      <w:r w:rsidR="00B93450" w:rsidRPr="0054775B">
        <w:rPr>
          <w:lang w:eastAsia="en-AU"/>
        </w:rPr>
        <w:t xml:space="preserve">hough this was taken into consideration </w:t>
      </w:r>
      <w:r w:rsidR="00AD4E5F" w:rsidRPr="0054775B">
        <w:rPr>
          <w:lang w:eastAsia="en-AU"/>
        </w:rPr>
        <w:t>with</w:t>
      </w:r>
      <w:r w:rsidR="00B93450" w:rsidRPr="0054775B">
        <w:rPr>
          <w:lang w:eastAsia="en-AU"/>
        </w:rPr>
        <w:t>in</w:t>
      </w:r>
      <w:r w:rsidR="00B93450" w:rsidRPr="0054775B" w:rsidDel="003847E9">
        <w:rPr>
          <w:lang w:eastAsia="en-AU"/>
        </w:rPr>
        <w:t xml:space="preserve"> </w:t>
      </w:r>
      <w:r w:rsidR="00B93450" w:rsidRPr="0054775B">
        <w:rPr>
          <w:lang w:eastAsia="en-AU"/>
        </w:rPr>
        <w:t>GRADE assessment</w:t>
      </w:r>
      <w:r w:rsidR="003847E9">
        <w:rPr>
          <w:lang w:eastAsia="en-AU"/>
        </w:rPr>
        <w:t>s</w:t>
      </w:r>
      <w:r w:rsidR="00B93450" w:rsidRPr="0054775B">
        <w:rPr>
          <w:lang w:eastAsia="en-AU"/>
        </w:rPr>
        <w:t>, it still limits overall applicability of many of the results to the research question.</w:t>
      </w:r>
      <w:r w:rsidR="00E9751B">
        <w:rPr>
          <w:lang w:eastAsia="en-AU"/>
        </w:rPr>
        <w:t xml:space="preserve"> </w:t>
      </w:r>
    </w:p>
    <w:p w14:paraId="698D02B4" w14:textId="65A49879" w:rsidR="003847E9" w:rsidRDefault="003847E9" w:rsidP="009E6F7F">
      <w:pPr>
        <w:rPr>
          <w:lang w:eastAsia="en-AU"/>
        </w:rPr>
      </w:pPr>
      <w:r>
        <w:rPr>
          <w:lang w:eastAsia="en-AU"/>
        </w:rPr>
        <w:t>This</w:t>
      </w:r>
      <w:r w:rsidRPr="0054775B">
        <w:rPr>
          <w:lang w:eastAsia="en-AU"/>
        </w:rPr>
        <w:t xml:space="preserve"> </w:t>
      </w:r>
      <w:r w:rsidR="00E32466" w:rsidRPr="0054775B">
        <w:rPr>
          <w:lang w:eastAsia="en-AU"/>
        </w:rPr>
        <w:t xml:space="preserve">overview only included results from </w:t>
      </w:r>
      <w:r w:rsidR="00051143">
        <w:t>reviews</w:t>
      </w:r>
      <w:r w:rsidR="00051143" w:rsidRPr="0054775B">
        <w:t xml:space="preserve"> </w:t>
      </w:r>
      <w:r w:rsidR="00E32466" w:rsidRPr="0054775B">
        <w:rPr>
          <w:lang w:eastAsia="en-AU"/>
        </w:rPr>
        <w:t>published in English</w:t>
      </w:r>
      <w:r w:rsidR="009E0287" w:rsidRPr="0054775B">
        <w:rPr>
          <w:lang w:eastAsia="en-AU"/>
        </w:rPr>
        <w:t xml:space="preserve">. We do not believe </w:t>
      </w:r>
      <w:r w:rsidR="001B7A43" w:rsidRPr="0054775B">
        <w:rPr>
          <w:lang w:eastAsia="en-AU"/>
        </w:rPr>
        <w:t xml:space="preserve">non-inclusion of </w:t>
      </w:r>
      <w:r w:rsidR="0094788F" w:rsidRPr="0054775B">
        <w:rPr>
          <w:lang w:eastAsia="en-AU"/>
        </w:rPr>
        <w:t>other language</w:t>
      </w:r>
      <w:r w:rsidR="001B7A43" w:rsidRPr="0054775B">
        <w:rPr>
          <w:lang w:eastAsia="en-AU"/>
        </w:rPr>
        <w:t xml:space="preserve"> </w:t>
      </w:r>
      <w:r w:rsidR="00051143">
        <w:t>reviews</w:t>
      </w:r>
      <w:r w:rsidR="00051143" w:rsidRPr="0054775B">
        <w:t xml:space="preserve"> </w:t>
      </w:r>
      <w:r w:rsidR="001B7A43" w:rsidRPr="0054775B">
        <w:rPr>
          <w:lang w:eastAsia="en-AU"/>
        </w:rPr>
        <w:t xml:space="preserve">will impact findings, as </w:t>
      </w:r>
      <w:r w:rsidR="00D50AB7" w:rsidRPr="0054775B">
        <w:rPr>
          <w:lang w:eastAsia="en-AU"/>
        </w:rPr>
        <w:t xml:space="preserve">there were only four identified (Table F2) and </w:t>
      </w:r>
      <w:r w:rsidR="00E15E7E">
        <w:rPr>
          <w:lang w:eastAsia="en-AU"/>
        </w:rPr>
        <w:t xml:space="preserve">these </w:t>
      </w:r>
      <w:r w:rsidR="001B7A43" w:rsidRPr="0054775B">
        <w:rPr>
          <w:lang w:eastAsia="en-AU"/>
        </w:rPr>
        <w:t xml:space="preserve">were superseded </w:t>
      </w:r>
      <w:r w:rsidR="00D50AB7" w:rsidRPr="0054775B">
        <w:rPr>
          <w:lang w:eastAsia="en-AU"/>
        </w:rPr>
        <w:t>in each case by</w:t>
      </w:r>
      <w:r w:rsidR="001B7A43" w:rsidRPr="0054775B">
        <w:rPr>
          <w:lang w:eastAsia="en-AU"/>
        </w:rPr>
        <w:t xml:space="preserve"> more recent reviews </w:t>
      </w:r>
      <w:r w:rsidR="00D50AB7" w:rsidRPr="0054775B">
        <w:rPr>
          <w:lang w:eastAsia="en-AU"/>
        </w:rPr>
        <w:t>for the priority population-</w:t>
      </w:r>
      <w:r w:rsidR="00436DD1">
        <w:rPr>
          <w:lang w:eastAsia="en-AU"/>
        </w:rPr>
        <w:t>supplement pair</w:t>
      </w:r>
      <w:r w:rsidR="00D50AB7" w:rsidRPr="0054775B">
        <w:rPr>
          <w:lang w:eastAsia="en-AU"/>
        </w:rPr>
        <w:t xml:space="preserve"> </w:t>
      </w:r>
      <w:r w:rsidR="001B7A43" w:rsidRPr="0054775B">
        <w:rPr>
          <w:lang w:eastAsia="en-AU"/>
        </w:rPr>
        <w:t xml:space="preserve">(though we were unable to assess whether </w:t>
      </w:r>
      <w:r w:rsidR="00F44482">
        <w:rPr>
          <w:lang w:eastAsia="en-AU"/>
        </w:rPr>
        <w:t>the non-English reviews</w:t>
      </w:r>
      <w:r w:rsidR="001B7A43" w:rsidRPr="0054775B">
        <w:rPr>
          <w:lang w:eastAsia="en-AU"/>
        </w:rPr>
        <w:t xml:space="preserve"> were</w:t>
      </w:r>
      <w:r w:rsidR="00AE7AA8">
        <w:rPr>
          <w:lang w:eastAsia="en-AU"/>
        </w:rPr>
        <w:t xml:space="preserve"> at </w:t>
      </w:r>
      <w:r w:rsidR="001B7A43" w:rsidRPr="0054775B">
        <w:rPr>
          <w:lang w:eastAsia="en-AU"/>
        </w:rPr>
        <w:t xml:space="preserve"> </w:t>
      </w:r>
      <w:r w:rsidR="007C78C3">
        <w:rPr>
          <w:lang w:eastAsia="en-AU"/>
        </w:rPr>
        <w:t>lower risk of bias</w:t>
      </w:r>
      <w:r w:rsidR="007C78C3" w:rsidRPr="0054775B">
        <w:rPr>
          <w:lang w:eastAsia="en-AU"/>
        </w:rPr>
        <w:t xml:space="preserve"> </w:t>
      </w:r>
      <w:r w:rsidR="001B7A43" w:rsidRPr="0054775B">
        <w:rPr>
          <w:lang w:eastAsia="en-AU"/>
        </w:rPr>
        <w:t xml:space="preserve">or </w:t>
      </w:r>
      <w:r w:rsidR="00AE7AA8">
        <w:rPr>
          <w:lang w:eastAsia="en-AU"/>
        </w:rPr>
        <w:t xml:space="preserve">were </w:t>
      </w:r>
      <w:r w:rsidR="001B7A43" w:rsidRPr="0054775B">
        <w:rPr>
          <w:lang w:eastAsia="en-AU"/>
        </w:rPr>
        <w:t xml:space="preserve">more comprehensive). However, databases in languages other than </w:t>
      </w:r>
      <w:r w:rsidR="001B7A43" w:rsidRPr="0054775B">
        <w:rPr>
          <w:lang w:eastAsia="en-AU"/>
        </w:rPr>
        <w:lastRenderedPageBreak/>
        <w:t>English were not searched, and therefore there is potential for language bias impacting overall completeness.</w:t>
      </w:r>
      <w:r w:rsidR="00A22EBF" w:rsidRPr="0054775B">
        <w:rPr>
          <w:lang w:eastAsia="en-AU"/>
        </w:rPr>
        <w:t xml:space="preserve"> </w:t>
      </w:r>
    </w:p>
    <w:p w14:paraId="0D63305D" w14:textId="6FAAD551" w:rsidR="00A26ADF" w:rsidRPr="0054775B" w:rsidRDefault="00A26ADF" w:rsidP="009E6F7F">
      <w:pPr>
        <w:rPr>
          <w:lang w:eastAsia="en-AU"/>
        </w:rPr>
      </w:pPr>
      <w:r w:rsidRPr="0054775B">
        <w:rPr>
          <w:lang w:eastAsia="en-AU"/>
        </w:rPr>
        <w:t xml:space="preserve">For some </w:t>
      </w:r>
      <w:r w:rsidR="007F6364">
        <w:rPr>
          <w:lang w:eastAsia="en-AU"/>
        </w:rPr>
        <w:t xml:space="preserve">of </w:t>
      </w:r>
      <w:r w:rsidRPr="0054775B">
        <w:rPr>
          <w:lang w:eastAsia="en-AU"/>
        </w:rPr>
        <w:t>the priority population-</w:t>
      </w:r>
      <w:r w:rsidR="003847E9">
        <w:rPr>
          <w:lang w:eastAsia="en-AU"/>
        </w:rPr>
        <w:t>conditions</w:t>
      </w:r>
      <w:r w:rsidRPr="0054775B">
        <w:rPr>
          <w:lang w:eastAsia="en-AU"/>
        </w:rPr>
        <w:t xml:space="preserve">, the most recent reviews were </w:t>
      </w:r>
      <w:r w:rsidR="00FD0DD1">
        <w:rPr>
          <w:lang w:eastAsia="en-AU"/>
        </w:rPr>
        <w:t>10</w:t>
      </w:r>
      <w:r w:rsidR="00C05578" w:rsidRPr="0054775B">
        <w:rPr>
          <w:lang w:eastAsia="en-AU"/>
        </w:rPr>
        <w:t xml:space="preserve"> years old</w:t>
      </w:r>
      <w:r w:rsidR="006451B0">
        <w:rPr>
          <w:lang w:eastAsia="en-AU"/>
        </w:rPr>
        <w:t xml:space="preserve"> </w:t>
      </w:r>
      <w:r w:rsidR="00135BDE">
        <w:rPr>
          <w:lang w:eastAsia="en-AU"/>
        </w:rPr>
        <w:t>or older,</w:t>
      </w:r>
      <w:r w:rsidR="006451B0">
        <w:rPr>
          <w:lang w:eastAsia="en-AU"/>
        </w:rPr>
        <w:t xml:space="preserve"> </w:t>
      </w:r>
      <w:r w:rsidR="00034D67">
        <w:rPr>
          <w:lang w:eastAsia="en-AU"/>
        </w:rPr>
        <w:t>which</w:t>
      </w:r>
      <w:r w:rsidR="006451B0">
        <w:rPr>
          <w:lang w:eastAsia="en-AU"/>
        </w:rPr>
        <w:t xml:space="preserve"> </w:t>
      </w:r>
      <w:r w:rsidR="003847E9">
        <w:rPr>
          <w:lang w:eastAsia="en-AU"/>
        </w:rPr>
        <w:t>mean</w:t>
      </w:r>
      <w:r w:rsidR="00034D67">
        <w:rPr>
          <w:lang w:eastAsia="en-AU"/>
        </w:rPr>
        <w:t>s</w:t>
      </w:r>
      <w:r w:rsidR="003847E9">
        <w:rPr>
          <w:lang w:eastAsia="en-AU"/>
        </w:rPr>
        <w:t xml:space="preserve"> that</w:t>
      </w:r>
      <w:r w:rsidR="00C05578" w:rsidRPr="0054775B">
        <w:rPr>
          <w:lang w:eastAsia="en-AU"/>
        </w:rPr>
        <w:t xml:space="preserve"> primary studies</w:t>
      </w:r>
      <w:r w:rsidR="00F269BB">
        <w:rPr>
          <w:lang w:eastAsia="en-AU"/>
        </w:rPr>
        <w:t xml:space="preserve"> </w:t>
      </w:r>
      <w:r w:rsidR="006451B0">
        <w:rPr>
          <w:lang w:eastAsia="en-AU"/>
        </w:rPr>
        <w:t xml:space="preserve">published after reviews </w:t>
      </w:r>
      <w:r w:rsidR="003847E9">
        <w:rPr>
          <w:lang w:eastAsia="en-AU"/>
        </w:rPr>
        <w:t xml:space="preserve">were </w:t>
      </w:r>
      <w:r w:rsidR="00034D67">
        <w:rPr>
          <w:lang w:eastAsia="en-AU"/>
        </w:rPr>
        <w:t>published are</w:t>
      </w:r>
      <w:r w:rsidR="003847E9">
        <w:rPr>
          <w:lang w:eastAsia="en-AU"/>
        </w:rPr>
        <w:t xml:space="preserve"> </w:t>
      </w:r>
      <w:r w:rsidR="00F269BB">
        <w:rPr>
          <w:lang w:eastAsia="en-AU"/>
        </w:rPr>
        <w:t xml:space="preserve">not </w:t>
      </w:r>
      <w:r w:rsidR="003847E9">
        <w:rPr>
          <w:lang w:eastAsia="en-AU"/>
        </w:rPr>
        <w:t>considered in the evidence</w:t>
      </w:r>
      <w:r w:rsidR="00C05578" w:rsidRPr="0054775B">
        <w:rPr>
          <w:lang w:eastAsia="en-AU"/>
        </w:rPr>
        <w:t>.</w:t>
      </w:r>
      <w:r w:rsidR="006E2838">
        <w:rPr>
          <w:lang w:eastAsia="en-AU"/>
        </w:rPr>
        <w:t xml:space="preserve"> No checks were completed to assess if evidence was still current</w:t>
      </w:r>
      <w:r w:rsidR="00446A21">
        <w:rPr>
          <w:lang w:eastAsia="en-AU"/>
        </w:rPr>
        <w:t xml:space="preserve">, due to the overall volume of work for the overview and the additional work </w:t>
      </w:r>
      <w:r w:rsidR="00D66083">
        <w:rPr>
          <w:lang w:eastAsia="en-AU"/>
        </w:rPr>
        <w:t xml:space="preserve">required to conduct </w:t>
      </w:r>
      <w:r w:rsidR="003521F7">
        <w:rPr>
          <w:lang w:eastAsia="en-AU"/>
        </w:rPr>
        <w:t>systematic checks (effectively a new systematic review)</w:t>
      </w:r>
      <w:r w:rsidR="006E2838">
        <w:rPr>
          <w:lang w:eastAsia="en-AU"/>
        </w:rPr>
        <w:t>. Consideration of more recent primary studies was intended, but due to the volume of literature</w:t>
      </w:r>
      <w:r w:rsidR="00D47C06">
        <w:rPr>
          <w:lang w:eastAsia="en-AU"/>
        </w:rPr>
        <w:t xml:space="preserve">, </w:t>
      </w:r>
      <w:r w:rsidR="006E2838">
        <w:rPr>
          <w:lang w:eastAsia="en-AU"/>
        </w:rPr>
        <w:t xml:space="preserve">was </w:t>
      </w:r>
      <w:r w:rsidR="00D47C06">
        <w:rPr>
          <w:lang w:eastAsia="en-AU"/>
        </w:rPr>
        <w:t>not</w:t>
      </w:r>
      <w:r w:rsidR="006E2838">
        <w:rPr>
          <w:lang w:eastAsia="en-AU"/>
        </w:rPr>
        <w:t xml:space="preserve"> completed</w:t>
      </w:r>
      <w:r w:rsidR="001C2833">
        <w:rPr>
          <w:lang w:eastAsia="en-AU"/>
        </w:rPr>
        <w:t xml:space="preserve"> (listed as a deviation from the protocol in Appendix G)</w:t>
      </w:r>
      <w:r w:rsidR="006E2838">
        <w:rPr>
          <w:lang w:eastAsia="en-AU"/>
        </w:rPr>
        <w:t>.</w:t>
      </w:r>
      <w:r w:rsidR="001C2833">
        <w:rPr>
          <w:lang w:eastAsia="en-AU"/>
        </w:rPr>
        <w:t xml:space="preserve"> As this overview </w:t>
      </w:r>
      <w:r w:rsidR="00AE7AA8">
        <w:rPr>
          <w:lang w:eastAsia="en-AU"/>
        </w:rPr>
        <w:t xml:space="preserve">only summarised the results of included reviews without </w:t>
      </w:r>
      <w:r w:rsidR="001C2833">
        <w:rPr>
          <w:lang w:eastAsia="en-AU"/>
        </w:rPr>
        <w:t>reanaly</w:t>
      </w:r>
      <w:r w:rsidR="00AE7AA8">
        <w:rPr>
          <w:lang w:eastAsia="en-AU"/>
        </w:rPr>
        <w:t>si</w:t>
      </w:r>
      <w:r w:rsidR="001C2833">
        <w:rPr>
          <w:lang w:eastAsia="en-AU"/>
        </w:rPr>
        <w:t>s data from primary studies would not have been incorporated into findings.</w:t>
      </w:r>
    </w:p>
    <w:p w14:paraId="02650DC8" w14:textId="5294D149" w:rsidR="0052628D" w:rsidRPr="0054775B" w:rsidRDefault="00B30C5B" w:rsidP="00F9201F">
      <w:pPr>
        <w:pStyle w:val="2024HEADER2"/>
      </w:pPr>
      <w:bookmarkStart w:id="149" w:name="_Toc179379634"/>
      <w:r>
        <w:t>Certainty</w:t>
      </w:r>
      <w:r w:rsidRPr="0054775B">
        <w:t xml:space="preserve"> </w:t>
      </w:r>
      <w:r w:rsidR="0052628D" w:rsidRPr="0054775B">
        <w:t>of the evidence</w:t>
      </w:r>
      <w:bookmarkEnd w:id="149"/>
    </w:p>
    <w:p w14:paraId="2FA3C74D" w14:textId="00345981" w:rsidR="00085FAA" w:rsidRDefault="00BA408B" w:rsidP="00CB7DBF">
      <w:pPr>
        <w:rPr>
          <w:lang w:eastAsia="en-AU"/>
        </w:rPr>
      </w:pPr>
      <w:r>
        <w:rPr>
          <w:lang w:eastAsia="en-AU"/>
        </w:rPr>
        <w:t xml:space="preserve">Certainty of the evidence was </w:t>
      </w:r>
      <w:r w:rsidR="00AE7AA8">
        <w:rPr>
          <w:lang w:eastAsia="en-AU"/>
        </w:rPr>
        <w:t xml:space="preserve">undertaken </w:t>
      </w:r>
      <w:r>
        <w:rPr>
          <w:lang w:eastAsia="en-AU"/>
        </w:rPr>
        <w:t>using GRADE for each outcome.</w:t>
      </w:r>
      <w:r w:rsidR="00A87454">
        <w:rPr>
          <w:lang w:eastAsia="en-AU"/>
        </w:rPr>
        <w:t xml:space="preserve"> There was no evidence that was assessed as high certainty</w:t>
      </w:r>
      <w:r w:rsidR="00540DED">
        <w:rPr>
          <w:lang w:eastAsia="en-AU"/>
        </w:rPr>
        <w:t xml:space="preserve">. There was moderate </w:t>
      </w:r>
      <w:r w:rsidR="002F5824">
        <w:rPr>
          <w:lang w:eastAsia="en-AU"/>
        </w:rPr>
        <w:t xml:space="preserve">and low </w:t>
      </w:r>
      <w:r w:rsidR="00540DED">
        <w:rPr>
          <w:lang w:eastAsia="en-AU"/>
        </w:rPr>
        <w:t xml:space="preserve">certainty </w:t>
      </w:r>
      <w:r w:rsidR="002F5824">
        <w:rPr>
          <w:lang w:eastAsia="en-AU"/>
        </w:rPr>
        <w:t xml:space="preserve">evidence for certain outcomes in certain population-supplement pairs. </w:t>
      </w:r>
      <w:r w:rsidR="00AE3ACC">
        <w:rPr>
          <w:lang w:eastAsia="en-AU"/>
        </w:rPr>
        <w:t>Most outcomes had very low certainty evidence, where confidence in the present results was so limited that interpretation was not provided.</w:t>
      </w:r>
      <w:r w:rsidR="00540DED">
        <w:rPr>
          <w:lang w:eastAsia="en-AU"/>
        </w:rPr>
        <w:t xml:space="preserve"> </w:t>
      </w:r>
      <w:r w:rsidR="00CB7DBF" w:rsidRPr="0054775B">
        <w:rPr>
          <w:lang w:eastAsia="en-AU"/>
        </w:rPr>
        <w:t>Overall, the ability to draw conclusions about the efficacy of nutritional supplements in the naturopathic context is limited by the paucity and quality of evidence.</w:t>
      </w:r>
      <w:r w:rsidR="00D5426E">
        <w:rPr>
          <w:lang w:eastAsia="en-AU"/>
        </w:rPr>
        <w:t xml:space="preserve"> </w:t>
      </w:r>
    </w:p>
    <w:p w14:paraId="1B41A397" w14:textId="37296B4E" w:rsidR="00CB7DBF" w:rsidRPr="0054775B" w:rsidRDefault="00D5426E" w:rsidP="00CB7DBF">
      <w:pPr>
        <w:rPr>
          <w:lang w:eastAsia="en-AU"/>
        </w:rPr>
      </w:pPr>
      <w:r>
        <w:rPr>
          <w:lang w:eastAsia="en-AU"/>
        </w:rPr>
        <w:t xml:space="preserve">Preferred reviews were selected based on </w:t>
      </w:r>
      <w:r w:rsidR="007C78C3">
        <w:rPr>
          <w:lang w:eastAsia="en-AU"/>
        </w:rPr>
        <w:t>risk of bias</w:t>
      </w:r>
      <w:r w:rsidR="00AE7AA8">
        <w:rPr>
          <w:lang w:eastAsia="en-AU"/>
        </w:rPr>
        <w:t>, c</w:t>
      </w:r>
      <w:r w:rsidR="00A872FC">
        <w:rPr>
          <w:lang w:eastAsia="en-AU"/>
        </w:rPr>
        <w:t>omprehensiveness</w:t>
      </w:r>
      <w:r w:rsidR="007C78C3">
        <w:rPr>
          <w:lang w:eastAsia="en-AU"/>
        </w:rPr>
        <w:t xml:space="preserve"> and</w:t>
      </w:r>
      <w:r w:rsidR="00A872FC">
        <w:rPr>
          <w:lang w:eastAsia="en-AU"/>
        </w:rPr>
        <w:t xml:space="preserve"> recency.</w:t>
      </w:r>
      <w:r w:rsidR="00CB7DBF" w:rsidRPr="0054775B">
        <w:rPr>
          <w:lang w:eastAsia="en-AU"/>
        </w:rPr>
        <w:t xml:space="preserve"> </w:t>
      </w:r>
      <w:r w:rsidRPr="0054775B">
        <w:rPr>
          <w:lang w:eastAsia="en-AU"/>
        </w:rPr>
        <w:t xml:space="preserve">Reviews which did not conduct risk of bias assessment of primary studies were excluded, which </w:t>
      </w:r>
      <w:r w:rsidR="00533F44">
        <w:rPr>
          <w:lang w:eastAsia="en-AU"/>
        </w:rPr>
        <w:t xml:space="preserve">may have resulted in inclusion and assessment of better </w:t>
      </w:r>
      <w:r w:rsidRPr="0054775B">
        <w:rPr>
          <w:lang w:eastAsia="en-AU"/>
        </w:rPr>
        <w:t xml:space="preserve">quality </w:t>
      </w:r>
      <w:r w:rsidR="00533F44">
        <w:rPr>
          <w:lang w:eastAsia="en-AU"/>
        </w:rPr>
        <w:t>evidence.</w:t>
      </w:r>
      <w:r w:rsidRPr="0054775B">
        <w:rPr>
          <w:lang w:eastAsia="en-AU"/>
        </w:rPr>
        <w:t xml:space="preserve"> </w:t>
      </w:r>
      <w:r w:rsidR="007C78C3">
        <w:rPr>
          <w:lang w:eastAsia="en-AU"/>
        </w:rPr>
        <w:t>R</w:t>
      </w:r>
      <w:r w:rsidR="007C41CA">
        <w:rPr>
          <w:lang w:eastAsia="en-AU"/>
        </w:rPr>
        <w:t>isk of bias</w:t>
      </w:r>
      <w:r w:rsidR="007C41CA" w:rsidRPr="0054775B">
        <w:rPr>
          <w:lang w:eastAsia="en-AU"/>
        </w:rPr>
        <w:t xml:space="preserve"> of primary studies</w:t>
      </w:r>
      <w:r w:rsidR="007C41CA">
        <w:rPr>
          <w:lang w:eastAsia="en-AU"/>
        </w:rPr>
        <w:t xml:space="preserve"> was not reappraised.</w:t>
      </w:r>
    </w:p>
    <w:p w14:paraId="5A3076BE" w14:textId="615F43D4" w:rsidR="000F2623" w:rsidRDefault="004B416E" w:rsidP="007B0537">
      <w:pPr>
        <w:rPr>
          <w:lang w:eastAsia="en-AU"/>
        </w:rPr>
      </w:pPr>
      <w:r>
        <w:rPr>
          <w:lang w:eastAsia="en-AU"/>
        </w:rPr>
        <w:t xml:space="preserve">GRADE assessments </w:t>
      </w:r>
      <w:r w:rsidR="00022920">
        <w:rPr>
          <w:lang w:eastAsia="en-AU"/>
        </w:rPr>
        <w:t xml:space="preserve">of the evidence were often downgraded based on risk of bias of included primary studies. </w:t>
      </w:r>
      <w:r w:rsidR="00D02FED">
        <w:rPr>
          <w:lang w:eastAsia="en-AU"/>
        </w:rPr>
        <w:t>The risk or bias or quality</w:t>
      </w:r>
      <w:r w:rsidR="00E73872">
        <w:rPr>
          <w:lang w:eastAsia="en-AU"/>
        </w:rPr>
        <w:t xml:space="preserve"> </w:t>
      </w:r>
      <w:r w:rsidR="000467FE">
        <w:rPr>
          <w:lang w:eastAsia="en-AU"/>
        </w:rPr>
        <w:t xml:space="preserve">of primary studies </w:t>
      </w:r>
      <w:r w:rsidR="00D02FED">
        <w:rPr>
          <w:lang w:eastAsia="en-AU"/>
        </w:rPr>
        <w:t>within</w:t>
      </w:r>
      <w:r w:rsidR="005373F1" w:rsidRPr="0054775B">
        <w:rPr>
          <w:lang w:eastAsia="en-AU"/>
        </w:rPr>
        <w:t xml:space="preserve"> reviews </w:t>
      </w:r>
      <w:r w:rsidR="00D02FED">
        <w:rPr>
          <w:lang w:eastAsia="en-AU"/>
        </w:rPr>
        <w:t xml:space="preserve">was </w:t>
      </w:r>
      <w:r w:rsidR="005373F1" w:rsidRPr="0054775B">
        <w:rPr>
          <w:lang w:eastAsia="en-AU"/>
        </w:rPr>
        <w:t xml:space="preserve">primarily </w:t>
      </w:r>
      <w:r w:rsidR="00D02FED">
        <w:rPr>
          <w:lang w:eastAsia="en-AU"/>
        </w:rPr>
        <w:t xml:space="preserve">assessed </w:t>
      </w:r>
      <w:r w:rsidR="005373F1" w:rsidRPr="0054775B">
        <w:rPr>
          <w:lang w:eastAsia="en-AU"/>
        </w:rPr>
        <w:t>us</w:t>
      </w:r>
      <w:r w:rsidR="00D02FED">
        <w:rPr>
          <w:lang w:eastAsia="en-AU"/>
        </w:rPr>
        <w:t>ing</w:t>
      </w:r>
      <w:r w:rsidR="005373F1" w:rsidRPr="0054775B">
        <w:rPr>
          <w:lang w:eastAsia="en-AU"/>
        </w:rPr>
        <w:t xml:space="preserve"> </w:t>
      </w:r>
      <w:r w:rsidR="003714C7" w:rsidRPr="0054775B">
        <w:rPr>
          <w:lang w:eastAsia="en-AU"/>
        </w:rPr>
        <w:t xml:space="preserve">the </w:t>
      </w:r>
      <w:r w:rsidR="005144FC" w:rsidRPr="0054775B">
        <w:rPr>
          <w:lang w:eastAsia="en-AU"/>
        </w:rPr>
        <w:t xml:space="preserve">Cochrane </w:t>
      </w:r>
      <w:r w:rsidR="00454CCD" w:rsidRPr="0054775B">
        <w:rPr>
          <w:lang w:eastAsia="en-AU"/>
        </w:rPr>
        <w:t>R</w:t>
      </w:r>
      <w:r w:rsidR="003714C7" w:rsidRPr="0054775B">
        <w:rPr>
          <w:lang w:eastAsia="en-AU"/>
        </w:rPr>
        <w:t xml:space="preserve">isk of </w:t>
      </w:r>
      <w:r w:rsidR="00454CCD" w:rsidRPr="0054775B">
        <w:rPr>
          <w:lang w:eastAsia="en-AU"/>
        </w:rPr>
        <w:t>B</w:t>
      </w:r>
      <w:r w:rsidR="003714C7" w:rsidRPr="0054775B">
        <w:rPr>
          <w:lang w:eastAsia="en-AU"/>
        </w:rPr>
        <w:t>ias</w:t>
      </w:r>
      <w:r w:rsidR="005144FC" w:rsidRPr="0054775B">
        <w:rPr>
          <w:lang w:eastAsia="en-AU"/>
        </w:rPr>
        <w:t xml:space="preserve"> tool or </w:t>
      </w:r>
      <w:r w:rsidR="003714C7" w:rsidRPr="0054775B">
        <w:rPr>
          <w:lang w:eastAsia="en-AU"/>
        </w:rPr>
        <w:t xml:space="preserve">the </w:t>
      </w:r>
      <w:r w:rsidR="005144FC" w:rsidRPr="0054775B">
        <w:rPr>
          <w:lang w:eastAsia="en-AU"/>
        </w:rPr>
        <w:t>Jadad scale.</w:t>
      </w:r>
      <w:r w:rsidR="00354422" w:rsidRPr="0054775B">
        <w:rPr>
          <w:lang w:eastAsia="en-AU"/>
        </w:rPr>
        <w:t xml:space="preserve"> </w:t>
      </w:r>
    </w:p>
    <w:p w14:paraId="1EA1D86E" w14:textId="34DA0DC1" w:rsidR="00560A0E" w:rsidRDefault="00560A0E" w:rsidP="007B0537">
      <w:pPr>
        <w:rPr>
          <w:lang w:eastAsia="en-AU"/>
        </w:rPr>
      </w:pPr>
      <w:r>
        <w:rPr>
          <w:lang w:eastAsia="en-AU"/>
        </w:rPr>
        <w:t xml:space="preserve">Downgrading for publication bias only occurred if the preferred review included an assessment of publication bias. </w:t>
      </w:r>
      <w:r w:rsidR="002B59A0">
        <w:rPr>
          <w:lang w:eastAsia="en-AU"/>
        </w:rPr>
        <w:t xml:space="preserve">Downgrading for inconsistency was rare. </w:t>
      </w:r>
    </w:p>
    <w:p w14:paraId="6E1E79C5" w14:textId="7DC9359C" w:rsidR="00CE1A22" w:rsidRDefault="00CE1A22" w:rsidP="007B0537">
      <w:pPr>
        <w:rPr>
          <w:lang w:eastAsia="en-AU"/>
        </w:rPr>
      </w:pPr>
      <w:r>
        <w:rPr>
          <w:lang w:eastAsia="en-AU"/>
        </w:rPr>
        <w:t xml:space="preserve">As noted </w:t>
      </w:r>
      <w:r w:rsidR="001B6226">
        <w:rPr>
          <w:lang w:eastAsia="en-AU"/>
        </w:rPr>
        <w:t>in the previous section</w:t>
      </w:r>
      <w:r>
        <w:rPr>
          <w:lang w:eastAsia="en-AU"/>
        </w:rPr>
        <w:t>,</w:t>
      </w:r>
      <w:r w:rsidR="00875092">
        <w:rPr>
          <w:lang w:eastAsia="en-AU"/>
        </w:rPr>
        <w:t xml:space="preserve"> </w:t>
      </w:r>
      <w:r w:rsidR="001B6226">
        <w:rPr>
          <w:lang w:eastAsia="en-AU"/>
        </w:rPr>
        <w:t xml:space="preserve">there was often </w:t>
      </w:r>
      <w:r w:rsidR="00875092">
        <w:rPr>
          <w:lang w:eastAsia="en-AU"/>
        </w:rPr>
        <w:t xml:space="preserve">mismatch between the PICO of the preferred reviews and the </w:t>
      </w:r>
      <w:r w:rsidR="00D74D5F">
        <w:rPr>
          <w:lang w:eastAsia="en-AU"/>
        </w:rPr>
        <w:t>objectives</w:t>
      </w:r>
      <w:r w:rsidR="001B6226">
        <w:rPr>
          <w:lang w:eastAsia="en-AU"/>
        </w:rPr>
        <w:t>, and therefore</w:t>
      </w:r>
      <w:r w:rsidR="00D74D5F">
        <w:rPr>
          <w:lang w:eastAsia="en-AU"/>
        </w:rPr>
        <w:t xml:space="preserve"> </w:t>
      </w:r>
      <w:r w:rsidR="005434C7">
        <w:rPr>
          <w:lang w:eastAsia="en-AU"/>
        </w:rPr>
        <w:t>evidence was often downgraded for indirectness.</w:t>
      </w:r>
      <w:r w:rsidR="009D6097">
        <w:rPr>
          <w:lang w:eastAsia="en-AU"/>
        </w:rPr>
        <w:t xml:space="preserve"> </w:t>
      </w:r>
    </w:p>
    <w:p w14:paraId="268240A8" w14:textId="39522E6E" w:rsidR="00565551" w:rsidRDefault="00565551" w:rsidP="007B0537">
      <w:pPr>
        <w:rPr>
          <w:lang w:eastAsia="en-AU"/>
        </w:rPr>
      </w:pPr>
      <w:r>
        <w:t>The certainty of evidence was generally downgraded for issues with imprecision related to sample size and wide confidence intervals that were compatible with both important benefit and little or no difference.</w:t>
      </w:r>
    </w:p>
    <w:p w14:paraId="71ACBB50" w14:textId="4282764E" w:rsidR="00A24D67" w:rsidRPr="0054775B" w:rsidRDefault="00A24D67" w:rsidP="00F9201F">
      <w:pPr>
        <w:pStyle w:val="2024HEADER2"/>
      </w:pPr>
      <w:bookmarkStart w:id="150" w:name="_Toc178347942"/>
      <w:bookmarkStart w:id="151" w:name="_Toc111119286"/>
      <w:bookmarkStart w:id="152" w:name="_Toc179379635"/>
      <w:bookmarkEnd w:id="150"/>
      <w:r w:rsidRPr="0054775B">
        <w:t xml:space="preserve">Potential biases in the </w:t>
      </w:r>
      <w:r w:rsidR="00373C9E" w:rsidRPr="0054775B">
        <w:t>over</w:t>
      </w:r>
      <w:r w:rsidRPr="0054775B">
        <w:t>view process</w:t>
      </w:r>
      <w:bookmarkEnd w:id="151"/>
      <w:bookmarkEnd w:id="152"/>
    </w:p>
    <w:p w14:paraId="0218302A" w14:textId="047A9649" w:rsidR="00DF4E6B" w:rsidRPr="0054775B" w:rsidRDefault="00D224F2" w:rsidP="009E6F7F">
      <w:r w:rsidRPr="0054775B">
        <w:t xml:space="preserve">There are several potential biases in the </w:t>
      </w:r>
      <w:r w:rsidR="00912F03" w:rsidRPr="0054775B">
        <w:t>overview</w:t>
      </w:r>
      <w:r w:rsidRPr="0054775B">
        <w:t xml:space="preserve"> process, </w:t>
      </w:r>
      <w:r w:rsidR="00533F44">
        <w:t>al</w:t>
      </w:r>
      <w:r w:rsidRPr="0054775B">
        <w:t xml:space="preserve">though </w:t>
      </w:r>
      <w:r w:rsidR="00C5431F" w:rsidRPr="0054775B">
        <w:t xml:space="preserve">steps </w:t>
      </w:r>
      <w:r w:rsidRPr="0054775B">
        <w:t xml:space="preserve">were taken </w:t>
      </w:r>
      <w:r w:rsidR="00C5431F" w:rsidRPr="0054775B">
        <w:t xml:space="preserve">to reduce </w:t>
      </w:r>
      <w:r w:rsidR="00DF4E6B" w:rsidRPr="0054775B">
        <w:t>bias</w:t>
      </w:r>
      <w:r w:rsidR="00C5431F" w:rsidRPr="0054775B">
        <w:t xml:space="preserve">. </w:t>
      </w:r>
      <w:r w:rsidR="00DF4E6B" w:rsidRPr="0054775B">
        <w:t xml:space="preserve">This </w:t>
      </w:r>
      <w:r w:rsidR="00912F03" w:rsidRPr="0054775B">
        <w:t>overview</w:t>
      </w:r>
      <w:r w:rsidR="00DF4E6B" w:rsidRPr="0054775B">
        <w:t xml:space="preserve"> was </w:t>
      </w:r>
      <w:r w:rsidR="005046FB" w:rsidRPr="0054775B">
        <w:t>completed</w:t>
      </w:r>
      <w:r w:rsidR="00DF4E6B" w:rsidRPr="0054775B">
        <w:t xml:space="preserve"> </w:t>
      </w:r>
      <w:r w:rsidR="005046FB" w:rsidRPr="0054775B">
        <w:t>in line with</w:t>
      </w:r>
      <w:r w:rsidR="00DF4E6B" w:rsidRPr="0054775B">
        <w:t xml:space="preserve"> a </w:t>
      </w:r>
      <w:r w:rsidR="005046FB" w:rsidRPr="0054775B">
        <w:t>pre-determined</w:t>
      </w:r>
      <w:r w:rsidR="00DF4E6B" w:rsidRPr="0054775B">
        <w:t xml:space="preserve"> protocol</w:t>
      </w:r>
      <w:r w:rsidR="005046FB" w:rsidRPr="0054775B">
        <w:t>; differences</w:t>
      </w:r>
      <w:r w:rsidR="00595695">
        <w:t xml:space="preserve"> between intended methods and completed methods are</w:t>
      </w:r>
      <w:r w:rsidR="005046FB" w:rsidRPr="0054775B">
        <w:t xml:space="preserve"> outlined </w:t>
      </w:r>
      <w:r w:rsidR="00350CF7" w:rsidRPr="0054775B">
        <w:t xml:space="preserve">in </w:t>
      </w:r>
      <w:r w:rsidR="002E74E8" w:rsidRPr="0054775B">
        <w:t xml:space="preserve">Appendix </w:t>
      </w:r>
      <w:r w:rsidR="00876D00">
        <w:t>G</w:t>
      </w:r>
      <w:r w:rsidR="009D16C8" w:rsidRPr="0054775B">
        <w:t xml:space="preserve">. </w:t>
      </w:r>
      <w:r w:rsidR="00F54592" w:rsidRPr="0054775B">
        <w:t xml:space="preserve">None of the </w:t>
      </w:r>
      <w:r w:rsidR="00912F03" w:rsidRPr="0054775B">
        <w:t>overview</w:t>
      </w:r>
      <w:r w:rsidR="00F54592" w:rsidRPr="0054775B">
        <w:t xml:space="preserve"> authors have conflicts of interest</w:t>
      </w:r>
      <w:r w:rsidR="001E35D4" w:rsidRPr="0054775B">
        <w:t xml:space="preserve">; none of the </w:t>
      </w:r>
      <w:r w:rsidR="00C27F10">
        <w:t xml:space="preserve">overview </w:t>
      </w:r>
      <w:r w:rsidR="001E35D4" w:rsidRPr="0054775B">
        <w:t xml:space="preserve">authors </w:t>
      </w:r>
      <w:r w:rsidR="00D5561E" w:rsidRPr="0054775B">
        <w:t>were involved</w:t>
      </w:r>
      <w:r w:rsidR="001E35D4" w:rsidRPr="0054775B">
        <w:t xml:space="preserve"> in any of the included reviews or primary studies.</w:t>
      </w:r>
      <w:r w:rsidR="00ED6759" w:rsidRPr="0054775B">
        <w:t xml:space="preserve"> </w:t>
      </w:r>
    </w:p>
    <w:p w14:paraId="07424C64" w14:textId="26AA2F26" w:rsidR="00595695" w:rsidRDefault="007954FB" w:rsidP="007954FB">
      <w:r w:rsidRPr="0054775B">
        <w:t>As this overview summaris</w:t>
      </w:r>
      <w:r w:rsidR="00533F44">
        <w:t xml:space="preserve">ed the available </w:t>
      </w:r>
      <w:r w:rsidRPr="0054775B">
        <w:t>data</w:t>
      </w:r>
      <w:r w:rsidR="00533F44">
        <w:t xml:space="preserve"> from preferred reviews</w:t>
      </w:r>
      <w:r w:rsidRPr="0054775B">
        <w:t xml:space="preserve">, we relied on accurate reporting </w:t>
      </w:r>
      <w:r w:rsidR="00BB41AB">
        <w:t xml:space="preserve">of </w:t>
      </w:r>
      <w:r w:rsidR="00595695">
        <w:t xml:space="preserve">information </w:t>
      </w:r>
      <w:r w:rsidRPr="0054775B">
        <w:t xml:space="preserve">in each of the reviews. </w:t>
      </w:r>
      <w:r w:rsidR="00595695" w:rsidRPr="0054775B">
        <w:t xml:space="preserve">Risk of bias assessments </w:t>
      </w:r>
      <w:r w:rsidR="00595695">
        <w:t xml:space="preserve">of primary studies </w:t>
      </w:r>
      <w:r w:rsidR="00595695" w:rsidRPr="0054775B">
        <w:t xml:space="preserve">were </w:t>
      </w:r>
      <w:r w:rsidR="00595695">
        <w:t xml:space="preserve">not independently completed by overview authors due to volume. Thus, across included reviews, </w:t>
      </w:r>
      <w:r w:rsidR="00595695">
        <w:lastRenderedPageBreak/>
        <w:t>different risk of bias assessment measures and procedures, as well as review author subjectivity, may introduce bias to the overview</w:t>
      </w:r>
      <w:r w:rsidR="00595695" w:rsidRPr="0054775B">
        <w:t xml:space="preserve">. </w:t>
      </w:r>
    </w:p>
    <w:p w14:paraId="72113713" w14:textId="68A8BB0F" w:rsidR="007954FB" w:rsidRPr="0054775B" w:rsidRDefault="00BB41AB" w:rsidP="007954FB">
      <w:r>
        <w:t xml:space="preserve">Interpretation of results was completed independently by overview authors. </w:t>
      </w:r>
      <w:r w:rsidR="007954FB" w:rsidRPr="0054775B">
        <w:t xml:space="preserve">Subjectivity of authors is a limitation of the </w:t>
      </w:r>
      <w:r w:rsidR="00595695">
        <w:t>over</w:t>
      </w:r>
      <w:r w:rsidR="007954FB" w:rsidRPr="0054775B">
        <w:t>view process</w:t>
      </w:r>
      <w:r w:rsidR="00595695">
        <w:t>, particularly in regard to choosing preferred reviews as there was not rigid criteria for selection (per protocol)</w:t>
      </w:r>
      <w:r w:rsidR="007954FB" w:rsidRPr="0054775B">
        <w:t xml:space="preserve">. </w:t>
      </w:r>
      <w:r w:rsidR="00595695">
        <w:t xml:space="preserve">Rationales for selection of reviews, interpretation of results and </w:t>
      </w:r>
      <w:r w:rsidR="0038663B">
        <w:t>GRADE judgements (</w:t>
      </w:r>
      <w:r w:rsidR="007954FB" w:rsidRPr="0054775B">
        <w:t>downgrading the certainty of evidence</w:t>
      </w:r>
      <w:r w:rsidR="0038663B">
        <w:t>)</w:t>
      </w:r>
      <w:r w:rsidR="007954FB" w:rsidRPr="0054775B">
        <w:t xml:space="preserve"> </w:t>
      </w:r>
      <w:r w:rsidR="00595695">
        <w:t>are</w:t>
      </w:r>
      <w:r w:rsidR="007954FB" w:rsidRPr="0054775B" w:rsidDel="00595695">
        <w:t xml:space="preserve"> </w:t>
      </w:r>
      <w:r w:rsidR="007954FB" w:rsidRPr="0054775B">
        <w:t>provided</w:t>
      </w:r>
      <w:r w:rsidR="00595695">
        <w:t xml:space="preserve"> for transparency</w:t>
      </w:r>
      <w:r w:rsidR="007954FB" w:rsidRPr="0054775B">
        <w:t xml:space="preserve">. </w:t>
      </w:r>
    </w:p>
    <w:p w14:paraId="3DD92E5E" w14:textId="329BB7DD" w:rsidR="00D61C4E" w:rsidRPr="0054775B" w:rsidRDefault="0058030D" w:rsidP="0058030D">
      <w:r w:rsidRPr="0054775B">
        <w:t xml:space="preserve">Many of the </w:t>
      </w:r>
      <w:r w:rsidR="00533F44">
        <w:t xml:space="preserve">identified </w:t>
      </w:r>
      <w:r w:rsidRPr="0054775B">
        <w:t xml:space="preserve">reviews </w:t>
      </w:r>
      <w:r w:rsidR="00533F44">
        <w:t>w</w:t>
      </w:r>
      <w:r w:rsidRPr="0054775B">
        <w:t>ere o</w:t>
      </w:r>
      <w:r w:rsidR="00D61C4E" w:rsidRPr="0054775B">
        <w:t>ngoing</w:t>
      </w:r>
      <w:r w:rsidRPr="0054775B">
        <w:t xml:space="preserve"> with published data not available</w:t>
      </w:r>
      <w:r w:rsidR="00737C19" w:rsidRPr="0054775B">
        <w:t xml:space="preserve">, </w:t>
      </w:r>
      <w:r w:rsidRPr="0054775B">
        <w:t>and therefore un</w:t>
      </w:r>
      <w:r w:rsidR="00737C19" w:rsidRPr="0054775B">
        <w:t>able to be included</w:t>
      </w:r>
      <w:r w:rsidRPr="0054775B">
        <w:t xml:space="preserve"> in the </w:t>
      </w:r>
      <w:r w:rsidR="00912F03" w:rsidRPr="0054775B">
        <w:t>overview</w:t>
      </w:r>
      <w:r w:rsidRPr="0054775B">
        <w:t>. There is also potential that</w:t>
      </w:r>
      <w:r w:rsidR="006F2D77" w:rsidRPr="0054775B">
        <w:t xml:space="preserve"> search or eligibility </w:t>
      </w:r>
      <w:r w:rsidR="005758A6" w:rsidRPr="0054775B">
        <w:t xml:space="preserve">limitations </w:t>
      </w:r>
      <w:r w:rsidR="006F2D77" w:rsidRPr="0054775B">
        <w:t xml:space="preserve">for practicality reasons (such as language restrictions and not searching grey literature) may mean that information has been </w:t>
      </w:r>
      <w:r w:rsidR="00D61C4E" w:rsidRPr="0054775B">
        <w:t>missed</w:t>
      </w:r>
      <w:r w:rsidR="006F2D77" w:rsidRPr="0054775B">
        <w:t>.</w:t>
      </w:r>
    </w:p>
    <w:p w14:paraId="130AA923" w14:textId="551F985E" w:rsidR="00A24D67" w:rsidRPr="0054775B" w:rsidRDefault="00A24D67" w:rsidP="00F9201F">
      <w:pPr>
        <w:pStyle w:val="2024HEADER2"/>
      </w:pPr>
      <w:bookmarkStart w:id="153" w:name="_Toc111119287"/>
      <w:bookmarkStart w:id="154" w:name="_Toc179379636"/>
      <w:r w:rsidRPr="0054775B">
        <w:t>Agreements and disagreements with other studies or reviews</w:t>
      </w:r>
      <w:bookmarkEnd w:id="153"/>
      <w:bookmarkEnd w:id="154"/>
    </w:p>
    <w:p w14:paraId="454B80EB" w14:textId="309B2044" w:rsidR="00746874" w:rsidRPr="0054775B" w:rsidRDefault="00CE1249" w:rsidP="009E6F7F">
      <w:r>
        <w:rPr>
          <w:lang w:eastAsia="en-AU"/>
        </w:rPr>
        <w:t xml:space="preserve">This review is a companion review to </w:t>
      </w:r>
      <w:r w:rsidRPr="00A7166C">
        <w:rPr>
          <w:lang w:val="en-GB"/>
        </w:rPr>
        <w:t>Naturopathy</w:t>
      </w:r>
      <w:r w:rsidR="003B4437">
        <w:rPr>
          <w:lang w:val="en-GB"/>
        </w:rPr>
        <w:t xml:space="preserve"> review</w:t>
      </w:r>
      <w:r w:rsidRPr="00A7166C">
        <w:rPr>
          <w:lang w:val="en-GB"/>
        </w:rPr>
        <w:t xml:space="preserve"> A (PROSPERO: </w:t>
      </w:r>
      <w:r w:rsidRPr="00A7166C">
        <w:t>CRD42021266381)</w:t>
      </w:r>
      <w:r w:rsidRPr="00A7166C">
        <w:rPr>
          <w:lang w:val="en-GB"/>
        </w:rPr>
        <w:t xml:space="preserve">, which considers the evidence on </w:t>
      </w:r>
      <w:r w:rsidR="00742AAF">
        <w:rPr>
          <w:lang w:val="en-GB"/>
        </w:rPr>
        <w:t>whole-system</w:t>
      </w:r>
      <w:r w:rsidRPr="00A7166C">
        <w:rPr>
          <w:lang w:val="en-GB"/>
        </w:rPr>
        <w:t xml:space="preserve"> naturopathy</w:t>
      </w:r>
      <w:r>
        <w:rPr>
          <w:lang w:val="en-GB"/>
        </w:rPr>
        <w:t>.</w:t>
      </w:r>
      <w:r w:rsidR="00CD50F1">
        <w:rPr>
          <w:lang w:val="en-GB"/>
        </w:rPr>
        <w:t xml:space="preserve"> </w:t>
      </w:r>
      <w:r w:rsidR="00D3739D">
        <w:t xml:space="preserve">The review of whole-system naturopathy considered conditions for which eligible studies were available. The included populations/conditions were cancer, type 2 diabetes, polycystic ovarian syndrome, overweight and obesity, anxiety, multiple sclerosis, cardiovascular disease, allergic rhinitis, low back pain, rotator cuff tendinitis, menopausal symptoms, and cardiovascular disease risk. </w:t>
      </w:r>
      <w:r w:rsidR="00CD50F1">
        <w:rPr>
          <w:lang w:val="en-GB"/>
        </w:rPr>
        <w:t xml:space="preserve">The </w:t>
      </w:r>
      <w:r w:rsidR="007F38C3">
        <w:t xml:space="preserve">results of that review indicate that naturopathy may improve some conditions and outcomes and not others. However, </w:t>
      </w:r>
      <w:r w:rsidR="003A6FDF">
        <w:t xml:space="preserve">for most of the populations considered there was very low </w:t>
      </w:r>
      <w:r w:rsidR="003A6FDF" w:rsidDel="00CD7C00">
        <w:t>certainty</w:t>
      </w:r>
      <w:r w:rsidR="00CD7C00">
        <w:t>,</w:t>
      </w:r>
      <w:r w:rsidR="003A6FDF">
        <w:t xml:space="preserve"> </w:t>
      </w:r>
      <w:r w:rsidR="00905B16">
        <w:t xml:space="preserve">so an interpretation was not made, </w:t>
      </w:r>
      <w:r w:rsidR="003A6FDF">
        <w:t xml:space="preserve">and </w:t>
      </w:r>
      <w:r w:rsidR="008800E1">
        <w:t xml:space="preserve">none of the conditions for which there was </w:t>
      </w:r>
      <w:r w:rsidR="003A6FDF">
        <w:t>low certainty had comparable conditions assessed in th</w:t>
      </w:r>
      <w:r w:rsidR="003B1331">
        <w:t>e current</w:t>
      </w:r>
      <w:r w:rsidR="003A6FDF">
        <w:t xml:space="preserve"> </w:t>
      </w:r>
      <w:r w:rsidR="003B1331">
        <w:t>overview</w:t>
      </w:r>
      <w:r w:rsidR="003A6FDF">
        <w:t>.</w:t>
      </w:r>
      <w:r w:rsidR="00905B16">
        <w:t xml:space="preserve"> </w:t>
      </w:r>
      <w:r w:rsidR="00905B16" w:rsidDel="00933313">
        <w:t>Thus</w:t>
      </w:r>
      <w:r w:rsidR="00933313">
        <w:t>,</w:t>
      </w:r>
      <w:r w:rsidR="00905B16">
        <w:t xml:space="preserve"> it is not possible to assess consistency of results across the </w:t>
      </w:r>
      <w:r w:rsidR="003913A1">
        <w:t xml:space="preserve">companion </w:t>
      </w:r>
      <w:r w:rsidR="00905B16">
        <w:t>reviews.</w:t>
      </w:r>
      <w:r w:rsidR="003A6FDF">
        <w:t xml:space="preserve"> </w:t>
      </w:r>
      <w:r w:rsidR="00B74F4E">
        <w:t xml:space="preserve">It </w:t>
      </w:r>
      <w:r w:rsidR="004F694F">
        <w:t>was considered</w:t>
      </w:r>
      <w:r w:rsidR="00B74F4E">
        <w:t xml:space="preserve"> likely that the available evidence for whole-system naturopathic treatment </w:t>
      </w:r>
      <w:r w:rsidR="004F694F">
        <w:t>was</w:t>
      </w:r>
      <w:r w:rsidR="00B74F4E">
        <w:t xml:space="preserve"> limited due to it being a system of health care and not an individual treatment. </w:t>
      </w:r>
      <w:r w:rsidR="00D76C02">
        <w:t>Th</w:t>
      </w:r>
      <w:r w:rsidR="004F694F">
        <w:t xml:space="preserve">e </w:t>
      </w:r>
      <w:r w:rsidR="00D76C02">
        <w:t>purpose of the current overview on nutritional supplements</w:t>
      </w:r>
      <w:r w:rsidR="004F694F">
        <w:t xml:space="preserve"> was therefore to provide a companion review for</w:t>
      </w:r>
      <w:r w:rsidR="00983D06">
        <w:t xml:space="preserve"> conditions </w:t>
      </w:r>
      <w:r w:rsidR="00BC6753">
        <w:t xml:space="preserve">for </w:t>
      </w:r>
      <w:r w:rsidR="00983D06">
        <w:t>which Australians commonly see naturopaths</w:t>
      </w:r>
      <w:r w:rsidR="003913A1">
        <w:t>,</w:t>
      </w:r>
      <w:r w:rsidR="00983D06">
        <w:t xml:space="preserve"> and the “tools of the trade” (supplements) which naturopaths commonly use for those conditions</w:t>
      </w:r>
      <w:r w:rsidR="00AD147A">
        <w:t>.</w:t>
      </w:r>
      <w:r w:rsidR="00CC6281">
        <w:t xml:space="preserve"> A second companion review on “tools or the trade” examines western herbal medicines. </w:t>
      </w:r>
    </w:p>
    <w:p w14:paraId="30A7A342" w14:textId="146BE58E" w:rsidR="00746874" w:rsidRPr="0054775B" w:rsidRDefault="00746874" w:rsidP="00746874">
      <w:pPr>
        <w:pStyle w:val="2024HEADER2"/>
      </w:pPr>
      <w:bookmarkStart w:id="155" w:name="_Toc179379637"/>
      <w:r w:rsidRPr="0054775B">
        <w:t>Limitations</w:t>
      </w:r>
      <w:bookmarkEnd w:id="155"/>
    </w:p>
    <w:p w14:paraId="564A49FA" w14:textId="1F3DEA6F" w:rsidR="00746874" w:rsidRPr="0054775B" w:rsidRDefault="008602FA" w:rsidP="00140CBF">
      <w:pPr>
        <w:pStyle w:val="2024HEADER3"/>
        <w:rPr>
          <w:rFonts w:ascii="Aptos" w:hAnsi="Aptos"/>
        </w:rPr>
      </w:pPr>
      <w:r w:rsidRPr="0054775B">
        <w:rPr>
          <w:rFonts w:ascii="Aptos" w:hAnsi="Aptos"/>
        </w:rPr>
        <w:t xml:space="preserve">At the </w:t>
      </w:r>
      <w:r w:rsidR="00AB6D40" w:rsidRPr="0054775B">
        <w:rPr>
          <w:rFonts w:ascii="Aptos" w:hAnsi="Aptos"/>
        </w:rPr>
        <w:t xml:space="preserve">review and primary study </w:t>
      </w:r>
      <w:r w:rsidRPr="0054775B">
        <w:rPr>
          <w:rFonts w:ascii="Aptos" w:hAnsi="Aptos"/>
        </w:rPr>
        <w:t>level</w:t>
      </w:r>
    </w:p>
    <w:p w14:paraId="6032B91A" w14:textId="1B276971" w:rsidR="00085FAA" w:rsidRDefault="00CE4DDB" w:rsidP="009E6F7F">
      <w:pPr>
        <w:rPr>
          <w:lang w:eastAsia="en-AU"/>
        </w:rPr>
      </w:pPr>
      <w:r w:rsidRPr="0054775B">
        <w:t>There were some limitations in the included systematic reviews</w:t>
      </w:r>
      <w:r w:rsidR="00D013DF" w:rsidRPr="0054775B">
        <w:t xml:space="preserve"> and their respective primary studies which contributed to the findings of this overview. </w:t>
      </w:r>
      <w:r w:rsidR="00062042" w:rsidRPr="0054775B">
        <w:t>These</w:t>
      </w:r>
      <w:r w:rsidR="009B44EA" w:rsidRPr="0054775B">
        <w:t xml:space="preserve"> are discussed above in Section 5.3.</w:t>
      </w:r>
      <w:r w:rsidR="00AB6D40" w:rsidRPr="0054775B">
        <w:t xml:space="preserve"> </w:t>
      </w:r>
      <w:r w:rsidR="00042487" w:rsidRPr="0054775B">
        <w:t>However, by</w:t>
      </w:r>
      <w:r w:rsidR="00042487" w:rsidRPr="0054775B" w:rsidDel="00800C81">
        <w:t xml:space="preserve"> </w:t>
      </w:r>
      <w:r w:rsidR="00800C81">
        <w:t>reporting</w:t>
      </w:r>
      <w:r w:rsidR="00800C81" w:rsidRPr="0054775B">
        <w:t xml:space="preserve"> </w:t>
      </w:r>
      <w:r w:rsidR="00800C81">
        <w:t xml:space="preserve">results from </w:t>
      </w:r>
      <w:r w:rsidR="00042487" w:rsidRPr="0054775B">
        <w:t xml:space="preserve">the most relevant and comprehensive reviews with the lowest risk of bias, many potential limitations were minimised. </w:t>
      </w:r>
      <w:r w:rsidR="00E02E3D">
        <w:rPr>
          <w:lang w:eastAsia="en-AU"/>
        </w:rPr>
        <w:t>M</w:t>
      </w:r>
      <w:r w:rsidR="00E02E3D" w:rsidRPr="0054775B">
        <w:rPr>
          <w:lang w:eastAsia="en-AU"/>
        </w:rPr>
        <w:t xml:space="preserve">any reviews did not </w:t>
      </w:r>
      <w:r w:rsidR="006869F7" w:rsidRPr="0054775B">
        <w:rPr>
          <w:lang w:eastAsia="en-AU"/>
        </w:rPr>
        <w:t xml:space="preserve">attempt </w:t>
      </w:r>
      <w:r w:rsidR="00E02E3D" w:rsidRPr="0054775B">
        <w:rPr>
          <w:lang w:eastAsia="en-AU"/>
        </w:rPr>
        <w:t>(or did not report</w:t>
      </w:r>
      <w:r w:rsidR="006869F7">
        <w:rPr>
          <w:lang w:eastAsia="en-AU"/>
        </w:rPr>
        <w:t xml:space="preserve"> attempts</w:t>
      </w:r>
      <w:r w:rsidR="00E02E3D" w:rsidRPr="0054775B">
        <w:rPr>
          <w:lang w:eastAsia="en-AU"/>
        </w:rPr>
        <w:t xml:space="preserve">) to minimise error in screening, extraction, and </w:t>
      </w:r>
      <w:r w:rsidR="007C78C3">
        <w:rPr>
          <w:lang w:eastAsia="en-AU"/>
        </w:rPr>
        <w:t>risk of bias</w:t>
      </w:r>
      <w:r w:rsidR="007C78C3" w:rsidRPr="0054775B">
        <w:rPr>
          <w:lang w:eastAsia="en-AU"/>
        </w:rPr>
        <w:t xml:space="preserve"> </w:t>
      </w:r>
      <w:r w:rsidR="00E02E3D" w:rsidRPr="0054775B">
        <w:rPr>
          <w:lang w:eastAsia="en-AU"/>
        </w:rPr>
        <w:t>appraisal</w:t>
      </w:r>
      <w:r w:rsidR="00E02E3D">
        <w:rPr>
          <w:lang w:eastAsia="en-AU"/>
        </w:rPr>
        <w:t>; where this could not be dealt with in choice of review, it was considered in GRADE assessments</w:t>
      </w:r>
      <w:r w:rsidR="00E02E3D" w:rsidRPr="0054775B">
        <w:rPr>
          <w:lang w:eastAsia="en-AU"/>
        </w:rPr>
        <w:t xml:space="preserve">. </w:t>
      </w:r>
      <w:r w:rsidR="00042487" w:rsidRPr="0054775B">
        <w:t>Some reviews only searched English databases or included English studies</w:t>
      </w:r>
      <w:r w:rsidR="00FA5017" w:rsidRPr="0054775B">
        <w:t>,</w:t>
      </w:r>
      <w:r w:rsidR="00717195">
        <w:t xml:space="preserve"> </w:t>
      </w:r>
      <w:r w:rsidR="00533F44">
        <w:t>al</w:t>
      </w:r>
      <w:r w:rsidR="00FA5017" w:rsidRPr="0054775B">
        <w:t>though this was taken into consideration during ROBIS assessments</w:t>
      </w:r>
      <w:r w:rsidR="00042487" w:rsidRPr="0054775B">
        <w:t xml:space="preserve">. </w:t>
      </w:r>
    </w:p>
    <w:p w14:paraId="0EDDC239" w14:textId="461402A0" w:rsidR="00B2315F" w:rsidRDefault="00042487" w:rsidP="009E6F7F">
      <w:r w:rsidRPr="0054775B">
        <w:t xml:space="preserve">In addition, </w:t>
      </w:r>
      <w:r w:rsidR="00FA5017" w:rsidRPr="0054775B">
        <w:t xml:space="preserve">some of contributing reviews were </w:t>
      </w:r>
      <w:r w:rsidR="00783B9B" w:rsidRPr="0054775B">
        <w:t xml:space="preserve">dated, which may mean more recent primary studies which could influence results were not considered. </w:t>
      </w:r>
      <w:r w:rsidR="00373C9E" w:rsidRPr="0054775B">
        <w:t xml:space="preserve">Many ongoing reviews were identified which had not yet been published and data </w:t>
      </w:r>
      <w:r w:rsidR="00D618FA">
        <w:t>were</w:t>
      </w:r>
      <w:r w:rsidR="00D618FA" w:rsidRPr="0054775B">
        <w:t xml:space="preserve"> </w:t>
      </w:r>
      <w:r w:rsidR="00373C9E" w:rsidRPr="0054775B">
        <w:t xml:space="preserve">not available. These may provide more updated </w:t>
      </w:r>
      <w:r w:rsidR="00373C9E" w:rsidRPr="0054775B">
        <w:lastRenderedPageBreak/>
        <w:t xml:space="preserve">findings once published. </w:t>
      </w:r>
      <w:r w:rsidR="00783B9B" w:rsidRPr="0054775B">
        <w:t>For many of population</w:t>
      </w:r>
      <w:r w:rsidR="00436DD1">
        <w:t>-supplement pair</w:t>
      </w:r>
      <w:r w:rsidR="00783B9B" w:rsidRPr="0054775B">
        <w:t>s, only a few studies exist (of varying quality, and usually with small sample sizes), so evidence was sparse</w:t>
      </w:r>
      <w:r w:rsidR="007A38F0" w:rsidRPr="0054775B">
        <w:t>.</w:t>
      </w:r>
    </w:p>
    <w:p w14:paraId="27FF525E" w14:textId="7EA8E670" w:rsidR="008602FA" w:rsidRPr="0054775B" w:rsidRDefault="008602FA" w:rsidP="00E81521">
      <w:pPr>
        <w:pStyle w:val="2024HEADER3"/>
        <w:rPr>
          <w:rFonts w:ascii="Aptos" w:hAnsi="Aptos"/>
        </w:rPr>
      </w:pPr>
      <w:r w:rsidRPr="0054775B">
        <w:rPr>
          <w:rFonts w:ascii="Aptos" w:hAnsi="Aptos"/>
        </w:rPr>
        <w:t>At the overview level</w:t>
      </w:r>
    </w:p>
    <w:p w14:paraId="7D34FC27" w14:textId="6CCDC3FC" w:rsidR="007A38F0" w:rsidRPr="0054775B" w:rsidRDefault="00140CBF" w:rsidP="00CE4DDB">
      <w:r w:rsidRPr="0054775B">
        <w:t xml:space="preserve">This </w:t>
      </w:r>
      <w:r w:rsidR="00783B9B" w:rsidRPr="0054775B">
        <w:t xml:space="preserve">overview </w:t>
      </w:r>
      <w:r w:rsidRPr="0054775B">
        <w:t xml:space="preserve">was limited to assessment of the evidence for certain conditions and groups of people to inform the Australian Government about health policy decisions for private health insurance rebates. This </w:t>
      </w:r>
      <w:r w:rsidR="00783B9B" w:rsidRPr="0054775B">
        <w:t xml:space="preserve">overview </w:t>
      </w:r>
      <w:r w:rsidRPr="0054775B">
        <w:t xml:space="preserve">was not designed to assess all the reasons that people use supplements within naturopathic practice, or the reasons naturopaths prescribe supplements and was not intended to inform individual choices about using supplements. </w:t>
      </w:r>
    </w:p>
    <w:p w14:paraId="53C286E7" w14:textId="3B75CF06" w:rsidR="00650337" w:rsidRDefault="00650337" w:rsidP="00CE4DDB">
      <w:r>
        <w:t>Interpretations of effect size were conducted with reference to minimal clinically important differences</w:t>
      </w:r>
      <w:r w:rsidR="00F44520">
        <w:t xml:space="preserve"> (MCID)</w:t>
      </w:r>
      <w:r>
        <w:t xml:space="preserve"> of outcomes sourced from the literature. However, the overview authors do not have clinical expertise in the </w:t>
      </w:r>
      <w:r w:rsidR="00200E3E">
        <w:t xml:space="preserve">specific </w:t>
      </w:r>
      <w:r>
        <w:t>population/conditions of interest</w:t>
      </w:r>
      <w:r w:rsidR="005C1CFD">
        <w:t xml:space="preserve">. Given there are multiple methods of </w:t>
      </w:r>
      <w:r w:rsidR="00AD1810">
        <w:t xml:space="preserve">determining MCIDs, </w:t>
      </w:r>
      <w:r w:rsidR="00D066FE">
        <w:t xml:space="preserve">clinical experts </w:t>
      </w:r>
      <w:r w:rsidR="00AD1810">
        <w:t xml:space="preserve">may </w:t>
      </w:r>
      <w:r w:rsidR="00E941DE">
        <w:t>consider</w:t>
      </w:r>
      <w:r w:rsidR="00AD1810">
        <w:t xml:space="preserve"> different values</w:t>
      </w:r>
      <w:r w:rsidR="00E941DE">
        <w:t xml:space="preserve"> more appropriate</w:t>
      </w:r>
      <w:r w:rsidR="00AD1810">
        <w:t>.</w:t>
      </w:r>
    </w:p>
    <w:p w14:paraId="722B4653" w14:textId="5CCA8767" w:rsidR="00502048" w:rsidRPr="0054775B" w:rsidRDefault="00502048" w:rsidP="00502048">
      <w:r>
        <w:t>In some cases, the most relevant and comprehensive review did not report sufficient results required for a Summary of Findings table, or key information was missing. Sometimes this was due to issues at the primary study level, which would not have been addressed with re</w:t>
      </w:r>
      <w:r w:rsidR="00667991">
        <w:t>-</w:t>
      </w:r>
      <w:r>
        <w:t>analysis, though sometimes this was at the review level, where re</w:t>
      </w:r>
      <w:r w:rsidR="00667991">
        <w:t>-</w:t>
      </w:r>
      <w:r>
        <w:t xml:space="preserve">analysis during the overview may have been beneficial. This </w:t>
      </w:r>
      <w:r w:rsidR="00937B97">
        <w:t>reflects</w:t>
      </w:r>
      <w:r>
        <w:t xml:space="preserve"> a limitation </w:t>
      </w:r>
      <w:r w:rsidR="00937B97">
        <w:t>of</w:t>
      </w:r>
      <w:r>
        <w:t xml:space="preserve"> the</w:t>
      </w:r>
      <w:r w:rsidR="00937B97">
        <w:t xml:space="preserve"> chosen</w:t>
      </w:r>
      <w:r>
        <w:t xml:space="preserve"> overview procedures.</w:t>
      </w:r>
    </w:p>
    <w:p w14:paraId="03F7DE25" w14:textId="77777777" w:rsidR="00F54D73" w:rsidRDefault="00140CBF" w:rsidP="00CE4DDB">
      <w:r w:rsidRPr="0054775B">
        <w:t>The outcomes assessed were limited to those prioritised by NTWC. For many population-intervention pairs</w:t>
      </w:r>
      <w:r w:rsidR="00783B9B" w:rsidRPr="0054775B">
        <w:t>,</w:t>
      </w:r>
      <w:r w:rsidRPr="0054775B">
        <w:t xml:space="preserve"> evidence was only available for a few of the outcomes. </w:t>
      </w:r>
    </w:p>
    <w:p w14:paraId="3B666249" w14:textId="3D5BFF6D" w:rsidR="00EA29C9" w:rsidRPr="0054775B" w:rsidRDefault="00EA29C9" w:rsidP="00CE4DDB">
      <w:r w:rsidRPr="0054775B">
        <w:t xml:space="preserve">It was out of scope to consider </w:t>
      </w:r>
      <w:r w:rsidR="00734BFF" w:rsidRPr="0054775B">
        <w:t>safety</w:t>
      </w:r>
      <w:r w:rsidRPr="0054775B">
        <w:t xml:space="preserve"> </w:t>
      </w:r>
      <w:r w:rsidR="00F54D73">
        <w:t xml:space="preserve">or cost-effectiveness </w:t>
      </w:r>
      <w:r w:rsidRPr="0054775B">
        <w:t>in this review</w:t>
      </w:r>
      <w:r w:rsidR="00533F44">
        <w:t>;</w:t>
      </w:r>
      <w:r w:rsidRPr="0054775B">
        <w:t xml:space="preserve"> therefore no information is included about </w:t>
      </w:r>
      <w:r w:rsidR="00F54D73">
        <w:t>these</w:t>
      </w:r>
      <w:r w:rsidR="00734BFF" w:rsidRPr="0054775B">
        <w:t>.</w:t>
      </w:r>
      <w:r w:rsidRPr="0054775B">
        <w:t xml:space="preserve"> </w:t>
      </w:r>
    </w:p>
    <w:p w14:paraId="62B54D21" w14:textId="79B1A320" w:rsidR="001334B9" w:rsidRDefault="001334B9" w:rsidP="00CE4DDB">
      <w:pPr>
        <w:rPr>
          <w:lang w:eastAsia="en-AU"/>
        </w:rPr>
      </w:pPr>
      <w:r w:rsidRPr="0054775B">
        <w:rPr>
          <w:lang w:eastAsia="en-AU"/>
        </w:rPr>
        <w:t xml:space="preserve">Both probiotics and antioxidants have many different chemical formulas/strains, but as per the protocol these comparisons were out of scope for the current review. Future work evaluating the most efficacious combinations of ingredients for key outcomes in specific conditions is encouraged. </w:t>
      </w:r>
    </w:p>
    <w:p w14:paraId="0E0E3451" w14:textId="380DC929" w:rsidR="00A24D67" w:rsidRPr="0054775B" w:rsidRDefault="00A24D67" w:rsidP="00703071">
      <w:pPr>
        <w:pStyle w:val="2024HEADER1"/>
      </w:pPr>
      <w:bookmarkStart w:id="156" w:name="_Toc172844441"/>
      <w:bookmarkStart w:id="157" w:name="_Toc161657186"/>
      <w:bookmarkStart w:id="158" w:name="_Toc161656437"/>
      <w:bookmarkStart w:id="159" w:name="_Toc161657187"/>
      <w:bookmarkStart w:id="160" w:name="_Toc161656438"/>
      <w:bookmarkStart w:id="161" w:name="_Toc161657188"/>
      <w:bookmarkStart w:id="162" w:name="_Toc161656439"/>
      <w:bookmarkStart w:id="163" w:name="_Toc161657189"/>
      <w:bookmarkStart w:id="164" w:name="_Toc161656440"/>
      <w:bookmarkStart w:id="165" w:name="_Toc161657190"/>
      <w:bookmarkStart w:id="166" w:name="_Toc161656441"/>
      <w:bookmarkStart w:id="167" w:name="_Toc161657191"/>
      <w:bookmarkStart w:id="168" w:name="_Toc161656442"/>
      <w:bookmarkStart w:id="169" w:name="_Toc161657192"/>
      <w:bookmarkStart w:id="170" w:name="_Toc161656443"/>
      <w:bookmarkStart w:id="171" w:name="_Toc161657193"/>
      <w:bookmarkStart w:id="172" w:name="_Toc161656444"/>
      <w:bookmarkStart w:id="173" w:name="_Toc161657194"/>
      <w:bookmarkStart w:id="174" w:name="_Toc161656445"/>
      <w:bookmarkStart w:id="175" w:name="_Toc161657195"/>
      <w:bookmarkStart w:id="176" w:name="_Toc161656446"/>
      <w:bookmarkStart w:id="177" w:name="_Toc161657196"/>
      <w:bookmarkStart w:id="178" w:name="_Toc161656447"/>
      <w:bookmarkStart w:id="179" w:name="_Toc161657197"/>
      <w:bookmarkStart w:id="180" w:name="_Toc161656448"/>
      <w:bookmarkStart w:id="181" w:name="_Toc161657198"/>
      <w:bookmarkStart w:id="182" w:name="_Toc161656449"/>
      <w:bookmarkStart w:id="183" w:name="_Toc161657199"/>
      <w:bookmarkStart w:id="184" w:name="_Toc161656450"/>
      <w:bookmarkStart w:id="185" w:name="_Toc161657200"/>
      <w:bookmarkStart w:id="186" w:name="_Toc161656451"/>
      <w:bookmarkStart w:id="187" w:name="_Toc161657201"/>
      <w:bookmarkStart w:id="188" w:name="_Toc161656452"/>
      <w:bookmarkStart w:id="189" w:name="_Toc161657202"/>
      <w:bookmarkStart w:id="190" w:name="_Toc161656453"/>
      <w:bookmarkStart w:id="191" w:name="_Toc161657203"/>
      <w:bookmarkStart w:id="192" w:name="_Toc111119289"/>
      <w:bookmarkStart w:id="193" w:name="_Toc179379638"/>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r w:rsidRPr="0054775B">
        <w:t xml:space="preserve">Authors’ </w:t>
      </w:r>
      <w:bookmarkEnd w:id="192"/>
      <w:r w:rsidR="00001600" w:rsidRPr="0054775B">
        <w:t>c</w:t>
      </w:r>
      <w:r w:rsidRPr="0054775B">
        <w:t>onclusions</w:t>
      </w:r>
      <w:bookmarkEnd w:id="193"/>
    </w:p>
    <w:p w14:paraId="47D981F0" w14:textId="72C6D872" w:rsidR="009556BA" w:rsidRPr="0054775B" w:rsidRDefault="009556BA" w:rsidP="00D86FC9">
      <w:pPr>
        <w:pStyle w:val="BodyText"/>
        <w:rPr>
          <w:rFonts w:ascii="Aptos" w:hAnsi="Aptos"/>
        </w:rPr>
      </w:pPr>
      <w:r w:rsidRPr="0054775B">
        <w:rPr>
          <w:rFonts w:ascii="Aptos" w:hAnsi="Aptos"/>
        </w:rPr>
        <w:t xml:space="preserve">This report was commissioned by the Australian Government as part of the Natural Therapies Review, with findings intended to inform decisions relating to whether private health insurance cover should be reinstated to </w:t>
      </w:r>
      <w:r w:rsidR="00D86FC9" w:rsidRPr="0054775B">
        <w:rPr>
          <w:rFonts w:ascii="Aptos" w:hAnsi="Aptos"/>
        </w:rPr>
        <w:t>naturopathy</w:t>
      </w:r>
      <w:r w:rsidRPr="0054775B">
        <w:rPr>
          <w:rFonts w:ascii="Aptos" w:hAnsi="Aptos"/>
        </w:rPr>
        <w:t>. As such, specific recommendations are not provided.</w:t>
      </w:r>
    </w:p>
    <w:p w14:paraId="2A4DACB9" w14:textId="66FF93C8" w:rsidR="00354FAD" w:rsidRDefault="00A24D67" w:rsidP="00092FEF">
      <w:pPr>
        <w:rPr>
          <w:lang w:eastAsia="en-AU"/>
        </w:rPr>
      </w:pPr>
      <w:r w:rsidRPr="0054775B">
        <w:rPr>
          <w:lang w:eastAsia="en-AU"/>
        </w:rPr>
        <w:t>The evidence</w:t>
      </w:r>
      <w:r w:rsidR="00550D7D" w:rsidRPr="0054775B">
        <w:rPr>
          <w:lang w:eastAsia="en-AU"/>
        </w:rPr>
        <w:t xml:space="preserve"> provided</w:t>
      </w:r>
      <w:r w:rsidRPr="0054775B">
        <w:rPr>
          <w:lang w:eastAsia="en-AU"/>
        </w:rPr>
        <w:t xml:space="preserve"> </w:t>
      </w:r>
      <w:r w:rsidR="00354FAD" w:rsidRPr="0054775B">
        <w:rPr>
          <w:lang w:eastAsia="en-AU"/>
        </w:rPr>
        <w:t xml:space="preserve">moderate certainty that some nutritional supplements can improve </w:t>
      </w:r>
      <w:r w:rsidR="00027FA8" w:rsidRPr="0054775B">
        <w:rPr>
          <w:lang w:eastAsia="en-AU"/>
        </w:rPr>
        <w:t xml:space="preserve">some </w:t>
      </w:r>
      <w:r w:rsidR="00354FAD" w:rsidRPr="0054775B">
        <w:rPr>
          <w:lang w:eastAsia="en-AU"/>
        </w:rPr>
        <w:t xml:space="preserve">key health outcomes in specific conditions, specifically, </w:t>
      </w:r>
      <w:r w:rsidR="00092FEF" w:rsidRPr="0054775B">
        <w:rPr>
          <w:lang w:eastAsia="en-AU"/>
        </w:rPr>
        <w:t>probiotics for irritable bowel syndrome (IBS); antioxidants (specifically CoQ10 and alpha-lipoic acid) for fatigue (general) (including myalgic encephalomyelitis and Chronic Fatigue Syndrome)</w:t>
      </w:r>
      <w:r w:rsidR="00800C81">
        <w:rPr>
          <w:lang w:eastAsia="en-AU"/>
        </w:rPr>
        <w:t xml:space="preserve"> and antioxidants for people at risk of Type II Diabetes</w:t>
      </w:r>
      <w:r w:rsidR="00354FAD" w:rsidRPr="0054775B">
        <w:rPr>
          <w:lang w:eastAsia="en-AU"/>
        </w:rPr>
        <w:t xml:space="preserve">. There is </w:t>
      </w:r>
      <w:r w:rsidR="00092FEF" w:rsidRPr="0054775B">
        <w:rPr>
          <w:lang w:eastAsia="en-AU"/>
        </w:rPr>
        <w:t>limited</w:t>
      </w:r>
      <w:r w:rsidR="00354FAD" w:rsidRPr="0054775B">
        <w:rPr>
          <w:lang w:eastAsia="en-AU"/>
        </w:rPr>
        <w:t xml:space="preserve"> evidence that other nutritional supplements for certain conditions that are frequently used in the naturopathic context in Australia </w:t>
      </w:r>
      <w:r w:rsidR="003F1D1F">
        <w:rPr>
          <w:lang w:eastAsia="en-AU"/>
        </w:rPr>
        <w:t>may be</w:t>
      </w:r>
      <w:r w:rsidR="003F1D1F" w:rsidRPr="0054775B">
        <w:rPr>
          <w:lang w:eastAsia="en-AU"/>
        </w:rPr>
        <w:t xml:space="preserve"> </w:t>
      </w:r>
      <w:r w:rsidR="00354FAD" w:rsidRPr="0054775B">
        <w:rPr>
          <w:lang w:eastAsia="en-AU"/>
        </w:rPr>
        <w:t xml:space="preserve">effective. </w:t>
      </w:r>
    </w:p>
    <w:p w14:paraId="05D90235" w14:textId="4998D7FB" w:rsidR="00183527" w:rsidRPr="00A7166C" w:rsidRDefault="00183527" w:rsidP="00183527">
      <w:pPr>
        <w:pStyle w:val="BodyText"/>
        <w:rPr>
          <w:rFonts w:ascii="Aptos" w:hAnsi="Aptos"/>
          <w:lang w:val="en-GB"/>
        </w:rPr>
      </w:pPr>
      <w:r w:rsidRPr="00A7166C">
        <w:rPr>
          <w:rFonts w:ascii="Aptos" w:hAnsi="Aptos"/>
          <w:lang w:val="en-GB"/>
        </w:rPr>
        <w:t xml:space="preserve">This review is a </w:t>
      </w:r>
      <w:r w:rsidR="00CA23C5" w:rsidRPr="00A7166C">
        <w:rPr>
          <w:rFonts w:ascii="Aptos" w:hAnsi="Aptos"/>
          <w:lang w:val="en-GB"/>
        </w:rPr>
        <w:t xml:space="preserve">companion review to Naturopathy </w:t>
      </w:r>
      <w:r w:rsidR="007C7BA5">
        <w:rPr>
          <w:rFonts w:ascii="Aptos" w:hAnsi="Aptos"/>
          <w:lang w:val="en-GB"/>
        </w:rPr>
        <w:t xml:space="preserve">review </w:t>
      </w:r>
      <w:r w:rsidR="00CA23C5" w:rsidRPr="00A7166C">
        <w:rPr>
          <w:rFonts w:ascii="Aptos" w:hAnsi="Aptos"/>
          <w:lang w:val="en-GB"/>
        </w:rPr>
        <w:t>A</w:t>
      </w:r>
      <w:r w:rsidR="00E51D57" w:rsidRPr="00A7166C">
        <w:rPr>
          <w:rFonts w:ascii="Aptos" w:hAnsi="Aptos"/>
          <w:lang w:val="en-GB"/>
        </w:rPr>
        <w:t xml:space="preserve"> </w:t>
      </w:r>
      <w:r w:rsidR="00C830E3" w:rsidRPr="00A7166C">
        <w:rPr>
          <w:rFonts w:ascii="Aptos" w:hAnsi="Aptos"/>
          <w:lang w:val="en-GB"/>
        </w:rPr>
        <w:t xml:space="preserve">(PROSPERO: </w:t>
      </w:r>
      <w:r w:rsidR="00C830E3" w:rsidRPr="00A7166C">
        <w:rPr>
          <w:rFonts w:ascii="Aptos" w:hAnsi="Aptos"/>
        </w:rPr>
        <w:t>CRD42021266381)</w:t>
      </w:r>
      <w:r w:rsidR="00CA23C5" w:rsidRPr="00A7166C">
        <w:rPr>
          <w:rFonts w:ascii="Aptos" w:hAnsi="Aptos"/>
          <w:lang w:val="en-GB"/>
        </w:rPr>
        <w:t>, which</w:t>
      </w:r>
      <w:r w:rsidRPr="00A7166C">
        <w:rPr>
          <w:rFonts w:ascii="Aptos" w:hAnsi="Aptos"/>
          <w:lang w:val="en-GB"/>
        </w:rPr>
        <w:t xml:space="preserve"> consider</w:t>
      </w:r>
      <w:r w:rsidR="00CA23C5" w:rsidRPr="00A7166C">
        <w:rPr>
          <w:rFonts w:ascii="Aptos" w:hAnsi="Aptos"/>
          <w:lang w:val="en-GB"/>
        </w:rPr>
        <w:t>s</w:t>
      </w:r>
      <w:r w:rsidRPr="00A7166C">
        <w:rPr>
          <w:rFonts w:ascii="Aptos" w:hAnsi="Aptos"/>
          <w:lang w:val="en-GB"/>
        </w:rPr>
        <w:t xml:space="preserve"> the evidence on the overall effectiveness of naturopathy.</w:t>
      </w:r>
      <w:r w:rsidR="00C830E3" w:rsidRPr="00A7166C">
        <w:rPr>
          <w:rFonts w:ascii="Aptos" w:hAnsi="Aptos"/>
          <w:lang w:val="en-GB"/>
        </w:rPr>
        <w:t xml:space="preserve"> </w:t>
      </w:r>
      <w:r w:rsidR="00A7166C" w:rsidRPr="00A7166C">
        <w:rPr>
          <w:rFonts w:ascii="Aptos" w:hAnsi="Aptos"/>
          <w:lang w:val="en-GB"/>
        </w:rPr>
        <w:t>In considering the evidence on the overall effectiveness of naturopathy, th</w:t>
      </w:r>
      <w:r w:rsidR="001127CB">
        <w:rPr>
          <w:rFonts w:ascii="Aptos" w:hAnsi="Aptos"/>
          <w:lang w:val="en-GB"/>
        </w:rPr>
        <w:t>e</w:t>
      </w:r>
      <w:r w:rsidR="00A7166C" w:rsidRPr="00A7166C">
        <w:rPr>
          <w:rFonts w:ascii="Aptos" w:hAnsi="Aptos"/>
          <w:lang w:val="en-GB"/>
        </w:rPr>
        <w:t xml:space="preserve"> </w:t>
      </w:r>
      <w:r w:rsidR="001127CB">
        <w:rPr>
          <w:rFonts w:ascii="Aptos" w:hAnsi="Aptos"/>
          <w:lang w:val="en-GB"/>
        </w:rPr>
        <w:t>current overview</w:t>
      </w:r>
      <w:r w:rsidR="00A7166C" w:rsidRPr="00A7166C">
        <w:rPr>
          <w:rFonts w:ascii="Aptos" w:hAnsi="Aptos"/>
          <w:lang w:val="en-GB"/>
        </w:rPr>
        <w:t xml:space="preserve"> should be considered in context with Naturopathy A and the</w:t>
      </w:r>
      <w:r w:rsidR="00C830E3" w:rsidRPr="00A7166C">
        <w:rPr>
          <w:rFonts w:ascii="Aptos" w:hAnsi="Aptos"/>
          <w:lang w:val="en-GB"/>
        </w:rPr>
        <w:t xml:space="preserve"> second companion review</w:t>
      </w:r>
      <w:r w:rsidR="00FD36BD">
        <w:rPr>
          <w:rFonts w:ascii="Aptos" w:hAnsi="Aptos"/>
          <w:lang w:val="en-GB"/>
        </w:rPr>
        <w:t>,</w:t>
      </w:r>
      <w:r w:rsidRPr="00A7166C">
        <w:rPr>
          <w:rFonts w:ascii="Aptos" w:hAnsi="Aptos"/>
          <w:lang w:val="en-GB"/>
        </w:rPr>
        <w:t xml:space="preserve"> an overview of systematic </w:t>
      </w:r>
      <w:r w:rsidRPr="00A7166C">
        <w:rPr>
          <w:rFonts w:ascii="Aptos" w:hAnsi="Aptos"/>
          <w:lang w:val="en-GB"/>
        </w:rPr>
        <w:lastRenderedPageBreak/>
        <w:t>reviews that assess</w:t>
      </w:r>
      <w:r w:rsidR="0054679B">
        <w:rPr>
          <w:rFonts w:ascii="Aptos" w:hAnsi="Aptos"/>
          <w:lang w:val="en-GB"/>
        </w:rPr>
        <w:t>es</w:t>
      </w:r>
      <w:r w:rsidRPr="00A7166C">
        <w:rPr>
          <w:rFonts w:ascii="Aptos" w:hAnsi="Aptos"/>
          <w:lang w:val="en-GB"/>
        </w:rPr>
        <w:t xml:space="preserve"> the clinical effectiveness of western herbal medicines for certain conditions and populations (PROSPERO CRD42021243337). </w:t>
      </w:r>
    </w:p>
    <w:p w14:paraId="79E081C1" w14:textId="40DD1BDF" w:rsidR="00A24D67" w:rsidRPr="0054775B" w:rsidRDefault="00A24D67" w:rsidP="00703071">
      <w:pPr>
        <w:pStyle w:val="2024HEADER1"/>
      </w:pPr>
      <w:bookmarkStart w:id="194" w:name="_Toc111119292"/>
      <w:bookmarkStart w:id="195" w:name="_Toc179379639"/>
      <w:r w:rsidRPr="0054775B">
        <w:t>Author contributions and declaration of interests</w:t>
      </w:r>
      <w:bookmarkEnd w:id="194"/>
      <w:bookmarkEnd w:id="195"/>
    </w:p>
    <w:p w14:paraId="34DEBAEE" w14:textId="77777777" w:rsidR="00A24D67" w:rsidRPr="0054775B" w:rsidRDefault="00A24D67" w:rsidP="009E6F7F">
      <w:r w:rsidRPr="0054775B">
        <w:t>All authors report no known conflicts of interest.</w:t>
      </w:r>
    </w:p>
    <w:p w14:paraId="002259A1" w14:textId="32D51FA1" w:rsidR="00487377" w:rsidRPr="00BC1BDB" w:rsidRDefault="00A24D67" w:rsidP="001428E8">
      <w:r w:rsidRPr="0054775B">
        <w:t xml:space="preserve">MD, KM and </w:t>
      </w:r>
      <w:r w:rsidR="00B240A3" w:rsidRPr="0054775B">
        <w:t>CG</w:t>
      </w:r>
      <w:r w:rsidRPr="0054775B">
        <w:t xml:space="preserve"> developed the protocols and performed the searches of the databases. KM and </w:t>
      </w:r>
      <w:r w:rsidR="00B240A3" w:rsidRPr="0054775B">
        <w:t>CG</w:t>
      </w:r>
      <w:r w:rsidRPr="0054775B">
        <w:t xml:space="preserve"> carried out the article screening and MD was involved in the discussion for final decision making. KM and </w:t>
      </w:r>
      <w:r w:rsidR="00B240A3" w:rsidRPr="0054775B">
        <w:t>CG</w:t>
      </w:r>
      <w:r w:rsidRPr="0054775B">
        <w:t xml:space="preserve"> carried out the article assessment and data extraction. All authors were involved in evidence synthesis and final report writing. </w:t>
      </w:r>
      <w:bookmarkStart w:id="196" w:name="_Toc111119293"/>
      <w:r w:rsidR="00487377" w:rsidRPr="0054775B" w:rsidDel="00800C81">
        <w:br w:type="page"/>
      </w:r>
    </w:p>
    <w:p w14:paraId="6779920C" w14:textId="7F23517C" w:rsidR="00B43AF6" w:rsidRPr="0054775B" w:rsidRDefault="00A24D67" w:rsidP="009E6F7F">
      <w:pPr>
        <w:pStyle w:val="2024HEADER1"/>
      </w:pPr>
      <w:bookmarkStart w:id="197" w:name="_Toc179379640"/>
      <w:r w:rsidRPr="0054775B">
        <w:lastRenderedPageBreak/>
        <w:t>References</w:t>
      </w:r>
      <w:bookmarkEnd w:id="196"/>
      <w:bookmarkEnd w:id="197"/>
      <w:r w:rsidRPr="0054775B">
        <w:tab/>
      </w:r>
    </w:p>
    <w:p w14:paraId="7D37033A" w14:textId="5076D69B" w:rsidR="00227084" w:rsidRPr="009A26A4" w:rsidRDefault="00227084" w:rsidP="00227084">
      <w:pPr>
        <w:pStyle w:val="EndNoteBibliography"/>
        <w:spacing w:after="0"/>
        <w:rPr>
          <w:rFonts w:ascii="Aptos" w:hAnsi="Aptos"/>
          <w:noProof/>
          <w:sz w:val="21"/>
          <w:szCs w:val="21"/>
        </w:rPr>
      </w:pPr>
      <w:r w:rsidRPr="009A26A4">
        <w:rPr>
          <w:rFonts w:ascii="Aptos" w:hAnsi="Aptos"/>
          <w:noProof/>
          <w:sz w:val="21"/>
          <w:szCs w:val="21"/>
        </w:rPr>
        <w:t>1.</w:t>
      </w:r>
      <w:r w:rsidRPr="009A26A4">
        <w:rPr>
          <w:rFonts w:ascii="Aptos" w:hAnsi="Aptos"/>
          <w:noProof/>
          <w:sz w:val="21"/>
          <w:szCs w:val="21"/>
        </w:rPr>
        <w:tab/>
        <w:t>Australian Government Department of Health and Aged Care. Review of the Australian Government Rebate on Natural Therapies for Private Health Insurance. Canberra; 2015.</w:t>
      </w:r>
    </w:p>
    <w:p w14:paraId="152E3933" w14:textId="77777777" w:rsidR="00227084" w:rsidRPr="009A26A4" w:rsidRDefault="00227084" w:rsidP="00227084">
      <w:pPr>
        <w:pStyle w:val="EndNoteBibliography"/>
        <w:rPr>
          <w:rFonts w:ascii="Aptos" w:hAnsi="Aptos"/>
          <w:noProof/>
          <w:sz w:val="21"/>
          <w:szCs w:val="21"/>
        </w:rPr>
      </w:pPr>
      <w:r w:rsidRPr="009A26A4">
        <w:rPr>
          <w:rFonts w:ascii="Aptos" w:hAnsi="Aptos"/>
          <w:noProof/>
          <w:sz w:val="21"/>
          <w:szCs w:val="21"/>
        </w:rPr>
        <w:t>2.</w:t>
      </w:r>
      <w:r w:rsidRPr="009A26A4">
        <w:rPr>
          <w:rFonts w:ascii="Aptos" w:hAnsi="Aptos"/>
          <w:noProof/>
          <w:sz w:val="21"/>
          <w:szCs w:val="21"/>
        </w:rPr>
        <w:tab/>
        <w:t>Australian Government Department of Health and Aged Care. Natural Therapies Review 2019–20</w:t>
      </w:r>
    </w:p>
    <w:p w14:paraId="31995820" w14:textId="640D74AF" w:rsidR="00227084" w:rsidRPr="009A26A4" w:rsidRDefault="00227084" w:rsidP="00227084">
      <w:pPr>
        <w:pStyle w:val="EndNoteBibliography"/>
        <w:spacing w:after="0"/>
        <w:rPr>
          <w:rFonts w:ascii="Aptos" w:hAnsi="Aptos"/>
          <w:noProof/>
          <w:sz w:val="21"/>
          <w:szCs w:val="21"/>
        </w:rPr>
      </w:pPr>
      <w:r w:rsidRPr="009A26A4">
        <w:rPr>
          <w:rFonts w:ascii="Aptos" w:hAnsi="Aptos"/>
          <w:noProof/>
          <w:sz w:val="21"/>
          <w:szCs w:val="21"/>
        </w:rPr>
        <w:t xml:space="preserve"> 2022 [Available from: </w:t>
      </w:r>
      <w:r w:rsidRPr="0072562E">
        <w:rPr>
          <w:rFonts w:ascii="Aptos" w:hAnsi="Aptos"/>
          <w:noProof/>
          <w:sz w:val="21"/>
          <w:szCs w:val="21"/>
        </w:rPr>
        <w:t>https://www.health.gov.au/health-topics/private-health-insurance/private-health-insurance-reforms/natural-therapies-review-2019-20?utm_source=health.gov.au&amp;utm_medium=callout-auto-custom&amp;utm_campaign=digital_transformation</w:t>
      </w:r>
      <w:r w:rsidRPr="009A26A4">
        <w:rPr>
          <w:rFonts w:ascii="Aptos" w:hAnsi="Aptos"/>
          <w:noProof/>
          <w:sz w:val="21"/>
          <w:szCs w:val="21"/>
        </w:rPr>
        <w:t>.</w:t>
      </w:r>
    </w:p>
    <w:p w14:paraId="5BFF6B73" w14:textId="77777777" w:rsidR="00227084" w:rsidRPr="009A26A4" w:rsidRDefault="00227084" w:rsidP="00227084">
      <w:pPr>
        <w:pStyle w:val="EndNoteBibliography"/>
        <w:spacing w:after="0"/>
        <w:rPr>
          <w:rFonts w:ascii="Aptos" w:hAnsi="Aptos"/>
          <w:noProof/>
          <w:sz w:val="21"/>
          <w:szCs w:val="21"/>
        </w:rPr>
      </w:pPr>
      <w:r w:rsidRPr="009A26A4">
        <w:rPr>
          <w:rFonts w:ascii="Aptos" w:hAnsi="Aptos"/>
          <w:noProof/>
          <w:sz w:val="21"/>
          <w:szCs w:val="21"/>
        </w:rPr>
        <w:t>3.</w:t>
      </w:r>
      <w:r w:rsidRPr="009A26A4">
        <w:rPr>
          <w:rFonts w:ascii="Aptos" w:hAnsi="Aptos"/>
          <w:noProof/>
          <w:sz w:val="21"/>
          <w:szCs w:val="21"/>
        </w:rPr>
        <w:tab/>
        <w:t>Fleming SA, Gutknecht NC. Naturopathy and the primary care practice. Prim Care. 2010;37(1):119-36.</w:t>
      </w:r>
    </w:p>
    <w:p w14:paraId="39728C54" w14:textId="77777777" w:rsidR="00227084" w:rsidRPr="009A26A4" w:rsidRDefault="00227084" w:rsidP="00227084">
      <w:pPr>
        <w:pStyle w:val="EndNoteBibliography"/>
        <w:spacing w:after="0"/>
        <w:rPr>
          <w:rFonts w:ascii="Aptos" w:hAnsi="Aptos"/>
          <w:noProof/>
          <w:sz w:val="21"/>
          <w:szCs w:val="21"/>
        </w:rPr>
      </w:pPr>
      <w:r w:rsidRPr="009A26A4">
        <w:rPr>
          <w:rFonts w:ascii="Aptos" w:hAnsi="Aptos"/>
          <w:noProof/>
          <w:sz w:val="21"/>
          <w:szCs w:val="21"/>
        </w:rPr>
        <w:t>4.</w:t>
      </w:r>
      <w:r w:rsidRPr="009A26A4">
        <w:rPr>
          <w:rFonts w:ascii="Aptos" w:hAnsi="Aptos"/>
          <w:noProof/>
          <w:sz w:val="21"/>
          <w:szCs w:val="21"/>
        </w:rPr>
        <w:tab/>
        <w:t>Wardle J, Steel A, Casteleijn D. An evidence based overview of naturopathic practice in Australia. Australian Journal of Herbal and Naturopathic Medicine. 2019;31:9-13.</w:t>
      </w:r>
    </w:p>
    <w:p w14:paraId="5B8EA1DB" w14:textId="68647BB8" w:rsidR="00227084" w:rsidRPr="009A26A4" w:rsidRDefault="00227084" w:rsidP="00227084">
      <w:pPr>
        <w:pStyle w:val="EndNoteBibliography"/>
        <w:spacing w:after="0"/>
        <w:rPr>
          <w:rFonts w:ascii="Aptos" w:hAnsi="Aptos"/>
          <w:noProof/>
          <w:sz w:val="21"/>
          <w:szCs w:val="21"/>
        </w:rPr>
      </w:pPr>
      <w:r w:rsidRPr="009A26A4">
        <w:rPr>
          <w:rFonts w:ascii="Aptos" w:hAnsi="Aptos"/>
          <w:noProof/>
          <w:sz w:val="21"/>
          <w:szCs w:val="21"/>
        </w:rPr>
        <w:t>5.</w:t>
      </w:r>
      <w:r w:rsidRPr="009A26A4">
        <w:rPr>
          <w:rFonts w:ascii="Aptos" w:hAnsi="Aptos"/>
          <w:noProof/>
          <w:sz w:val="21"/>
          <w:szCs w:val="21"/>
        </w:rPr>
        <w:tab/>
        <w:t xml:space="preserve">Naturopaths &amp; Herbalists Association of Australia. TEQSA approved naturopathy courses 2022 [Available from: </w:t>
      </w:r>
      <w:r w:rsidRPr="0072562E">
        <w:rPr>
          <w:rFonts w:ascii="Aptos" w:hAnsi="Aptos"/>
          <w:noProof/>
          <w:sz w:val="21"/>
          <w:szCs w:val="21"/>
        </w:rPr>
        <w:t>https://nhaa.org.au/education/accredited-courses-for-those-interested-in-studying/currently-accredited-courses/</w:t>
      </w:r>
      <w:r w:rsidRPr="009A26A4">
        <w:rPr>
          <w:rFonts w:ascii="Aptos" w:hAnsi="Aptos"/>
          <w:noProof/>
          <w:sz w:val="21"/>
          <w:szCs w:val="21"/>
        </w:rPr>
        <w:t>.</w:t>
      </w:r>
    </w:p>
    <w:p w14:paraId="1B906B52" w14:textId="77777777" w:rsidR="00227084" w:rsidRPr="009A26A4" w:rsidRDefault="00227084" w:rsidP="00227084">
      <w:pPr>
        <w:pStyle w:val="EndNoteBibliography"/>
        <w:spacing w:after="0"/>
        <w:rPr>
          <w:rFonts w:ascii="Aptos" w:hAnsi="Aptos"/>
          <w:noProof/>
          <w:sz w:val="21"/>
          <w:szCs w:val="21"/>
        </w:rPr>
      </w:pPr>
      <w:r w:rsidRPr="009A26A4">
        <w:rPr>
          <w:rFonts w:ascii="Aptos" w:hAnsi="Aptos"/>
          <w:noProof/>
          <w:sz w:val="21"/>
          <w:szCs w:val="21"/>
        </w:rPr>
        <w:t>6.</w:t>
      </w:r>
      <w:r w:rsidRPr="009A26A4">
        <w:rPr>
          <w:rFonts w:ascii="Aptos" w:hAnsi="Aptos"/>
          <w:noProof/>
          <w:sz w:val="21"/>
          <w:szCs w:val="21"/>
        </w:rPr>
        <w:tab/>
        <w:t>Dureja H, Kaushik D, Kumar V. Development in nutraceuticals. Indian Journal of Pharmacology. 2003;35:363-72.</w:t>
      </w:r>
    </w:p>
    <w:p w14:paraId="20CD76F0" w14:textId="77777777" w:rsidR="00227084" w:rsidRPr="009A26A4" w:rsidRDefault="00227084" w:rsidP="00227084">
      <w:pPr>
        <w:pStyle w:val="EndNoteBibliography"/>
        <w:spacing w:after="0"/>
        <w:rPr>
          <w:rFonts w:ascii="Aptos" w:hAnsi="Aptos"/>
          <w:noProof/>
          <w:sz w:val="21"/>
          <w:szCs w:val="21"/>
        </w:rPr>
      </w:pPr>
      <w:r w:rsidRPr="009A26A4">
        <w:rPr>
          <w:rFonts w:ascii="Aptos" w:hAnsi="Aptos"/>
          <w:noProof/>
          <w:sz w:val="21"/>
          <w:szCs w:val="21"/>
        </w:rPr>
        <w:t>7.</w:t>
      </w:r>
      <w:r w:rsidRPr="009A26A4">
        <w:rPr>
          <w:rFonts w:ascii="Aptos" w:hAnsi="Aptos"/>
          <w:noProof/>
          <w:sz w:val="21"/>
          <w:szCs w:val="21"/>
        </w:rPr>
        <w:tab/>
        <w:t>McIntyre E, Adams J, Foley H, Harnett J, Leach MJ, Reid R, et al. Consultations with naturopaths and Western herbalists: prevalence of use and characteristics of users in Australia. The Journal of Alternative and Complementary Medicine. 2019;25(2):181-8.</w:t>
      </w:r>
    </w:p>
    <w:p w14:paraId="1460DEAB" w14:textId="77777777" w:rsidR="00227084" w:rsidRPr="009A26A4" w:rsidRDefault="00227084" w:rsidP="00227084">
      <w:pPr>
        <w:pStyle w:val="EndNoteBibliography"/>
        <w:spacing w:after="0"/>
        <w:rPr>
          <w:rFonts w:ascii="Aptos" w:hAnsi="Aptos"/>
          <w:noProof/>
          <w:sz w:val="21"/>
          <w:szCs w:val="21"/>
        </w:rPr>
      </w:pPr>
      <w:r w:rsidRPr="009A26A4">
        <w:rPr>
          <w:rFonts w:ascii="Aptos" w:hAnsi="Aptos"/>
          <w:noProof/>
          <w:sz w:val="21"/>
          <w:szCs w:val="21"/>
        </w:rPr>
        <w:t>8.</w:t>
      </w:r>
      <w:r w:rsidRPr="009A26A4">
        <w:rPr>
          <w:rFonts w:ascii="Aptos" w:hAnsi="Aptos"/>
          <w:noProof/>
          <w:sz w:val="21"/>
          <w:szCs w:val="21"/>
        </w:rPr>
        <w:tab/>
        <w:t>Steel A, Schloss J, Leach M, Adams J. The naturopathic profession in Australia: A secondary analysis of the Practitioner Research and Collaboration Initiative (PRACI). Complementary Therapies in Clinical Practice. 2020;40:101220.</w:t>
      </w:r>
    </w:p>
    <w:p w14:paraId="4F8406AD" w14:textId="77777777" w:rsidR="00227084" w:rsidRPr="009A26A4" w:rsidRDefault="00227084" w:rsidP="00227084">
      <w:pPr>
        <w:pStyle w:val="EndNoteBibliography"/>
        <w:spacing w:after="0"/>
        <w:rPr>
          <w:rFonts w:ascii="Aptos" w:hAnsi="Aptos"/>
          <w:noProof/>
          <w:sz w:val="21"/>
          <w:szCs w:val="21"/>
        </w:rPr>
      </w:pPr>
      <w:r w:rsidRPr="009A26A4">
        <w:rPr>
          <w:rFonts w:ascii="Aptos" w:hAnsi="Aptos"/>
          <w:noProof/>
          <w:sz w:val="21"/>
          <w:szCs w:val="21"/>
        </w:rPr>
        <w:t>9.</w:t>
      </w:r>
      <w:r w:rsidRPr="009A26A4">
        <w:rPr>
          <w:rFonts w:ascii="Aptos" w:hAnsi="Aptos"/>
          <w:noProof/>
          <w:sz w:val="21"/>
          <w:szCs w:val="21"/>
        </w:rPr>
        <w:tab/>
        <w:t>Pollock M, Fernandes RM, Becker LA, Pieper D, Hartling L. Chapter V: overviews of reviews. Cochrane handbook for systematic reviews of interventions version. 2020;6.</w:t>
      </w:r>
    </w:p>
    <w:p w14:paraId="6A8EF95A" w14:textId="77777777" w:rsidR="00227084" w:rsidRPr="009A26A4" w:rsidRDefault="00227084" w:rsidP="00227084">
      <w:pPr>
        <w:pStyle w:val="EndNoteBibliography"/>
        <w:spacing w:after="0"/>
        <w:rPr>
          <w:rFonts w:ascii="Aptos" w:hAnsi="Aptos"/>
          <w:noProof/>
          <w:sz w:val="21"/>
          <w:szCs w:val="21"/>
        </w:rPr>
      </w:pPr>
      <w:r w:rsidRPr="009A26A4">
        <w:rPr>
          <w:rFonts w:ascii="Aptos" w:hAnsi="Aptos"/>
          <w:noProof/>
          <w:sz w:val="21"/>
          <w:szCs w:val="21"/>
        </w:rPr>
        <w:t>10.</w:t>
      </w:r>
      <w:r w:rsidRPr="009A26A4">
        <w:rPr>
          <w:rFonts w:ascii="Aptos" w:hAnsi="Aptos"/>
          <w:noProof/>
          <w:sz w:val="21"/>
          <w:szCs w:val="21"/>
        </w:rPr>
        <w:tab/>
        <w:t>Gates M, Gates A, Pieper D, Fernandes RM, Tricco AC, Moher D, et al. Reporting guideline for overviews of reviews of healthcare interventions: development of the PRIOR statement. BMJ. 2022;378:e070849.</w:t>
      </w:r>
    </w:p>
    <w:p w14:paraId="390ACAE2" w14:textId="77777777" w:rsidR="00227084" w:rsidRPr="009A26A4" w:rsidRDefault="00227084" w:rsidP="00227084">
      <w:pPr>
        <w:pStyle w:val="EndNoteBibliography"/>
        <w:spacing w:after="0"/>
        <w:rPr>
          <w:rFonts w:ascii="Aptos" w:hAnsi="Aptos"/>
          <w:noProof/>
          <w:sz w:val="21"/>
          <w:szCs w:val="21"/>
        </w:rPr>
      </w:pPr>
      <w:r w:rsidRPr="009A26A4">
        <w:rPr>
          <w:rFonts w:ascii="Aptos" w:hAnsi="Aptos"/>
          <w:noProof/>
          <w:sz w:val="21"/>
          <w:szCs w:val="21"/>
        </w:rPr>
        <w:t>11.</w:t>
      </w:r>
      <w:r w:rsidRPr="009A26A4">
        <w:rPr>
          <w:rFonts w:ascii="Aptos" w:hAnsi="Aptos"/>
          <w:noProof/>
          <w:sz w:val="21"/>
          <w:szCs w:val="21"/>
        </w:rPr>
        <w:tab/>
        <w:t>Whiting P, Savović J, Higgins JP, Caldwell DM, Reeves BC, Shea B, et al. ROBIS: A new tool to assess risk of bias in systematic reviews was developed. J Clin Epidemiol. 2016;69:225-34.</w:t>
      </w:r>
    </w:p>
    <w:p w14:paraId="6737674F" w14:textId="77777777" w:rsidR="00227084" w:rsidRPr="009A26A4" w:rsidRDefault="00227084" w:rsidP="00227084">
      <w:pPr>
        <w:pStyle w:val="EndNoteBibliography"/>
        <w:spacing w:after="0"/>
        <w:rPr>
          <w:rFonts w:ascii="Aptos" w:hAnsi="Aptos"/>
          <w:noProof/>
          <w:sz w:val="21"/>
          <w:szCs w:val="21"/>
        </w:rPr>
      </w:pPr>
      <w:r w:rsidRPr="009A26A4">
        <w:rPr>
          <w:rFonts w:ascii="Aptos" w:hAnsi="Aptos"/>
          <w:noProof/>
          <w:sz w:val="21"/>
          <w:szCs w:val="21"/>
        </w:rPr>
        <w:t>12.</w:t>
      </w:r>
      <w:r w:rsidRPr="009A26A4">
        <w:rPr>
          <w:rFonts w:ascii="Aptos" w:hAnsi="Aptos"/>
          <w:noProof/>
          <w:sz w:val="21"/>
          <w:szCs w:val="21"/>
        </w:rPr>
        <w:tab/>
        <w:t>Andrews G, Bell C, Boyce P, Gale C, Lampe L, Marwat O, et al. Royal Australian and New Zealand College of Psychiatrists clinical practice guidelines for the treatment of panic disorder, social anxiety disorder and generalised anxiety disorder. Australian &amp; New Zealand Journal of Psychiatry. 2018;52(12):1109-72.</w:t>
      </w:r>
    </w:p>
    <w:p w14:paraId="0E32FCB9" w14:textId="77777777" w:rsidR="00227084" w:rsidRPr="009A26A4" w:rsidRDefault="00227084" w:rsidP="00227084">
      <w:pPr>
        <w:pStyle w:val="EndNoteBibliography"/>
        <w:spacing w:after="0"/>
        <w:rPr>
          <w:rFonts w:ascii="Aptos" w:hAnsi="Aptos"/>
          <w:noProof/>
          <w:sz w:val="21"/>
          <w:szCs w:val="21"/>
        </w:rPr>
      </w:pPr>
      <w:r w:rsidRPr="009A26A4">
        <w:rPr>
          <w:rFonts w:ascii="Aptos" w:hAnsi="Aptos"/>
          <w:noProof/>
          <w:sz w:val="21"/>
          <w:szCs w:val="21"/>
        </w:rPr>
        <w:t>13.</w:t>
      </w:r>
      <w:r w:rsidRPr="009A26A4">
        <w:rPr>
          <w:rFonts w:ascii="Aptos" w:hAnsi="Aptos"/>
          <w:noProof/>
          <w:sz w:val="21"/>
          <w:szCs w:val="21"/>
        </w:rPr>
        <w:tab/>
        <w:t>Bandelow B, Michaelis S, Wedekind D. Treatment of anxiety disorders. Dialogues in Clinical Neuroscience. 2017;19(2):93-107.</w:t>
      </w:r>
    </w:p>
    <w:p w14:paraId="45C730B2" w14:textId="77777777" w:rsidR="00227084" w:rsidRPr="009A26A4" w:rsidRDefault="00227084" w:rsidP="00227084">
      <w:pPr>
        <w:pStyle w:val="EndNoteBibliography"/>
        <w:spacing w:after="0"/>
        <w:rPr>
          <w:rFonts w:ascii="Aptos" w:hAnsi="Aptos"/>
          <w:noProof/>
          <w:sz w:val="21"/>
          <w:szCs w:val="21"/>
        </w:rPr>
      </w:pPr>
      <w:r w:rsidRPr="009A26A4">
        <w:rPr>
          <w:rFonts w:ascii="Aptos" w:hAnsi="Aptos"/>
          <w:noProof/>
          <w:sz w:val="21"/>
          <w:szCs w:val="21"/>
        </w:rPr>
        <w:t>14.</w:t>
      </w:r>
      <w:r w:rsidRPr="009A26A4">
        <w:rPr>
          <w:rFonts w:ascii="Aptos" w:hAnsi="Aptos"/>
          <w:noProof/>
          <w:sz w:val="21"/>
          <w:szCs w:val="21"/>
        </w:rPr>
        <w:tab/>
        <w:t>American Psychiatric Association. Diagnostic and statistical manual of mental disorders (5th ed.). Arlington, VA: American Psychiatric Publishing; 2013.</w:t>
      </w:r>
    </w:p>
    <w:p w14:paraId="125B4032" w14:textId="7D266D8A" w:rsidR="00227084" w:rsidRPr="009A26A4" w:rsidRDefault="00227084" w:rsidP="00227084">
      <w:pPr>
        <w:pStyle w:val="EndNoteBibliography"/>
        <w:spacing w:after="0"/>
        <w:rPr>
          <w:rFonts w:ascii="Aptos" w:hAnsi="Aptos"/>
          <w:noProof/>
          <w:sz w:val="21"/>
          <w:szCs w:val="21"/>
        </w:rPr>
      </w:pPr>
      <w:r w:rsidRPr="009A26A4">
        <w:rPr>
          <w:rFonts w:ascii="Aptos" w:hAnsi="Aptos"/>
          <w:noProof/>
          <w:sz w:val="21"/>
          <w:szCs w:val="21"/>
        </w:rPr>
        <w:t>15.</w:t>
      </w:r>
      <w:r w:rsidRPr="009A26A4">
        <w:rPr>
          <w:rFonts w:ascii="Aptos" w:hAnsi="Aptos"/>
          <w:noProof/>
          <w:sz w:val="21"/>
          <w:szCs w:val="21"/>
        </w:rPr>
        <w:tab/>
        <w:t xml:space="preserve">AIHW. Prevalence and impact of mental illness, 2023 [Available from: </w:t>
      </w:r>
      <w:r w:rsidRPr="0072562E">
        <w:rPr>
          <w:rFonts w:ascii="Aptos" w:hAnsi="Aptos"/>
          <w:noProof/>
          <w:sz w:val="21"/>
          <w:szCs w:val="21"/>
        </w:rPr>
        <w:t>https://www.aihw.gov.au/mental-health/overview/prevalence-and-impact-of-mental-illness</w:t>
      </w:r>
      <w:r w:rsidRPr="009A26A4">
        <w:rPr>
          <w:rFonts w:ascii="Aptos" w:hAnsi="Aptos"/>
          <w:noProof/>
          <w:sz w:val="21"/>
          <w:szCs w:val="21"/>
        </w:rPr>
        <w:t>.</w:t>
      </w:r>
    </w:p>
    <w:p w14:paraId="7B865124" w14:textId="77777777" w:rsidR="00227084" w:rsidRPr="009A26A4" w:rsidRDefault="00227084" w:rsidP="00227084">
      <w:pPr>
        <w:pStyle w:val="EndNoteBibliography"/>
        <w:spacing w:after="0"/>
        <w:rPr>
          <w:rFonts w:ascii="Aptos" w:hAnsi="Aptos"/>
          <w:noProof/>
          <w:sz w:val="21"/>
          <w:szCs w:val="21"/>
        </w:rPr>
      </w:pPr>
      <w:r w:rsidRPr="009A26A4">
        <w:rPr>
          <w:rFonts w:ascii="Aptos" w:hAnsi="Aptos"/>
          <w:noProof/>
          <w:sz w:val="21"/>
          <w:szCs w:val="21"/>
        </w:rPr>
        <w:lastRenderedPageBreak/>
        <w:t>16.</w:t>
      </w:r>
      <w:r w:rsidRPr="009A26A4">
        <w:rPr>
          <w:rFonts w:ascii="Aptos" w:hAnsi="Aptos"/>
          <w:noProof/>
          <w:sz w:val="21"/>
          <w:szCs w:val="21"/>
        </w:rPr>
        <w:tab/>
        <w:t>Barbagallo M, Veronese N, Dominguez LJ. Magnesium in Aging, Health and Diseases. Nutrients [Internet]. 2021; 13(2).</w:t>
      </w:r>
    </w:p>
    <w:p w14:paraId="3E15C7C9" w14:textId="74AFBC2D" w:rsidR="00227084" w:rsidRPr="009A26A4" w:rsidRDefault="00227084" w:rsidP="00227084">
      <w:pPr>
        <w:pStyle w:val="EndNoteBibliography"/>
        <w:spacing w:after="0"/>
        <w:rPr>
          <w:rFonts w:ascii="Aptos" w:hAnsi="Aptos"/>
          <w:noProof/>
          <w:sz w:val="21"/>
          <w:szCs w:val="21"/>
        </w:rPr>
      </w:pPr>
      <w:r w:rsidRPr="009A26A4">
        <w:rPr>
          <w:rFonts w:ascii="Aptos" w:hAnsi="Aptos"/>
          <w:noProof/>
          <w:sz w:val="21"/>
          <w:szCs w:val="21"/>
        </w:rPr>
        <w:t>17.</w:t>
      </w:r>
      <w:r w:rsidRPr="009A26A4">
        <w:rPr>
          <w:rFonts w:ascii="Aptos" w:hAnsi="Aptos"/>
          <w:noProof/>
          <w:sz w:val="21"/>
          <w:szCs w:val="21"/>
        </w:rPr>
        <w:tab/>
        <w:t xml:space="preserve">National Institutes of Health. Magnesium Fact Sheet for Health Professionals 2023 [Available from: </w:t>
      </w:r>
      <w:r w:rsidRPr="0072562E">
        <w:rPr>
          <w:rFonts w:ascii="Aptos" w:hAnsi="Aptos"/>
          <w:noProof/>
          <w:sz w:val="21"/>
          <w:szCs w:val="21"/>
        </w:rPr>
        <w:t>https://ods.od.nih.gov/factsheets/Magnesium-HealthProfessional/</w:t>
      </w:r>
      <w:r w:rsidRPr="009A26A4">
        <w:rPr>
          <w:rFonts w:ascii="Aptos" w:hAnsi="Aptos"/>
          <w:noProof/>
          <w:sz w:val="21"/>
          <w:szCs w:val="21"/>
        </w:rPr>
        <w:t>.</w:t>
      </w:r>
    </w:p>
    <w:p w14:paraId="63E442E5" w14:textId="77777777" w:rsidR="00227084" w:rsidRPr="009A26A4" w:rsidRDefault="00227084" w:rsidP="00227084">
      <w:pPr>
        <w:pStyle w:val="EndNoteBibliography"/>
        <w:spacing w:after="0"/>
        <w:rPr>
          <w:rFonts w:ascii="Aptos" w:hAnsi="Aptos"/>
          <w:noProof/>
          <w:sz w:val="21"/>
          <w:szCs w:val="21"/>
        </w:rPr>
      </w:pPr>
      <w:r w:rsidRPr="009A26A4">
        <w:rPr>
          <w:rFonts w:ascii="Aptos" w:hAnsi="Aptos"/>
          <w:noProof/>
          <w:sz w:val="21"/>
          <w:szCs w:val="21"/>
        </w:rPr>
        <w:t>18.</w:t>
      </w:r>
      <w:r w:rsidRPr="009A26A4">
        <w:rPr>
          <w:rFonts w:ascii="Aptos" w:hAnsi="Aptos"/>
          <w:noProof/>
          <w:sz w:val="21"/>
          <w:szCs w:val="21"/>
        </w:rPr>
        <w:tab/>
        <w:t>Faryadi Q. The magnificent effect of magnesium to human health: a critical review. International Journal of Applied. 2012;2(3):118-26.</w:t>
      </w:r>
    </w:p>
    <w:p w14:paraId="09F4AE86" w14:textId="77777777" w:rsidR="00227084" w:rsidRPr="009A26A4" w:rsidRDefault="00227084" w:rsidP="00227084">
      <w:pPr>
        <w:pStyle w:val="EndNoteBibliography"/>
        <w:spacing w:after="0"/>
        <w:rPr>
          <w:rFonts w:ascii="Aptos" w:hAnsi="Aptos"/>
          <w:noProof/>
          <w:sz w:val="21"/>
          <w:szCs w:val="21"/>
        </w:rPr>
      </w:pPr>
      <w:r w:rsidRPr="009A26A4">
        <w:rPr>
          <w:rFonts w:ascii="Aptos" w:hAnsi="Aptos"/>
          <w:noProof/>
          <w:sz w:val="21"/>
          <w:szCs w:val="21"/>
        </w:rPr>
        <w:t>19.</w:t>
      </w:r>
      <w:r w:rsidRPr="009A26A4">
        <w:rPr>
          <w:rFonts w:ascii="Aptos" w:hAnsi="Aptos"/>
          <w:noProof/>
          <w:sz w:val="21"/>
          <w:szCs w:val="21"/>
        </w:rPr>
        <w:tab/>
        <w:t>National Health and Medical Research Council. Nutrient Reference Values for Australia and New Zealand. Canberra: Australian Government Department of Health and Ageing, New Zealand Ministry of Health; 2006.</w:t>
      </w:r>
    </w:p>
    <w:p w14:paraId="1BC80FFF" w14:textId="77777777" w:rsidR="00227084" w:rsidRPr="009A26A4" w:rsidRDefault="00227084" w:rsidP="00227084">
      <w:pPr>
        <w:pStyle w:val="EndNoteBibliography"/>
        <w:spacing w:after="0"/>
        <w:rPr>
          <w:rFonts w:ascii="Aptos" w:hAnsi="Aptos"/>
          <w:noProof/>
          <w:sz w:val="21"/>
          <w:szCs w:val="21"/>
        </w:rPr>
      </w:pPr>
      <w:r w:rsidRPr="009A26A4">
        <w:rPr>
          <w:rFonts w:ascii="Aptos" w:hAnsi="Aptos"/>
          <w:noProof/>
          <w:sz w:val="21"/>
          <w:szCs w:val="21"/>
        </w:rPr>
        <w:t>20.</w:t>
      </w:r>
      <w:r w:rsidRPr="009A26A4">
        <w:rPr>
          <w:rFonts w:ascii="Aptos" w:hAnsi="Aptos"/>
          <w:noProof/>
          <w:sz w:val="21"/>
          <w:szCs w:val="21"/>
        </w:rPr>
        <w:tab/>
        <w:t>Barić H, Đorđević V, Cerovečki I, Trkulja V. Complementary and Alternative Medicine Treatments for Generalized Anxiety Disorder: Systematic Review and Meta-analysis of Randomized Controlled Trials. Adv Ther. 2018;35(3):261-88.</w:t>
      </w:r>
    </w:p>
    <w:p w14:paraId="39154711" w14:textId="77777777" w:rsidR="00227084" w:rsidRPr="009A26A4" w:rsidRDefault="00227084" w:rsidP="00227084">
      <w:pPr>
        <w:pStyle w:val="EndNoteBibliography"/>
        <w:spacing w:after="0"/>
        <w:rPr>
          <w:rFonts w:ascii="Aptos" w:hAnsi="Aptos"/>
          <w:noProof/>
          <w:sz w:val="21"/>
          <w:szCs w:val="21"/>
        </w:rPr>
      </w:pPr>
      <w:r w:rsidRPr="009A26A4">
        <w:rPr>
          <w:rFonts w:ascii="Aptos" w:hAnsi="Aptos"/>
          <w:noProof/>
          <w:sz w:val="21"/>
          <w:szCs w:val="21"/>
        </w:rPr>
        <w:t>21.</w:t>
      </w:r>
      <w:r w:rsidRPr="009A26A4">
        <w:rPr>
          <w:rFonts w:ascii="Aptos" w:hAnsi="Aptos"/>
          <w:noProof/>
          <w:sz w:val="21"/>
          <w:szCs w:val="21"/>
        </w:rPr>
        <w:tab/>
        <w:t>Tsai Z, Shah N, Tahir U, Mortaji N, Owais S, Perreault M, et al. Dietary interventions for perinatal depression and anxiety: a systematic review and meta-analysis of randomized controlled trials. Am J Clin Nutr. 2023;117(6):1130-42.</w:t>
      </w:r>
    </w:p>
    <w:p w14:paraId="7406CAFF" w14:textId="77777777" w:rsidR="00227084" w:rsidRPr="009A26A4" w:rsidRDefault="00227084" w:rsidP="00227084">
      <w:pPr>
        <w:pStyle w:val="EndNoteBibliography"/>
        <w:spacing w:after="0"/>
        <w:rPr>
          <w:rFonts w:ascii="Aptos" w:hAnsi="Aptos"/>
          <w:noProof/>
          <w:sz w:val="21"/>
          <w:szCs w:val="21"/>
        </w:rPr>
      </w:pPr>
      <w:r w:rsidRPr="009A26A4">
        <w:rPr>
          <w:rFonts w:ascii="Aptos" w:hAnsi="Aptos"/>
          <w:noProof/>
          <w:sz w:val="21"/>
          <w:szCs w:val="21"/>
        </w:rPr>
        <w:t>22.</w:t>
      </w:r>
      <w:r w:rsidRPr="009A26A4">
        <w:rPr>
          <w:rFonts w:ascii="Aptos" w:hAnsi="Aptos"/>
          <w:noProof/>
          <w:sz w:val="21"/>
          <w:szCs w:val="21"/>
        </w:rPr>
        <w:tab/>
        <w:t>Cohen J. Statistical Power Analysis for the Behavioral Sciences. Hillsdale, NJ: Lawrence Erlbaum; 1988.</w:t>
      </w:r>
    </w:p>
    <w:p w14:paraId="63AD7C6A" w14:textId="77777777" w:rsidR="00227084" w:rsidRPr="009A26A4" w:rsidRDefault="00227084" w:rsidP="00227084">
      <w:pPr>
        <w:pStyle w:val="EndNoteBibliography"/>
        <w:spacing w:after="0"/>
        <w:rPr>
          <w:rFonts w:ascii="Aptos" w:hAnsi="Aptos"/>
          <w:noProof/>
          <w:sz w:val="21"/>
          <w:szCs w:val="21"/>
        </w:rPr>
      </w:pPr>
      <w:r w:rsidRPr="009A26A4">
        <w:rPr>
          <w:rFonts w:ascii="Aptos" w:hAnsi="Aptos"/>
          <w:noProof/>
          <w:sz w:val="21"/>
          <w:szCs w:val="21"/>
        </w:rPr>
        <w:t>23.</w:t>
      </w:r>
      <w:r w:rsidRPr="009A26A4">
        <w:rPr>
          <w:rFonts w:ascii="Aptos" w:hAnsi="Aptos"/>
          <w:noProof/>
          <w:sz w:val="21"/>
          <w:szCs w:val="21"/>
        </w:rPr>
        <w:tab/>
        <w:t>Abrams D, Montesi SB, Moore SKL, Manson DK, Klipper KM, Case MA, et al. Powering Bias and Clinically Important Treatment Effects in Randomized Trials of Critical Illness. Crit Care Med. 2020;48(12):1710-9.</w:t>
      </w:r>
    </w:p>
    <w:p w14:paraId="166DF666" w14:textId="77777777" w:rsidR="00227084" w:rsidRPr="009A26A4" w:rsidRDefault="00227084" w:rsidP="00227084">
      <w:pPr>
        <w:pStyle w:val="EndNoteBibliography"/>
        <w:spacing w:after="0"/>
        <w:rPr>
          <w:rFonts w:ascii="Aptos" w:hAnsi="Aptos"/>
          <w:noProof/>
          <w:sz w:val="21"/>
          <w:szCs w:val="21"/>
        </w:rPr>
      </w:pPr>
      <w:r w:rsidRPr="009A26A4">
        <w:rPr>
          <w:rFonts w:ascii="Aptos" w:hAnsi="Aptos"/>
          <w:noProof/>
          <w:sz w:val="21"/>
          <w:szCs w:val="21"/>
        </w:rPr>
        <w:t>24.</w:t>
      </w:r>
      <w:r w:rsidRPr="009A26A4">
        <w:rPr>
          <w:rFonts w:ascii="Aptos" w:hAnsi="Aptos"/>
          <w:noProof/>
          <w:sz w:val="21"/>
          <w:szCs w:val="21"/>
        </w:rPr>
        <w:tab/>
        <w:t>McEwen BS. Neurobiological and Systemic Effects of Chronic Stress. Chronic Stress (Thousand Oaks). 2017;1.</w:t>
      </w:r>
    </w:p>
    <w:p w14:paraId="7944416A" w14:textId="77777777" w:rsidR="00227084" w:rsidRPr="009A26A4" w:rsidRDefault="00227084" w:rsidP="00227084">
      <w:pPr>
        <w:pStyle w:val="EndNoteBibliography"/>
        <w:spacing w:after="0"/>
        <w:rPr>
          <w:rFonts w:ascii="Aptos" w:hAnsi="Aptos"/>
          <w:noProof/>
          <w:sz w:val="21"/>
          <w:szCs w:val="21"/>
        </w:rPr>
      </w:pPr>
      <w:r w:rsidRPr="009A26A4">
        <w:rPr>
          <w:rFonts w:ascii="Aptos" w:hAnsi="Aptos"/>
          <w:noProof/>
          <w:sz w:val="21"/>
          <w:szCs w:val="21"/>
        </w:rPr>
        <w:t>25.</w:t>
      </w:r>
      <w:r w:rsidRPr="009A26A4">
        <w:rPr>
          <w:rFonts w:ascii="Aptos" w:hAnsi="Aptos"/>
          <w:noProof/>
          <w:sz w:val="21"/>
          <w:szCs w:val="21"/>
        </w:rPr>
        <w:tab/>
        <w:t>Davis MT, Holmes SE, Pietrzak RH, Esterlis I. Neurobiology of Chronic Stress-Related Psychiatric Disorders: Evidence from Molecular Imaging Studies. Chronic Stress (Thousand Oaks). 2017;1.</w:t>
      </w:r>
    </w:p>
    <w:p w14:paraId="59756777" w14:textId="77777777" w:rsidR="00227084" w:rsidRPr="009A26A4" w:rsidRDefault="00227084" w:rsidP="00227084">
      <w:pPr>
        <w:pStyle w:val="EndNoteBibliography"/>
        <w:spacing w:after="0"/>
        <w:rPr>
          <w:rFonts w:ascii="Aptos" w:hAnsi="Aptos"/>
          <w:noProof/>
          <w:sz w:val="21"/>
          <w:szCs w:val="21"/>
        </w:rPr>
      </w:pPr>
      <w:r w:rsidRPr="009A26A4">
        <w:rPr>
          <w:rFonts w:ascii="Aptos" w:hAnsi="Aptos"/>
          <w:noProof/>
          <w:sz w:val="21"/>
          <w:szCs w:val="21"/>
        </w:rPr>
        <w:t>26.</w:t>
      </w:r>
      <w:r w:rsidRPr="009A26A4">
        <w:rPr>
          <w:rFonts w:ascii="Aptos" w:hAnsi="Aptos"/>
          <w:noProof/>
          <w:sz w:val="21"/>
          <w:szCs w:val="21"/>
        </w:rPr>
        <w:tab/>
        <w:t>Schneiderman N, Ironson G, Siegel SD. Stress and health: psychological, behavioral, and biological determinants. Annu Rev Clin Psychol. 2005;1:607-28.</w:t>
      </w:r>
    </w:p>
    <w:p w14:paraId="1B574DD7" w14:textId="77777777" w:rsidR="00227084" w:rsidRPr="009A26A4" w:rsidRDefault="00227084" w:rsidP="00227084">
      <w:pPr>
        <w:pStyle w:val="EndNoteBibliography"/>
        <w:spacing w:after="0"/>
        <w:rPr>
          <w:rFonts w:ascii="Aptos" w:hAnsi="Aptos"/>
          <w:noProof/>
          <w:sz w:val="21"/>
          <w:szCs w:val="21"/>
        </w:rPr>
      </w:pPr>
      <w:r w:rsidRPr="009A26A4">
        <w:rPr>
          <w:rFonts w:ascii="Aptos" w:hAnsi="Aptos"/>
          <w:noProof/>
          <w:sz w:val="21"/>
          <w:szCs w:val="21"/>
        </w:rPr>
        <w:t>27.</w:t>
      </w:r>
      <w:r w:rsidRPr="009A26A4">
        <w:rPr>
          <w:rFonts w:ascii="Aptos" w:hAnsi="Aptos"/>
          <w:noProof/>
          <w:sz w:val="21"/>
          <w:szCs w:val="21"/>
        </w:rPr>
        <w:tab/>
        <w:t>Yaribeygi H, Panahi Y, Sahraei H, Johnston TP, Sahebkar A. The impact of stress on body function: A review. Excli j. 2017;16:1057-72.</w:t>
      </w:r>
    </w:p>
    <w:p w14:paraId="684DE3F4" w14:textId="77777777" w:rsidR="00227084" w:rsidRPr="009A26A4" w:rsidRDefault="00227084" w:rsidP="00227084">
      <w:pPr>
        <w:pStyle w:val="EndNoteBibliography"/>
        <w:spacing w:after="0"/>
        <w:rPr>
          <w:rFonts w:ascii="Aptos" w:hAnsi="Aptos"/>
          <w:noProof/>
          <w:sz w:val="21"/>
          <w:szCs w:val="21"/>
        </w:rPr>
      </w:pPr>
      <w:r w:rsidRPr="009A26A4">
        <w:rPr>
          <w:rFonts w:ascii="Aptos" w:hAnsi="Aptos"/>
          <w:noProof/>
          <w:sz w:val="21"/>
          <w:szCs w:val="21"/>
        </w:rPr>
        <w:t>28.</w:t>
      </w:r>
      <w:r w:rsidRPr="009A26A4">
        <w:rPr>
          <w:rFonts w:ascii="Aptos" w:hAnsi="Aptos"/>
          <w:noProof/>
          <w:sz w:val="21"/>
          <w:szCs w:val="21"/>
        </w:rPr>
        <w:tab/>
        <w:t>Australian Psychological Society. Stress &amp; wellbeing: how Australians are coping with life: the findings of the Australian Psychological Society stress and wellbeing in Australia survey 2015. Melbourne; 2015.</w:t>
      </w:r>
    </w:p>
    <w:p w14:paraId="3E5161E2" w14:textId="77777777" w:rsidR="00227084" w:rsidRPr="009A26A4" w:rsidRDefault="00227084" w:rsidP="00227084">
      <w:pPr>
        <w:pStyle w:val="EndNoteBibliography"/>
        <w:spacing w:after="0"/>
        <w:rPr>
          <w:rFonts w:ascii="Aptos" w:hAnsi="Aptos"/>
          <w:noProof/>
          <w:sz w:val="21"/>
          <w:szCs w:val="21"/>
        </w:rPr>
      </w:pPr>
      <w:r w:rsidRPr="009A26A4">
        <w:rPr>
          <w:rFonts w:ascii="Aptos" w:hAnsi="Aptos"/>
          <w:noProof/>
          <w:sz w:val="21"/>
          <w:szCs w:val="21"/>
        </w:rPr>
        <w:t>29.</w:t>
      </w:r>
      <w:r w:rsidRPr="009A26A4">
        <w:rPr>
          <w:rFonts w:ascii="Aptos" w:hAnsi="Aptos"/>
          <w:noProof/>
          <w:sz w:val="21"/>
          <w:szCs w:val="21"/>
        </w:rPr>
        <w:tab/>
        <w:t>Ribeiro Santiago PH, Nielsen T, Smithers LG, Roberts R, Jamieson L. Measuring stress in Australia: validation of the perceived stress scale (PSS-14) in a national sample. Health and Quality of Life Outcomes. 2020;18(1):100.</w:t>
      </w:r>
    </w:p>
    <w:p w14:paraId="4A152766" w14:textId="77777777" w:rsidR="00227084" w:rsidRPr="009A26A4" w:rsidRDefault="00227084" w:rsidP="00227084">
      <w:pPr>
        <w:pStyle w:val="EndNoteBibliography"/>
        <w:spacing w:after="0"/>
        <w:rPr>
          <w:rFonts w:ascii="Aptos" w:hAnsi="Aptos"/>
          <w:noProof/>
          <w:sz w:val="21"/>
          <w:szCs w:val="21"/>
        </w:rPr>
      </w:pPr>
      <w:r w:rsidRPr="009A26A4">
        <w:rPr>
          <w:rFonts w:ascii="Aptos" w:hAnsi="Aptos"/>
          <w:noProof/>
          <w:sz w:val="21"/>
          <w:szCs w:val="21"/>
        </w:rPr>
        <w:t>30.</w:t>
      </w:r>
      <w:r w:rsidRPr="009A26A4">
        <w:rPr>
          <w:rFonts w:ascii="Aptos" w:hAnsi="Aptos"/>
          <w:noProof/>
          <w:sz w:val="21"/>
          <w:szCs w:val="21"/>
        </w:rPr>
        <w:tab/>
        <w:t>Camilleri M. Diagnosis and Treatment of Irritable Bowel Syndrome: A Review. JAMA. 2021;325(9):865-77.</w:t>
      </w:r>
    </w:p>
    <w:p w14:paraId="04AA00E4" w14:textId="77777777" w:rsidR="00227084" w:rsidRPr="009A26A4" w:rsidRDefault="00227084" w:rsidP="00227084">
      <w:pPr>
        <w:pStyle w:val="EndNoteBibliography"/>
        <w:spacing w:after="0"/>
        <w:rPr>
          <w:rFonts w:ascii="Aptos" w:hAnsi="Aptos"/>
          <w:noProof/>
          <w:sz w:val="21"/>
          <w:szCs w:val="21"/>
        </w:rPr>
      </w:pPr>
      <w:r w:rsidRPr="009A26A4">
        <w:rPr>
          <w:rFonts w:ascii="Aptos" w:hAnsi="Aptos"/>
          <w:noProof/>
          <w:sz w:val="21"/>
          <w:szCs w:val="21"/>
        </w:rPr>
        <w:t>31.</w:t>
      </w:r>
      <w:r w:rsidRPr="009A26A4">
        <w:rPr>
          <w:rFonts w:ascii="Aptos" w:hAnsi="Aptos"/>
          <w:noProof/>
          <w:sz w:val="21"/>
          <w:szCs w:val="21"/>
        </w:rPr>
        <w:tab/>
        <w:t>Lovell RM, Ford AC. Global prevalence of and risk factors for irritable bowel syndrome: a meta-analysis. Clin Gastroenterol Hepatol. 2012;10(7):712-21.e4.</w:t>
      </w:r>
    </w:p>
    <w:p w14:paraId="693A8051" w14:textId="77777777" w:rsidR="00227084" w:rsidRPr="009A26A4" w:rsidRDefault="00227084" w:rsidP="00227084">
      <w:pPr>
        <w:pStyle w:val="EndNoteBibliography"/>
        <w:spacing w:after="0"/>
        <w:rPr>
          <w:rFonts w:ascii="Aptos" w:hAnsi="Aptos"/>
          <w:noProof/>
          <w:sz w:val="21"/>
          <w:szCs w:val="21"/>
        </w:rPr>
      </w:pPr>
      <w:r w:rsidRPr="009A26A4">
        <w:rPr>
          <w:rFonts w:ascii="Aptos" w:hAnsi="Aptos"/>
          <w:noProof/>
          <w:sz w:val="21"/>
          <w:szCs w:val="21"/>
        </w:rPr>
        <w:t>32.</w:t>
      </w:r>
      <w:r w:rsidRPr="009A26A4">
        <w:rPr>
          <w:rFonts w:ascii="Aptos" w:hAnsi="Aptos"/>
          <w:noProof/>
          <w:sz w:val="21"/>
          <w:szCs w:val="21"/>
        </w:rPr>
        <w:tab/>
        <w:t>Sperber AD, Bangdiwala SI, Drossman DA, Ghoshal UC, Simren M, Tack J, et al. Worldwide Prevalence and Burden of Functional Gastrointestinal Disorders, Results of Rome Foundation Global Study. Gastroenterology. 2021;160(1):99-114.e3.</w:t>
      </w:r>
    </w:p>
    <w:p w14:paraId="578CDACD" w14:textId="77777777" w:rsidR="00227084" w:rsidRPr="009A26A4" w:rsidRDefault="00227084" w:rsidP="00227084">
      <w:pPr>
        <w:pStyle w:val="EndNoteBibliography"/>
        <w:spacing w:after="0"/>
        <w:rPr>
          <w:rFonts w:ascii="Aptos" w:hAnsi="Aptos"/>
          <w:noProof/>
          <w:sz w:val="21"/>
          <w:szCs w:val="21"/>
        </w:rPr>
      </w:pPr>
      <w:r w:rsidRPr="009A26A4">
        <w:rPr>
          <w:rFonts w:ascii="Aptos" w:hAnsi="Aptos"/>
          <w:noProof/>
          <w:sz w:val="21"/>
          <w:szCs w:val="21"/>
        </w:rPr>
        <w:lastRenderedPageBreak/>
        <w:t>33.</w:t>
      </w:r>
      <w:r w:rsidRPr="009A26A4">
        <w:rPr>
          <w:rFonts w:ascii="Aptos" w:hAnsi="Aptos"/>
          <w:noProof/>
          <w:sz w:val="21"/>
          <w:szCs w:val="21"/>
        </w:rPr>
        <w:tab/>
        <w:t>Staudacher HM, Black CJ, Teasdale SB, Mikocka-Walus A, Keefer L. Irritable bowel syndrome and mental health comorbidity - approach to multidisciplinary management. Nat Rev Gastroenterol Hepatol. 2023;20(9):582-96.</w:t>
      </w:r>
    </w:p>
    <w:p w14:paraId="544FA9A5" w14:textId="77777777" w:rsidR="00227084" w:rsidRPr="009A26A4" w:rsidRDefault="00227084" w:rsidP="00227084">
      <w:pPr>
        <w:pStyle w:val="EndNoteBibliography"/>
        <w:spacing w:after="0"/>
        <w:rPr>
          <w:rFonts w:ascii="Aptos" w:hAnsi="Aptos"/>
          <w:noProof/>
          <w:sz w:val="21"/>
          <w:szCs w:val="21"/>
        </w:rPr>
      </w:pPr>
      <w:r w:rsidRPr="009A26A4">
        <w:rPr>
          <w:rFonts w:ascii="Aptos" w:hAnsi="Aptos"/>
          <w:noProof/>
          <w:sz w:val="21"/>
          <w:szCs w:val="21"/>
        </w:rPr>
        <w:t>34.</w:t>
      </w:r>
      <w:r w:rsidRPr="009A26A4">
        <w:rPr>
          <w:rFonts w:ascii="Aptos" w:hAnsi="Aptos"/>
          <w:noProof/>
          <w:sz w:val="21"/>
          <w:szCs w:val="21"/>
        </w:rPr>
        <w:tab/>
        <w:t>Palsson OS, Whitehead WE, van Tilburg MAL, Chang L, Chey W, Crowell MD, et al. Development and Validation of the Rome IV Diagnostic Questionnaire for Adults. Gastroenterology. 2016;150(6):1481-91.</w:t>
      </w:r>
    </w:p>
    <w:p w14:paraId="7825F998" w14:textId="77777777" w:rsidR="00227084" w:rsidRPr="009A26A4" w:rsidRDefault="00227084" w:rsidP="00227084">
      <w:pPr>
        <w:pStyle w:val="EndNoteBibliography"/>
        <w:spacing w:after="0"/>
        <w:rPr>
          <w:rFonts w:ascii="Aptos" w:hAnsi="Aptos"/>
          <w:noProof/>
          <w:sz w:val="21"/>
          <w:szCs w:val="21"/>
        </w:rPr>
      </w:pPr>
      <w:r w:rsidRPr="009A26A4">
        <w:rPr>
          <w:rFonts w:ascii="Aptos" w:hAnsi="Aptos"/>
          <w:noProof/>
          <w:sz w:val="21"/>
          <w:szCs w:val="21"/>
        </w:rPr>
        <w:t>35.</w:t>
      </w:r>
      <w:r w:rsidRPr="009A26A4">
        <w:rPr>
          <w:rFonts w:ascii="Aptos" w:hAnsi="Aptos"/>
          <w:noProof/>
          <w:sz w:val="21"/>
          <w:szCs w:val="21"/>
        </w:rPr>
        <w:tab/>
        <w:t>Ansari F, Neshat M, Pourjafar H, Jafari SM, Samakkhah SA, Mirzakhani E. The role of probiotics and prebiotics in modulating of the gut-brain axis. Front Nutr. 2023;10:1173660.</w:t>
      </w:r>
    </w:p>
    <w:p w14:paraId="1210030E" w14:textId="3F84ECB4" w:rsidR="00227084" w:rsidRPr="009A26A4" w:rsidRDefault="00227084" w:rsidP="00227084">
      <w:pPr>
        <w:pStyle w:val="EndNoteBibliography"/>
        <w:spacing w:after="0"/>
        <w:rPr>
          <w:rFonts w:ascii="Aptos" w:hAnsi="Aptos"/>
          <w:noProof/>
          <w:sz w:val="21"/>
          <w:szCs w:val="21"/>
        </w:rPr>
      </w:pPr>
      <w:r w:rsidRPr="009A26A4">
        <w:rPr>
          <w:rFonts w:ascii="Aptos" w:hAnsi="Aptos"/>
          <w:noProof/>
          <w:sz w:val="21"/>
          <w:szCs w:val="21"/>
        </w:rPr>
        <w:t>36.</w:t>
      </w:r>
      <w:r w:rsidRPr="009A26A4">
        <w:rPr>
          <w:rFonts w:ascii="Aptos" w:hAnsi="Aptos"/>
          <w:noProof/>
          <w:sz w:val="21"/>
          <w:szCs w:val="21"/>
        </w:rPr>
        <w:tab/>
        <w:t xml:space="preserve">National Institutes of Health. Probiotics Fact Sheet for Health Professionals 2023 [Available from: </w:t>
      </w:r>
      <w:r w:rsidRPr="0072562E">
        <w:rPr>
          <w:rFonts w:ascii="Aptos" w:hAnsi="Aptos"/>
          <w:noProof/>
          <w:sz w:val="21"/>
          <w:szCs w:val="21"/>
        </w:rPr>
        <w:t>https://ods.od.nih.gov/factsheets/Probiotics-HealthProfessional/</w:t>
      </w:r>
      <w:r w:rsidRPr="009A26A4">
        <w:rPr>
          <w:rFonts w:ascii="Aptos" w:hAnsi="Aptos"/>
          <w:noProof/>
          <w:sz w:val="21"/>
          <w:szCs w:val="21"/>
        </w:rPr>
        <w:t>.</w:t>
      </w:r>
    </w:p>
    <w:p w14:paraId="5EF8A3F7" w14:textId="77777777" w:rsidR="00227084" w:rsidRPr="009A26A4" w:rsidRDefault="00227084" w:rsidP="00227084">
      <w:pPr>
        <w:pStyle w:val="EndNoteBibliography"/>
        <w:spacing w:after="0"/>
        <w:rPr>
          <w:rFonts w:ascii="Aptos" w:hAnsi="Aptos"/>
          <w:noProof/>
          <w:sz w:val="21"/>
          <w:szCs w:val="21"/>
        </w:rPr>
      </w:pPr>
      <w:r w:rsidRPr="009A26A4">
        <w:rPr>
          <w:rFonts w:ascii="Aptos" w:hAnsi="Aptos"/>
          <w:noProof/>
          <w:sz w:val="21"/>
          <w:szCs w:val="21"/>
        </w:rPr>
        <w:t>37.</w:t>
      </w:r>
      <w:r w:rsidRPr="009A26A4">
        <w:rPr>
          <w:rFonts w:ascii="Aptos" w:hAnsi="Aptos"/>
          <w:noProof/>
          <w:sz w:val="21"/>
          <w:szCs w:val="21"/>
        </w:rPr>
        <w:tab/>
        <w:t>Satish Kumar L, Pugalenthi LS, Ahmad M, Reddy S, Barkhane Z, Elmadi J. Probiotics in Irritable Bowel Syndrome: A Review of Their Therapeutic Role. Cureus. 2022;14(4):e24240.</w:t>
      </w:r>
    </w:p>
    <w:p w14:paraId="24D09956" w14:textId="77777777" w:rsidR="00227084" w:rsidRPr="009A26A4" w:rsidRDefault="00227084" w:rsidP="00227084">
      <w:pPr>
        <w:pStyle w:val="EndNoteBibliography"/>
        <w:spacing w:after="0"/>
        <w:rPr>
          <w:rFonts w:ascii="Aptos" w:hAnsi="Aptos"/>
          <w:noProof/>
          <w:sz w:val="21"/>
          <w:szCs w:val="21"/>
        </w:rPr>
      </w:pPr>
      <w:r w:rsidRPr="009A26A4">
        <w:rPr>
          <w:rFonts w:ascii="Aptos" w:hAnsi="Aptos"/>
          <w:noProof/>
          <w:sz w:val="21"/>
          <w:szCs w:val="21"/>
        </w:rPr>
        <w:t>38.</w:t>
      </w:r>
      <w:r w:rsidRPr="009A26A4">
        <w:rPr>
          <w:rFonts w:ascii="Aptos" w:hAnsi="Aptos"/>
          <w:noProof/>
          <w:sz w:val="21"/>
          <w:szCs w:val="21"/>
        </w:rPr>
        <w:tab/>
        <w:t>Zhang T, Zhang C, Zhang J, Sun F, Duan L. Efficacy of Probiotics for Irritable Bowel Syndrome: A Systematic Review and Network Meta-Analysis. Frontiers in cellular and infection microbiology. 2022;12:859967.</w:t>
      </w:r>
    </w:p>
    <w:p w14:paraId="0F92CE73" w14:textId="77777777" w:rsidR="00227084" w:rsidRPr="009A26A4" w:rsidRDefault="00227084" w:rsidP="00227084">
      <w:pPr>
        <w:pStyle w:val="EndNoteBibliography"/>
        <w:spacing w:after="0"/>
        <w:rPr>
          <w:rFonts w:ascii="Aptos" w:hAnsi="Aptos"/>
          <w:noProof/>
          <w:sz w:val="21"/>
          <w:szCs w:val="21"/>
        </w:rPr>
      </w:pPr>
      <w:r w:rsidRPr="009A26A4">
        <w:rPr>
          <w:rFonts w:ascii="Aptos" w:hAnsi="Aptos"/>
          <w:noProof/>
          <w:sz w:val="21"/>
          <w:szCs w:val="21"/>
        </w:rPr>
        <w:t>39.</w:t>
      </w:r>
      <w:r w:rsidRPr="009A26A4">
        <w:rPr>
          <w:rFonts w:ascii="Aptos" w:hAnsi="Aptos"/>
          <w:noProof/>
          <w:sz w:val="21"/>
          <w:szCs w:val="21"/>
        </w:rPr>
        <w:tab/>
        <w:t>Yuan F, Ni H, Asche CV, Kim M, Walayat S, Ren J. Efficacy of Bifidobacterium infantis 35624 in patients with irritable bowel syndrome: a meta-analysis. Current Medical Research and Opinion. 2017;33(7):1-7.</w:t>
      </w:r>
    </w:p>
    <w:p w14:paraId="0832DAC6" w14:textId="77777777" w:rsidR="00227084" w:rsidRPr="009A26A4" w:rsidRDefault="00227084" w:rsidP="00227084">
      <w:pPr>
        <w:pStyle w:val="EndNoteBibliography"/>
        <w:spacing w:after="0"/>
        <w:rPr>
          <w:rFonts w:ascii="Aptos" w:hAnsi="Aptos"/>
          <w:noProof/>
          <w:sz w:val="21"/>
          <w:szCs w:val="21"/>
        </w:rPr>
      </w:pPr>
      <w:r w:rsidRPr="009A26A4">
        <w:rPr>
          <w:rFonts w:ascii="Aptos" w:hAnsi="Aptos"/>
          <w:noProof/>
          <w:sz w:val="21"/>
          <w:szCs w:val="21"/>
        </w:rPr>
        <w:t>40.</w:t>
      </w:r>
      <w:r w:rsidRPr="009A26A4">
        <w:rPr>
          <w:rFonts w:ascii="Aptos" w:hAnsi="Aptos"/>
          <w:noProof/>
          <w:sz w:val="21"/>
          <w:szCs w:val="21"/>
        </w:rPr>
        <w:tab/>
        <w:t>Xu HL, Zou LL, Chen MB, Wang H, Shen WM, Zheng QH, et al. Efficacy of probiotic adjuvant therapy for irritable bowel syndrome in children: A systematic review and meta-analysis. PloS one. 2021;16(8):e0255160.</w:t>
      </w:r>
    </w:p>
    <w:p w14:paraId="307096C9" w14:textId="77777777" w:rsidR="00227084" w:rsidRPr="009A26A4" w:rsidRDefault="00227084" w:rsidP="00227084">
      <w:pPr>
        <w:pStyle w:val="EndNoteBibliography"/>
        <w:spacing w:after="0"/>
        <w:rPr>
          <w:rFonts w:ascii="Aptos" w:hAnsi="Aptos"/>
          <w:noProof/>
          <w:sz w:val="21"/>
          <w:szCs w:val="21"/>
        </w:rPr>
      </w:pPr>
      <w:r w:rsidRPr="009A26A4">
        <w:rPr>
          <w:rFonts w:ascii="Aptos" w:hAnsi="Aptos"/>
          <w:noProof/>
          <w:sz w:val="21"/>
          <w:szCs w:val="21"/>
        </w:rPr>
        <w:t>41.</w:t>
      </w:r>
      <w:r w:rsidRPr="009A26A4">
        <w:rPr>
          <w:rFonts w:ascii="Aptos" w:hAnsi="Aptos"/>
          <w:noProof/>
          <w:sz w:val="21"/>
          <w:szCs w:val="21"/>
        </w:rPr>
        <w:tab/>
        <w:t>Wen Y, Li J, Long Q, Yue CC, He B, Tang XG. The efficacy and safety of probiotics for patients with constipation-predominant irritable bowel syndrome: A systematic review and meta-analysis based on seventeen randomized controlled trials. International Journal of Surgery. 2020;79:111-9.</w:t>
      </w:r>
    </w:p>
    <w:p w14:paraId="6262DACD" w14:textId="77777777" w:rsidR="00227084" w:rsidRPr="009A26A4" w:rsidRDefault="00227084" w:rsidP="00227084">
      <w:pPr>
        <w:pStyle w:val="EndNoteBibliography"/>
        <w:spacing w:after="0"/>
        <w:rPr>
          <w:rFonts w:ascii="Aptos" w:hAnsi="Aptos"/>
          <w:noProof/>
          <w:sz w:val="21"/>
          <w:szCs w:val="21"/>
        </w:rPr>
      </w:pPr>
      <w:r w:rsidRPr="009A26A4">
        <w:rPr>
          <w:rFonts w:ascii="Aptos" w:hAnsi="Aptos"/>
          <w:noProof/>
          <w:sz w:val="21"/>
          <w:szCs w:val="21"/>
        </w:rPr>
        <w:t>42.</w:t>
      </w:r>
      <w:r w:rsidRPr="009A26A4">
        <w:rPr>
          <w:rFonts w:ascii="Aptos" w:hAnsi="Aptos"/>
          <w:noProof/>
          <w:sz w:val="21"/>
          <w:szCs w:val="21"/>
        </w:rPr>
        <w:tab/>
        <w:t>Wang Y, Chen N, Niu F, Li Y, Guo K, Shang X, et al. Probiotics therapy for adults with diarrhea-predominant irritable bowel syndrome: a systematic review and meta-analysis of 10 RCTs. International journal of colorectal disease. 2022;37(11):2263-76.</w:t>
      </w:r>
    </w:p>
    <w:p w14:paraId="34A4C6A8" w14:textId="77777777" w:rsidR="00227084" w:rsidRPr="009A26A4" w:rsidRDefault="00227084" w:rsidP="00227084">
      <w:pPr>
        <w:pStyle w:val="EndNoteBibliography"/>
        <w:spacing w:after="0"/>
        <w:rPr>
          <w:rFonts w:ascii="Aptos" w:hAnsi="Aptos"/>
          <w:noProof/>
          <w:sz w:val="21"/>
          <w:szCs w:val="21"/>
        </w:rPr>
      </w:pPr>
      <w:r w:rsidRPr="009A26A4">
        <w:rPr>
          <w:rFonts w:ascii="Aptos" w:hAnsi="Aptos"/>
          <w:noProof/>
          <w:sz w:val="21"/>
          <w:szCs w:val="21"/>
        </w:rPr>
        <w:t>43.</w:t>
      </w:r>
      <w:r w:rsidRPr="009A26A4">
        <w:rPr>
          <w:rFonts w:ascii="Aptos" w:hAnsi="Aptos"/>
          <w:noProof/>
          <w:sz w:val="21"/>
          <w:szCs w:val="21"/>
        </w:rPr>
        <w:tab/>
        <w:t>Sun JR, Kong CF, Qu XK, Deng C, Lou YN, Jia LQ. Efficacy and safety of probiotics in irritable bowel syndrome: A systematic review and meta-analysis. Saudi journal of gastroenterology : official journal of the Saudi Gastroenterology Association. 2020;26(2):66-77.</w:t>
      </w:r>
    </w:p>
    <w:p w14:paraId="77AC78C3" w14:textId="77777777" w:rsidR="00227084" w:rsidRPr="009A26A4" w:rsidRDefault="00227084" w:rsidP="00227084">
      <w:pPr>
        <w:pStyle w:val="EndNoteBibliography"/>
        <w:spacing w:after="0"/>
        <w:rPr>
          <w:rFonts w:ascii="Aptos" w:hAnsi="Aptos"/>
          <w:noProof/>
          <w:sz w:val="21"/>
          <w:szCs w:val="21"/>
        </w:rPr>
      </w:pPr>
      <w:r w:rsidRPr="009A26A4">
        <w:rPr>
          <w:rFonts w:ascii="Aptos" w:hAnsi="Aptos"/>
          <w:noProof/>
          <w:sz w:val="21"/>
          <w:szCs w:val="21"/>
        </w:rPr>
        <w:t>44.</w:t>
      </w:r>
      <w:r w:rsidRPr="009A26A4">
        <w:rPr>
          <w:rFonts w:ascii="Aptos" w:hAnsi="Aptos"/>
          <w:noProof/>
          <w:sz w:val="21"/>
          <w:szCs w:val="21"/>
        </w:rPr>
        <w:tab/>
        <w:t>Shang X, E FF, Guo KL, Li YF, Zhao HL, Wang Y, et al. Effectiveness and Safety of Probiotics for Patients with Constipation-Predominant Irritable Bowel Syndrome: A Systematic Review and Meta-Analysis of 10 Randomized Controlled Trials. Nutrients. 2022;14(12).</w:t>
      </w:r>
    </w:p>
    <w:p w14:paraId="501DE54F" w14:textId="77777777" w:rsidR="00227084" w:rsidRPr="009A26A4" w:rsidRDefault="00227084" w:rsidP="00227084">
      <w:pPr>
        <w:pStyle w:val="EndNoteBibliography"/>
        <w:spacing w:after="0"/>
        <w:rPr>
          <w:rFonts w:ascii="Aptos" w:hAnsi="Aptos"/>
          <w:noProof/>
          <w:sz w:val="21"/>
          <w:szCs w:val="21"/>
        </w:rPr>
      </w:pPr>
      <w:r w:rsidRPr="009A26A4">
        <w:rPr>
          <w:rFonts w:ascii="Aptos" w:hAnsi="Aptos"/>
          <w:noProof/>
          <w:sz w:val="21"/>
          <w:szCs w:val="21"/>
        </w:rPr>
        <w:t>45.</w:t>
      </w:r>
      <w:r w:rsidRPr="009A26A4">
        <w:rPr>
          <w:rFonts w:ascii="Aptos" w:hAnsi="Aptos"/>
          <w:noProof/>
          <w:sz w:val="21"/>
          <w:szCs w:val="21"/>
        </w:rPr>
        <w:tab/>
        <w:t>Ritchie ML, Romanuk TN. A meta-analysis of probiotic efficacy for gastrointestinal diseases. PloS one. 2012;7(4):e34938.</w:t>
      </w:r>
    </w:p>
    <w:p w14:paraId="70420E22" w14:textId="77777777" w:rsidR="00227084" w:rsidRPr="009A26A4" w:rsidRDefault="00227084" w:rsidP="00227084">
      <w:pPr>
        <w:pStyle w:val="EndNoteBibliography"/>
        <w:spacing w:after="0"/>
        <w:rPr>
          <w:rFonts w:ascii="Aptos" w:hAnsi="Aptos"/>
          <w:noProof/>
          <w:sz w:val="21"/>
          <w:szCs w:val="21"/>
        </w:rPr>
      </w:pPr>
      <w:r w:rsidRPr="009A26A4">
        <w:rPr>
          <w:rFonts w:ascii="Aptos" w:hAnsi="Aptos"/>
          <w:noProof/>
          <w:sz w:val="21"/>
          <w:szCs w:val="21"/>
        </w:rPr>
        <w:t>46.</w:t>
      </w:r>
      <w:r w:rsidRPr="009A26A4">
        <w:rPr>
          <w:rFonts w:ascii="Aptos" w:hAnsi="Aptos"/>
          <w:noProof/>
          <w:sz w:val="21"/>
          <w:szCs w:val="21"/>
        </w:rPr>
        <w:tab/>
        <w:t>Pratt C, Campbell MD. The Effect of Bifidobacterium on Reducing Symptomatic Abdominal Pain in Patients with Irritable Bowel Syndrome: A Systematic Review. Probiotics and antimicrobial proteins. 2020;12(3):834-9.</w:t>
      </w:r>
    </w:p>
    <w:p w14:paraId="426F1ACA" w14:textId="77777777" w:rsidR="00227084" w:rsidRPr="009A26A4" w:rsidRDefault="00227084" w:rsidP="00227084">
      <w:pPr>
        <w:pStyle w:val="EndNoteBibliography"/>
        <w:spacing w:after="0"/>
        <w:rPr>
          <w:rFonts w:ascii="Aptos" w:hAnsi="Aptos"/>
          <w:noProof/>
          <w:sz w:val="21"/>
          <w:szCs w:val="21"/>
        </w:rPr>
      </w:pPr>
      <w:r w:rsidRPr="009A26A4">
        <w:rPr>
          <w:rFonts w:ascii="Aptos" w:hAnsi="Aptos"/>
          <w:noProof/>
          <w:sz w:val="21"/>
          <w:szCs w:val="21"/>
        </w:rPr>
        <w:t>47.</w:t>
      </w:r>
      <w:r w:rsidRPr="009A26A4">
        <w:rPr>
          <w:rFonts w:ascii="Aptos" w:hAnsi="Aptos"/>
          <w:noProof/>
          <w:sz w:val="21"/>
          <w:szCs w:val="21"/>
        </w:rPr>
        <w:tab/>
        <w:t>Ortiz-Lucas M, Tobias A, Saz P, Sebastian JJ. Effect of probiotics on symptoms of irritable bowel syndrome: A meta-analysis updated. Revista Espanola de Enfermedades Digestivas. 2013;105(1):19-36.</w:t>
      </w:r>
    </w:p>
    <w:p w14:paraId="05E29767" w14:textId="77777777" w:rsidR="00227084" w:rsidRPr="009A26A4" w:rsidRDefault="00227084" w:rsidP="00227084">
      <w:pPr>
        <w:pStyle w:val="EndNoteBibliography"/>
        <w:spacing w:after="0"/>
        <w:rPr>
          <w:rFonts w:ascii="Aptos" w:hAnsi="Aptos"/>
          <w:noProof/>
          <w:sz w:val="21"/>
          <w:szCs w:val="21"/>
        </w:rPr>
      </w:pPr>
      <w:r w:rsidRPr="009A26A4">
        <w:rPr>
          <w:rFonts w:ascii="Aptos" w:hAnsi="Aptos"/>
          <w:noProof/>
          <w:sz w:val="21"/>
          <w:szCs w:val="21"/>
        </w:rPr>
        <w:t>48.</w:t>
      </w:r>
      <w:r w:rsidRPr="009A26A4">
        <w:rPr>
          <w:rFonts w:ascii="Aptos" w:hAnsi="Aptos"/>
          <w:noProof/>
          <w:sz w:val="21"/>
          <w:szCs w:val="21"/>
        </w:rPr>
        <w:tab/>
        <w:t>Niu HL, Xiao JY. The efficacy and safety of probiotics in patients with irritable bowel syndrome: Evidence based on 35 randomized controlled trials. International Journal of Surgery. 2020;75:116-27.</w:t>
      </w:r>
    </w:p>
    <w:p w14:paraId="3DBD4A6E" w14:textId="77777777" w:rsidR="00227084" w:rsidRPr="009A26A4" w:rsidRDefault="00227084" w:rsidP="00227084">
      <w:pPr>
        <w:pStyle w:val="EndNoteBibliography"/>
        <w:spacing w:after="0"/>
        <w:rPr>
          <w:rFonts w:ascii="Aptos" w:hAnsi="Aptos"/>
          <w:noProof/>
          <w:sz w:val="21"/>
          <w:szCs w:val="21"/>
        </w:rPr>
      </w:pPr>
      <w:r w:rsidRPr="009A26A4">
        <w:rPr>
          <w:rFonts w:ascii="Aptos" w:hAnsi="Aptos"/>
          <w:noProof/>
          <w:sz w:val="21"/>
          <w:szCs w:val="21"/>
        </w:rPr>
        <w:lastRenderedPageBreak/>
        <w:t>49.</w:t>
      </w:r>
      <w:r w:rsidRPr="009A26A4">
        <w:rPr>
          <w:rFonts w:ascii="Aptos" w:hAnsi="Aptos"/>
          <w:noProof/>
          <w:sz w:val="21"/>
          <w:szCs w:val="21"/>
        </w:rPr>
        <w:tab/>
        <w:t>Nikfar S, Rahimi R, Rahimi F, Derakhshani S, Abdollahi M. Efficacy of probiotics in irritable bowel syndrome: a meta-analysis of randomized, controlled trials. Diseases of the colon and rectum. 2008;51(12):1775-80.</w:t>
      </w:r>
    </w:p>
    <w:p w14:paraId="4A3C7388" w14:textId="77777777" w:rsidR="00227084" w:rsidRPr="009A26A4" w:rsidRDefault="00227084" w:rsidP="00227084">
      <w:pPr>
        <w:pStyle w:val="EndNoteBibliography"/>
        <w:spacing w:after="0"/>
        <w:rPr>
          <w:rFonts w:ascii="Aptos" w:hAnsi="Aptos"/>
          <w:noProof/>
          <w:sz w:val="21"/>
          <w:szCs w:val="21"/>
        </w:rPr>
      </w:pPr>
      <w:r w:rsidRPr="009A26A4">
        <w:rPr>
          <w:rFonts w:ascii="Aptos" w:hAnsi="Aptos"/>
          <w:noProof/>
          <w:sz w:val="21"/>
          <w:szCs w:val="21"/>
        </w:rPr>
        <w:t>50.</w:t>
      </w:r>
      <w:r w:rsidRPr="009A26A4">
        <w:rPr>
          <w:rFonts w:ascii="Aptos" w:hAnsi="Aptos"/>
          <w:noProof/>
          <w:sz w:val="21"/>
          <w:szCs w:val="21"/>
        </w:rPr>
        <w:tab/>
        <w:t>Moayyedi P, Ford AC, Talley NJ, Cremonini F, Foxx-Orenstein AE, Brandt LJ, et al. The efficacy of probiotics in the treatment of irritable bowel syndrome: a systematic review. Gut. 2010;59(3):325-32.</w:t>
      </w:r>
    </w:p>
    <w:p w14:paraId="63BB32CC" w14:textId="77777777" w:rsidR="00227084" w:rsidRPr="009A26A4" w:rsidRDefault="00227084" w:rsidP="00227084">
      <w:pPr>
        <w:pStyle w:val="EndNoteBibliography"/>
        <w:spacing w:after="0"/>
        <w:rPr>
          <w:rFonts w:ascii="Aptos" w:hAnsi="Aptos"/>
          <w:noProof/>
          <w:sz w:val="21"/>
          <w:szCs w:val="21"/>
        </w:rPr>
      </w:pPr>
      <w:r w:rsidRPr="009A26A4">
        <w:rPr>
          <w:rFonts w:ascii="Aptos" w:hAnsi="Aptos"/>
          <w:noProof/>
          <w:sz w:val="21"/>
          <w:szCs w:val="21"/>
        </w:rPr>
        <w:t>51.</w:t>
      </w:r>
      <w:r w:rsidRPr="009A26A4">
        <w:rPr>
          <w:rFonts w:ascii="Aptos" w:hAnsi="Aptos"/>
          <w:noProof/>
          <w:sz w:val="21"/>
          <w:szCs w:val="21"/>
        </w:rPr>
        <w:tab/>
        <w:t>McFarland LV, Karakan T, Karatas A. Strain-specific and outcome-specific efficacy of probiotics for the treatment of irritable bowel syndrome: A systematic review and meta-analysis. EClinicalMedicine. 2021;41:101154.</w:t>
      </w:r>
    </w:p>
    <w:p w14:paraId="4140BD73" w14:textId="77777777" w:rsidR="00227084" w:rsidRPr="009A26A4" w:rsidRDefault="00227084" w:rsidP="00227084">
      <w:pPr>
        <w:pStyle w:val="EndNoteBibliography"/>
        <w:spacing w:after="0"/>
        <w:rPr>
          <w:rFonts w:ascii="Aptos" w:hAnsi="Aptos"/>
          <w:noProof/>
          <w:sz w:val="21"/>
          <w:szCs w:val="21"/>
        </w:rPr>
      </w:pPr>
      <w:r w:rsidRPr="009A26A4">
        <w:rPr>
          <w:rFonts w:ascii="Aptos" w:hAnsi="Aptos"/>
          <w:noProof/>
          <w:sz w:val="21"/>
          <w:szCs w:val="21"/>
        </w:rPr>
        <w:t>52.</w:t>
      </w:r>
      <w:r w:rsidRPr="009A26A4">
        <w:rPr>
          <w:rFonts w:ascii="Aptos" w:hAnsi="Aptos"/>
          <w:noProof/>
          <w:sz w:val="21"/>
          <w:szCs w:val="21"/>
        </w:rPr>
        <w:tab/>
        <w:t>McFarland LV, Dublin S. Meta-analysis of probiotics for the treatment of irritable bowel syndrome. World journal of gastroenterology : WJG. 2008;14(17):2650-61.</w:t>
      </w:r>
    </w:p>
    <w:p w14:paraId="06989157" w14:textId="77777777" w:rsidR="00227084" w:rsidRPr="009A26A4" w:rsidRDefault="00227084" w:rsidP="00227084">
      <w:pPr>
        <w:pStyle w:val="EndNoteBibliography"/>
        <w:spacing w:after="0"/>
        <w:rPr>
          <w:rFonts w:ascii="Aptos" w:hAnsi="Aptos"/>
          <w:noProof/>
          <w:sz w:val="21"/>
          <w:szCs w:val="21"/>
        </w:rPr>
      </w:pPr>
      <w:r w:rsidRPr="009A26A4">
        <w:rPr>
          <w:rFonts w:ascii="Aptos" w:hAnsi="Aptos"/>
          <w:noProof/>
          <w:sz w:val="21"/>
          <w:szCs w:val="21"/>
        </w:rPr>
        <w:t>53.</w:t>
      </w:r>
      <w:r w:rsidRPr="009A26A4">
        <w:rPr>
          <w:rFonts w:ascii="Aptos" w:hAnsi="Aptos"/>
          <w:noProof/>
          <w:sz w:val="21"/>
          <w:szCs w:val="21"/>
        </w:rPr>
        <w:tab/>
        <w:t>Liang D, Longgui N, Guoqiang X. Efficacy of different probiotic protocols in irritable bowel syndrome: A network meta-analysis. Medicine. 2019;98(27):e16068.</w:t>
      </w:r>
    </w:p>
    <w:p w14:paraId="54DDDAAD" w14:textId="77777777" w:rsidR="00227084" w:rsidRPr="009A26A4" w:rsidRDefault="00227084" w:rsidP="00227084">
      <w:pPr>
        <w:pStyle w:val="EndNoteBibliography"/>
        <w:spacing w:after="0"/>
        <w:rPr>
          <w:rFonts w:ascii="Aptos" w:hAnsi="Aptos"/>
          <w:noProof/>
          <w:sz w:val="21"/>
          <w:szCs w:val="21"/>
        </w:rPr>
      </w:pPr>
      <w:r w:rsidRPr="009A26A4">
        <w:rPr>
          <w:rFonts w:ascii="Aptos" w:hAnsi="Aptos"/>
          <w:noProof/>
          <w:sz w:val="21"/>
          <w:szCs w:val="21"/>
        </w:rPr>
        <w:t>54.</w:t>
      </w:r>
      <w:r w:rsidRPr="009A26A4">
        <w:rPr>
          <w:rFonts w:ascii="Aptos" w:hAnsi="Aptos"/>
          <w:noProof/>
          <w:sz w:val="21"/>
          <w:szCs w:val="21"/>
        </w:rPr>
        <w:tab/>
        <w:t>Li B, Liang L, Deng H, Guo J, Shu H, Zhang L. Efficacy and Safety of Probiotics in Irritable Bowel Syndrome: A Systematic Review and Meta-Analysis. Frontiers in pharmacology. 2020;11:332.</w:t>
      </w:r>
    </w:p>
    <w:p w14:paraId="58CD2D94" w14:textId="77777777" w:rsidR="00227084" w:rsidRPr="009A26A4" w:rsidRDefault="00227084" w:rsidP="00227084">
      <w:pPr>
        <w:pStyle w:val="EndNoteBibliography"/>
        <w:spacing w:after="0"/>
        <w:rPr>
          <w:rFonts w:ascii="Aptos" w:hAnsi="Aptos"/>
          <w:noProof/>
          <w:sz w:val="21"/>
          <w:szCs w:val="21"/>
        </w:rPr>
      </w:pPr>
      <w:r w:rsidRPr="009A26A4">
        <w:rPr>
          <w:rFonts w:ascii="Aptos" w:hAnsi="Aptos"/>
          <w:noProof/>
          <w:sz w:val="21"/>
          <w:szCs w:val="21"/>
        </w:rPr>
        <w:t>55.</w:t>
      </w:r>
      <w:r w:rsidRPr="009A26A4">
        <w:rPr>
          <w:rFonts w:ascii="Aptos" w:hAnsi="Aptos"/>
          <w:noProof/>
          <w:sz w:val="21"/>
          <w:szCs w:val="21"/>
        </w:rPr>
        <w:tab/>
        <w:t>Le Morvan de Sequeira C, Kaeber M, Cekin SE, Enck P, Mack I. The Effect of Probiotics on Quality of Life, Depression and Anxiety in Patients with Irritable Bowel Syndrome: A Systematic Review and Meta-Analysis. Journal of clinical medicine. 2021;10(16).</w:t>
      </w:r>
    </w:p>
    <w:p w14:paraId="3486E11F" w14:textId="77777777" w:rsidR="00227084" w:rsidRPr="009A26A4" w:rsidRDefault="00227084" w:rsidP="00227084">
      <w:pPr>
        <w:pStyle w:val="EndNoteBibliography"/>
        <w:spacing w:after="0"/>
        <w:rPr>
          <w:rFonts w:ascii="Aptos" w:hAnsi="Aptos"/>
          <w:noProof/>
          <w:sz w:val="21"/>
          <w:szCs w:val="21"/>
        </w:rPr>
      </w:pPr>
      <w:r w:rsidRPr="009A26A4">
        <w:rPr>
          <w:rFonts w:ascii="Aptos" w:hAnsi="Aptos"/>
          <w:noProof/>
          <w:sz w:val="21"/>
          <w:szCs w:val="21"/>
        </w:rPr>
        <w:t>56.</w:t>
      </w:r>
      <w:r w:rsidRPr="009A26A4">
        <w:rPr>
          <w:rFonts w:ascii="Aptos" w:hAnsi="Aptos"/>
          <w:noProof/>
          <w:sz w:val="21"/>
          <w:szCs w:val="21"/>
        </w:rPr>
        <w:tab/>
        <w:t>Korterink JJ, Ockeloen L, Benninga MA, Tabbers MM, Hilbink M, Deckers-Kocken JM. Probiotics for childhood functional gastrointestinal disorders: A systematic review and meta-analysis. Acta Paediatrica, International Journal of Paediatrics. 2014;103(4):365-72.</w:t>
      </w:r>
    </w:p>
    <w:p w14:paraId="106655C7" w14:textId="77777777" w:rsidR="00227084" w:rsidRPr="009A26A4" w:rsidRDefault="00227084" w:rsidP="00227084">
      <w:pPr>
        <w:pStyle w:val="EndNoteBibliography"/>
        <w:spacing w:after="0"/>
        <w:rPr>
          <w:rFonts w:ascii="Aptos" w:hAnsi="Aptos"/>
          <w:noProof/>
          <w:sz w:val="21"/>
          <w:szCs w:val="21"/>
        </w:rPr>
      </w:pPr>
      <w:r w:rsidRPr="009A26A4">
        <w:rPr>
          <w:rFonts w:ascii="Aptos" w:hAnsi="Aptos"/>
          <w:noProof/>
          <w:sz w:val="21"/>
          <w:szCs w:val="21"/>
        </w:rPr>
        <w:t>57.</w:t>
      </w:r>
      <w:r w:rsidRPr="009A26A4">
        <w:rPr>
          <w:rFonts w:ascii="Aptos" w:hAnsi="Aptos"/>
          <w:noProof/>
          <w:sz w:val="21"/>
          <w:szCs w:val="21"/>
        </w:rPr>
        <w:tab/>
        <w:t>Konstantis G, Efstathiou S, Pourzitaki C, Kitsikidou E, Germanidis G, Chourdakis M. Efficacy and safety of probiotics in the treatment of irritable bowel syndrome: A systematic review and meta-analysis of randomised clinical trials using ROME IV criteria. Clinical nutrition (Edinburgh, Scotland). 2023;42(5):800-9.</w:t>
      </w:r>
    </w:p>
    <w:p w14:paraId="53F1B202" w14:textId="77777777" w:rsidR="00227084" w:rsidRPr="009A26A4" w:rsidRDefault="00227084" w:rsidP="00227084">
      <w:pPr>
        <w:pStyle w:val="EndNoteBibliography"/>
        <w:spacing w:after="0"/>
        <w:rPr>
          <w:rFonts w:ascii="Aptos" w:hAnsi="Aptos"/>
          <w:noProof/>
          <w:sz w:val="21"/>
          <w:szCs w:val="21"/>
        </w:rPr>
      </w:pPr>
      <w:r w:rsidRPr="009A26A4">
        <w:rPr>
          <w:rFonts w:ascii="Aptos" w:hAnsi="Aptos"/>
          <w:noProof/>
          <w:sz w:val="21"/>
          <w:szCs w:val="21"/>
        </w:rPr>
        <w:t>58.</w:t>
      </w:r>
      <w:r w:rsidRPr="009A26A4">
        <w:rPr>
          <w:rFonts w:ascii="Aptos" w:hAnsi="Aptos"/>
          <w:noProof/>
          <w:sz w:val="21"/>
          <w:szCs w:val="21"/>
        </w:rPr>
        <w:tab/>
        <w:t>Hungin APS, Mitchell CR, Whorwell P, Mulligan C, Cole O, Agréus L, et al. Systematic review: probiotics in the management of lower gastrointestinal symptoms - an updated evidence-based international consensus. Alimentary pharmacology &amp; therapeutics. 2018;47(8):1054-70.</w:t>
      </w:r>
    </w:p>
    <w:p w14:paraId="340B87F1" w14:textId="77777777" w:rsidR="00227084" w:rsidRPr="009A26A4" w:rsidRDefault="00227084" w:rsidP="00227084">
      <w:pPr>
        <w:pStyle w:val="EndNoteBibliography"/>
        <w:spacing w:after="0"/>
        <w:rPr>
          <w:rFonts w:ascii="Aptos" w:hAnsi="Aptos"/>
          <w:noProof/>
          <w:sz w:val="21"/>
          <w:szCs w:val="21"/>
        </w:rPr>
      </w:pPr>
      <w:r w:rsidRPr="009A26A4">
        <w:rPr>
          <w:rFonts w:ascii="Aptos" w:hAnsi="Aptos"/>
          <w:noProof/>
          <w:sz w:val="21"/>
          <w:szCs w:val="21"/>
        </w:rPr>
        <w:t>59.</w:t>
      </w:r>
      <w:r w:rsidRPr="009A26A4">
        <w:rPr>
          <w:rFonts w:ascii="Aptos" w:hAnsi="Aptos"/>
          <w:noProof/>
          <w:sz w:val="21"/>
          <w:szCs w:val="21"/>
        </w:rPr>
        <w:tab/>
        <w:t>Huertas-Ceballos AA, Logan S, Bennett C, Macarthur C. Dietary interventions for recurrent abdominal pain (RAP) and irritable bowel syndrome (IBS) in childhood. Cochrane Database of Systematic Reviews. 2009(1):CD003019.</w:t>
      </w:r>
    </w:p>
    <w:p w14:paraId="14D7016F" w14:textId="77777777" w:rsidR="00227084" w:rsidRPr="009A26A4" w:rsidRDefault="00227084" w:rsidP="00227084">
      <w:pPr>
        <w:pStyle w:val="EndNoteBibliography"/>
        <w:spacing w:after="0"/>
        <w:rPr>
          <w:rFonts w:ascii="Aptos" w:hAnsi="Aptos"/>
          <w:noProof/>
          <w:sz w:val="21"/>
          <w:szCs w:val="21"/>
        </w:rPr>
      </w:pPr>
      <w:r w:rsidRPr="009A26A4">
        <w:rPr>
          <w:rFonts w:ascii="Aptos" w:hAnsi="Aptos"/>
          <w:noProof/>
          <w:sz w:val="21"/>
          <w:szCs w:val="21"/>
        </w:rPr>
        <w:t>60.</w:t>
      </w:r>
      <w:r w:rsidRPr="009A26A4">
        <w:rPr>
          <w:rFonts w:ascii="Aptos" w:hAnsi="Aptos"/>
          <w:noProof/>
          <w:sz w:val="21"/>
          <w:szCs w:val="21"/>
        </w:rPr>
        <w:tab/>
        <w:t>Hoveyda N, Heneghan C, Mahtani KR, Perera R, Roberts N, Glasziou P. A systematic review and meta-analysis: probiotics in the treatment of irritable bowel syndrome. BMC gastroenterology. 2009;9(no pagination):15.</w:t>
      </w:r>
    </w:p>
    <w:p w14:paraId="753D7C04" w14:textId="77777777" w:rsidR="00227084" w:rsidRPr="009A26A4" w:rsidRDefault="00227084" w:rsidP="00227084">
      <w:pPr>
        <w:pStyle w:val="EndNoteBibliography"/>
        <w:spacing w:after="0"/>
        <w:rPr>
          <w:rFonts w:ascii="Aptos" w:hAnsi="Aptos"/>
          <w:noProof/>
          <w:sz w:val="21"/>
          <w:szCs w:val="21"/>
        </w:rPr>
      </w:pPr>
      <w:r w:rsidRPr="009A26A4">
        <w:rPr>
          <w:rFonts w:ascii="Aptos" w:hAnsi="Aptos"/>
          <w:noProof/>
          <w:sz w:val="21"/>
          <w:szCs w:val="21"/>
        </w:rPr>
        <w:t>61.</w:t>
      </w:r>
      <w:r w:rsidRPr="009A26A4">
        <w:rPr>
          <w:rFonts w:ascii="Aptos" w:hAnsi="Aptos"/>
          <w:noProof/>
          <w:sz w:val="21"/>
          <w:szCs w:val="21"/>
        </w:rPr>
        <w:tab/>
        <w:t>Horvath A, Dziechciarz P, Szajewska H. Meta-analysis: Lactobacillus rhamnosus GG for abdominal pain-related functional gastrointestinal disorders in childhood. Alimentary pharmacology &amp; therapeutics. 2011;33(12):1302-10.</w:t>
      </w:r>
    </w:p>
    <w:p w14:paraId="113F88AD" w14:textId="77777777" w:rsidR="00227084" w:rsidRPr="009A26A4" w:rsidRDefault="00227084" w:rsidP="00227084">
      <w:pPr>
        <w:pStyle w:val="EndNoteBibliography"/>
        <w:spacing w:after="0"/>
        <w:rPr>
          <w:rFonts w:ascii="Aptos" w:hAnsi="Aptos"/>
          <w:noProof/>
          <w:sz w:val="21"/>
          <w:szCs w:val="21"/>
        </w:rPr>
      </w:pPr>
      <w:r w:rsidRPr="009A26A4">
        <w:rPr>
          <w:rFonts w:ascii="Aptos" w:hAnsi="Aptos"/>
          <w:noProof/>
          <w:sz w:val="21"/>
          <w:szCs w:val="21"/>
        </w:rPr>
        <w:t>62.</w:t>
      </w:r>
      <w:r w:rsidRPr="009A26A4">
        <w:rPr>
          <w:rFonts w:ascii="Aptos" w:hAnsi="Aptos"/>
          <w:noProof/>
          <w:sz w:val="21"/>
          <w:szCs w:val="21"/>
        </w:rPr>
        <w:tab/>
        <w:t>Ford AC, Quigley EM, Lacy BE, Lembo AJ, Saito YA, Schiller LR, et al. Efficacy of prebiotics, probiotics, and synbiotics in irritable bowel syndrome and chronic idiopathic constipation: systematic review and meta-analysis. The American journal of gastroenterology. 2014;109(10):1547-61; quiz 6, 62.</w:t>
      </w:r>
    </w:p>
    <w:p w14:paraId="33B2AE75" w14:textId="77777777" w:rsidR="00227084" w:rsidRPr="009A26A4" w:rsidRDefault="00227084" w:rsidP="00227084">
      <w:pPr>
        <w:pStyle w:val="EndNoteBibliography"/>
        <w:spacing w:after="0"/>
        <w:rPr>
          <w:rFonts w:ascii="Aptos" w:hAnsi="Aptos"/>
          <w:noProof/>
          <w:sz w:val="21"/>
          <w:szCs w:val="21"/>
        </w:rPr>
      </w:pPr>
      <w:r w:rsidRPr="009A26A4">
        <w:rPr>
          <w:rFonts w:ascii="Aptos" w:hAnsi="Aptos"/>
          <w:noProof/>
          <w:sz w:val="21"/>
          <w:szCs w:val="21"/>
        </w:rPr>
        <w:t>63.</w:t>
      </w:r>
      <w:r w:rsidRPr="009A26A4">
        <w:rPr>
          <w:rFonts w:ascii="Aptos" w:hAnsi="Aptos"/>
          <w:noProof/>
          <w:sz w:val="21"/>
          <w:szCs w:val="21"/>
        </w:rPr>
        <w:tab/>
        <w:t xml:space="preserve">Fatahi S, Hosseini A, Sohouli MH, Sayyari A, Khatami K, Farsani ZF, et al. Effects of probiotic supplementation on abdominal pain severity in pediatric patients with irritable bowel syndrome: a </w:t>
      </w:r>
      <w:r w:rsidRPr="009A26A4">
        <w:rPr>
          <w:rFonts w:ascii="Aptos" w:hAnsi="Aptos"/>
          <w:noProof/>
          <w:sz w:val="21"/>
          <w:szCs w:val="21"/>
        </w:rPr>
        <w:lastRenderedPageBreak/>
        <w:t>systematic review and meta-analysis of randomized clinical trials. World journal of pediatrics : WJP. 2022.</w:t>
      </w:r>
    </w:p>
    <w:p w14:paraId="72E20BF0" w14:textId="77777777" w:rsidR="00227084" w:rsidRPr="009A26A4" w:rsidRDefault="00227084" w:rsidP="00227084">
      <w:pPr>
        <w:pStyle w:val="EndNoteBibliography"/>
        <w:spacing w:after="0"/>
        <w:rPr>
          <w:rFonts w:ascii="Aptos" w:hAnsi="Aptos"/>
          <w:noProof/>
          <w:sz w:val="21"/>
          <w:szCs w:val="21"/>
        </w:rPr>
      </w:pPr>
      <w:r w:rsidRPr="009A26A4">
        <w:rPr>
          <w:rFonts w:ascii="Aptos" w:hAnsi="Aptos"/>
          <w:noProof/>
          <w:sz w:val="21"/>
          <w:szCs w:val="21"/>
        </w:rPr>
        <w:t>64.</w:t>
      </w:r>
      <w:r w:rsidRPr="009A26A4">
        <w:rPr>
          <w:rFonts w:ascii="Aptos" w:hAnsi="Aptos"/>
          <w:noProof/>
          <w:sz w:val="21"/>
          <w:szCs w:val="21"/>
        </w:rPr>
        <w:tab/>
        <w:t>Ding FCL, Karkhaneh M, Zorzela L, Jou H, Vohra S. Probiotics for paediatric functional abdominal pain disorders: A rapid review. Paediatrics and Child Health (Canada). 2019;24(6):383-94.</w:t>
      </w:r>
    </w:p>
    <w:p w14:paraId="0CEF8221" w14:textId="77777777" w:rsidR="00227084" w:rsidRPr="009A26A4" w:rsidRDefault="00227084" w:rsidP="00227084">
      <w:pPr>
        <w:pStyle w:val="EndNoteBibliography"/>
        <w:spacing w:after="0"/>
        <w:rPr>
          <w:rFonts w:ascii="Aptos" w:hAnsi="Aptos"/>
          <w:noProof/>
          <w:sz w:val="21"/>
          <w:szCs w:val="21"/>
        </w:rPr>
      </w:pPr>
      <w:r w:rsidRPr="009A26A4">
        <w:rPr>
          <w:rFonts w:ascii="Aptos" w:hAnsi="Aptos"/>
          <w:noProof/>
          <w:sz w:val="21"/>
          <w:szCs w:val="21"/>
        </w:rPr>
        <w:t>65.</w:t>
      </w:r>
      <w:r w:rsidRPr="009A26A4">
        <w:rPr>
          <w:rFonts w:ascii="Aptos" w:hAnsi="Aptos"/>
          <w:noProof/>
          <w:sz w:val="21"/>
          <w:szCs w:val="21"/>
        </w:rPr>
        <w:tab/>
        <w:t>Corbitt M, Campagnolo N, Staines D, Marshall-Gradisnik S. A Systematic Review of Probiotic Interventions for Gastrointestinal Symptoms and Irritable Bowel Syndrome in Chronic Fatigue Syndrome/Myalgic Encephalomyelitis (CFS/ME). Probiotics and antimicrobial proteins. 2018;10(3):466-77.</w:t>
      </w:r>
    </w:p>
    <w:p w14:paraId="7E8557A6" w14:textId="77777777" w:rsidR="00227084" w:rsidRPr="009A26A4" w:rsidRDefault="00227084" w:rsidP="00227084">
      <w:pPr>
        <w:pStyle w:val="EndNoteBibliography"/>
        <w:spacing w:after="0"/>
        <w:rPr>
          <w:rFonts w:ascii="Aptos" w:hAnsi="Aptos"/>
          <w:noProof/>
          <w:sz w:val="21"/>
          <w:szCs w:val="21"/>
        </w:rPr>
      </w:pPr>
      <w:r w:rsidRPr="009A26A4">
        <w:rPr>
          <w:rFonts w:ascii="Aptos" w:hAnsi="Aptos"/>
          <w:noProof/>
          <w:sz w:val="21"/>
          <w:szCs w:val="21"/>
        </w:rPr>
        <w:t>66.</w:t>
      </w:r>
      <w:r w:rsidRPr="009A26A4">
        <w:rPr>
          <w:rFonts w:ascii="Aptos" w:hAnsi="Aptos"/>
          <w:noProof/>
          <w:sz w:val="21"/>
          <w:szCs w:val="21"/>
        </w:rPr>
        <w:tab/>
        <w:t>Connell M, Shin A, James-Stevenson T, Xu H, Imperiale TF, Herron J. Systematic review and meta-analysis: Efficacy of patented probiotic, VSL#3, in irritable bowel syndrome. Neurogastroenterology and motility : the official journal of the European Gastrointestinal Motility Society. 2018;30(12):e13427.</w:t>
      </w:r>
    </w:p>
    <w:p w14:paraId="2980CB9D" w14:textId="77777777" w:rsidR="00227084" w:rsidRPr="009A26A4" w:rsidRDefault="00227084" w:rsidP="00227084">
      <w:pPr>
        <w:pStyle w:val="EndNoteBibliography"/>
        <w:spacing w:after="0"/>
        <w:rPr>
          <w:rFonts w:ascii="Aptos" w:hAnsi="Aptos"/>
          <w:noProof/>
          <w:sz w:val="21"/>
          <w:szCs w:val="21"/>
        </w:rPr>
      </w:pPr>
      <w:r w:rsidRPr="009A26A4">
        <w:rPr>
          <w:rFonts w:ascii="Aptos" w:hAnsi="Aptos"/>
          <w:noProof/>
          <w:sz w:val="21"/>
          <w:szCs w:val="21"/>
        </w:rPr>
        <w:t>67.</w:t>
      </w:r>
      <w:r w:rsidRPr="009A26A4">
        <w:rPr>
          <w:rFonts w:ascii="Aptos" w:hAnsi="Aptos"/>
          <w:noProof/>
          <w:sz w:val="21"/>
          <w:szCs w:val="21"/>
        </w:rPr>
        <w:tab/>
        <w:t>Asha MZ, Khalil SFH. Efficacy and Safety of Probiotics, Prebiotics and Synbiotics in the Treatment of Irritable Bowel Syndrome: A systematic review and meta-analysis. Sultan Qaboos University medical journal. 2020;20(1):e13-e24.</w:t>
      </w:r>
    </w:p>
    <w:p w14:paraId="756F190C" w14:textId="77777777" w:rsidR="00227084" w:rsidRPr="009A26A4" w:rsidRDefault="00227084" w:rsidP="00227084">
      <w:pPr>
        <w:pStyle w:val="EndNoteBibliography"/>
        <w:spacing w:after="0"/>
        <w:rPr>
          <w:rFonts w:ascii="Aptos" w:hAnsi="Aptos"/>
          <w:noProof/>
          <w:sz w:val="21"/>
          <w:szCs w:val="21"/>
        </w:rPr>
      </w:pPr>
      <w:r w:rsidRPr="009A26A4">
        <w:rPr>
          <w:rFonts w:ascii="Aptos" w:hAnsi="Aptos"/>
          <w:noProof/>
          <w:sz w:val="21"/>
          <w:szCs w:val="21"/>
        </w:rPr>
        <w:t>68.</w:t>
      </w:r>
      <w:r w:rsidRPr="009A26A4">
        <w:rPr>
          <w:rFonts w:ascii="Aptos" w:hAnsi="Aptos"/>
          <w:noProof/>
          <w:sz w:val="21"/>
          <w:szCs w:val="21"/>
        </w:rPr>
        <w:tab/>
        <w:t>Abboud M, Rizk R, AlAnouti F, Papandreou D, Haidar S, Mahboub N. The Health Effects of Vitamin D and Probiotic Co-Supplementation: A Systematic Review of Randomized Controlled Trials. Nutrients. 2020;13(1).</w:t>
      </w:r>
    </w:p>
    <w:p w14:paraId="3A2D3637" w14:textId="77777777" w:rsidR="00227084" w:rsidRPr="009A26A4" w:rsidRDefault="00227084" w:rsidP="00227084">
      <w:pPr>
        <w:pStyle w:val="EndNoteBibliography"/>
        <w:spacing w:after="0"/>
        <w:rPr>
          <w:rFonts w:ascii="Aptos" w:hAnsi="Aptos"/>
          <w:noProof/>
          <w:sz w:val="21"/>
          <w:szCs w:val="21"/>
        </w:rPr>
      </w:pPr>
      <w:r w:rsidRPr="009A26A4">
        <w:rPr>
          <w:rFonts w:ascii="Aptos" w:hAnsi="Aptos"/>
          <w:noProof/>
          <w:sz w:val="21"/>
          <w:szCs w:val="21"/>
        </w:rPr>
        <w:t>69.</w:t>
      </w:r>
      <w:r w:rsidRPr="009A26A4">
        <w:rPr>
          <w:rFonts w:ascii="Aptos" w:hAnsi="Aptos"/>
          <w:noProof/>
          <w:sz w:val="21"/>
          <w:szCs w:val="21"/>
        </w:rPr>
        <w:tab/>
        <w:t>Ai YK, Liu ZS, Liu BY, Zhang YH, Li Y, Sun HS, et al. [Minimal clinically important difference of the frequency of bowel movement for patients with chronic severe functional constipation treated with acupuncture]. Zhongguo Zhen Jiu. 2022;42(11):1247-50.</w:t>
      </w:r>
    </w:p>
    <w:p w14:paraId="062CD122" w14:textId="77777777" w:rsidR="00227084" w:rsidRPr="009A26A4" w:rsidRDefault="00227084" w:rsidP="00227084">
      <w:pPr>
        <w:pStyle w:val="EndNoteBibliography"/>
        <w:spacing w:after="0"/>
        <w:rPr>
          <w:rFonts w:ascii="Aptos" w:hAnsi="Aptos"/>
          <w:noProof/>
          <w:sz w:val="21"/>
          <w:szCs w:val="21"/>
        </w:rPr>
      </w:pPr>
      <w:r w:rsidRPr="009A26A4">
        <w:rPr>
          <w:rFonts w:ascii="Aptos" w:hAnsi="Aptos"/>
          <w:noProof/>
          <w:sz w:val="21"/>
          <w:szCs w:val="21"/>
        </w:rPr>
        <w:t>70.</w:t>
      </w:r>
      <w:r w:rsidRPr="009A26A4">
        <w:rPr>
          <w:rFonts w:ascii="Aptos" w:hAnsi="Aptos"/>
          <w:noProof/>
          <w:sz w:val="21"/>
          <w:szCs w:val="21"/>
        </w:rPr>
        <w:tab/>
        <w:t>Bathgate CJ, Edinger JD. Chapter 1 - Diagnostic Criteria and Assessment of Sleep Disorders. In: Savard J, Ouellet M-C, editors. Handbook of Sleep Disorders in Medical Conditions: Academic Press; 2019. p. 3-25.</w:t>
      </w:r>
    </w:p>
    <w:p w14:paraId="72B2B527" w14:textId="77777777" w:rsidR="00227084" w:rsidRPr="009A26A4" w:rsidRDefault="00227084" w:rsidP="00227084">
      <w:pPr>
        <w:pStyle w:val="EndNoteBibliography"/>
        <w:spacing w:after="0"/>
        <w:rPr>
          <w:rFonts w:ascii="Aptos" w:hAnsi="Aptos"/>
          <w:noProof/>
          <w:sz w:val="21"/>
          <w:szCs w:val="21"/>
        </w:rPr>
      </w:pPr>
      <w:r w:rsidRPr="009A26A4">
        <w:rPr>
          <w:rFonts w:ascii="Aptos" w:hAnsi="Aptos"/>
          <w:noProof/>
          <w:sz w:val="21"/>
          <w:szCs w:val="21"/>
        </w:rPr>
        <w:t>71.</w:t>
      </w:r>
      <w:r w:rsidRPr="009A26A4">
        <w:rPr>
          <w:rFonts w:ascii="Aptos" w:hAnsi="Aptos"/>
          <w:noProof/>
          <w:sz w:val="21"/>
          <w:szCs w:val="21"/>
        </w:rPr>
        <w:tab/>
        <w:t>Appleton SL, Gill TK, Lang CJ, Taylor AW, McEvoy RD, Stocks NP, et al. Prevalence and comorbidity of sleep conditions in Australian adults: 2016 Sleep Health Foundation national survey. Sleep Health. 2018;4(1):13-9.</w:t>
      </w:r>
    </w:p>
    <w:p w14:paraId="0D1276A1" w14:textId="77777777" w:rsidR="00227084" w:rsidRPr="009A26A4" w:rsidRDefault="00227084" w:rsidP="00227084">
      <w:pPr>
        <w:pStyle w:val="EndNoteBibliography"/>
        <w:spacing w:after="0"/>
        <w:rPr>
          <w:rFonts w:ascii="Aptos" w:hAnsi="Aptos"/>
          <w:noProof/>
          <w:sz w:val="21"/>
          <w:szCs w:val="21"/>
        </w:rPr>
      </w:pPr>
      <w:r w:rsidRPr="009A26A4">
        <w:rPr>
          <w:rFonts w:ascii="Aptos" w:hAnsi="Aptos"/>
          <w:noProof/>
          <w:sz w:val="21"/>
          <w:szCs w:val="21"/>
        </w:rPr>
        <w:t>72.</w:t>
      </w:r>
      <w:r w:rsidRPr="009A26A4">
        <w:rPr>
          <w:rFonts w:ascii="Aptos" w:hAnsi="Aptos"/>
          <w:noProof/>
          <w:sz w:val="21"/>
          <w:szCs w:val="21"/>
        </w:rPr>
        <w:tab/>
        <w:t>McArdle N, Ward SV, Bucks RS, Maddison K, Smith A, Huang R-C, et al. The prevalence of common sleep disorders in young adults: a descriptive population-based study. Sleep. 2020;43(10):zsaa072.</w:t>
      </w:r>
    </w:p>
    <w:p w14:paraId="12C4AC1F" w14:textId="77777777" w:rsidR="00227084" w:rsidRPr="009A26A4" w:rsidRDefault="00227084" w:rsidP="00227084">
      <w:pPr>
        <w:pStyle w:val="EndNoteBibliography"/>
        <w:spacing w:after="0"/>
        <w:rPr>
          <w:rFonts w:ascii="Aptos" w:hAnsi="Aptos"/>
          <w:noProof/>
          <w:sz w:val="21"/>
          <w:szCs w:val="21"/>
        </w:rPr>
      </w:pPr>
      <w:r w:rsidRPr="009A26A4">
        <w:rPr>
          <w:rFonts w:ascii="Aptos" w:hAnsi="Aptos"/>
          <w:noProof/>
          <w:sz w:val="21"/>
          <w:szCs w:val="21"/>
        </w:rPr>
        <w:t>73.</w:t>
      </w:r>
      <w:r w:rsidRPr="009A26A4">
        <w:rPr>
          <w:rFonts w:ascii="Aptos" w:hAnsi="Aptos"/>
          <w:noProof/>
          <w:sz w:val="21"/>
          <w:szCs w:val="21"/>
        </w:rPr>
        <w:tab/>
        <w:t>Malhotra V, Harnett J, McIntyre E, Steel A, Wong K, Saini B. The prevalence and characteristics of complementary medicine use by Australians living with sleep disorders – Results of a cross-sectional study. Advances in Integrative Medicine. 2020;7(1):14-22.</w:t>
      </w:r>
    </w:p>
    <w:p w14:paraId="02E1F7CD" w14:textId="77777777" w:rsidR="00227084" w:rsidRPr="009A26A4" w:rsidRDefault="00227084" w:rsidP="00227084">
      <w:pPr>
        <w:pStyle w:val="EndNoteBibliography"/>
        <w:spacing w:after="0"/>
        <w:rPr>
          <w:rFonts w:ascii="Aptos" w:hAnsi="Aptos"/>
          <w:noProof/>
          <w:sz w:val="21"/>
          <w:szCs w:val="21"/>
        </w:rPr>
      </w:pPr>
      <w:r w:rsidRPr="009A26A4">
        <w:rPr>
          <w:rFonts w:ascii="Aptos" w:hAnsi="Aptos"/>
          <w:noProof/>
          <w:sz w:val="21"/>
          <w:szCs w:val="21"/>
        </w:rPr>
        <w:t>74.</w:t>
      </w:r>
      <w:r w:rsidRPr="009A26A4">
        <w:rPr>
          <w:rFonts w:ascii="Aptos" w:hAnsi="Aptos"/>
          <w:noProof/>
          <w:sz w:val="21"/>
          <w:szCs w:val="21"/>
        </w:rPr>
        <w:tab/>
        <w:t>Australian Institute of Health and Welfare. Sleep problems as a risk factor for chronic conditions. 2021.</w:t>
      </w:r>
    </w:p>
    <w:p w14:paraId="72A46A31" w14:textId="77777777" w:rsidR="00227084" w:rsidRPr="009A26A4" w:rsidRDefault="00227084" w:rsidP="00227084">
      <w:pPr>
        <w:pStyle w:val="EndNoteBibliography"/>
        <w:spacing w:after="0"/>
        <w:rPr>
          <w:rFonts w:ascii="Aptos" w:hAnsi="Aptos"/>
          <w:noProof/>
          <w:sz w:val="21"/>
          <w:szCs w:val="21"/>
        </w:rPr>
      </w:pPr>
      <w:r w:rsidRPr="009A26A4">
        <w:rPr>
          <w:rFonts w:ascii="Aptos" w:hAnsi="Aptos"/>
          <w:noProof/>
          <w:sz w:val="21"/>
          <w:szCs w:val="21"/>
        </w:rPr>
        <w:t>75.</w:t>
      </w:r>
      <w:r w:rsidRPr="009A26A4">
        <w:rPr>
          <w:rFonts w:ascii="Aptos" w:hAnsi="Aptos"/>
          <w:noProof/>
          <w:sz w:val="21"/>
          <w:szCs w:val="21"/>
        </w:rPr>
        <w:tab/>
        <w:t>Samara MT, Huhn M, Chiocchia V, Schneider-Thoma J, Wiegand M, Salanti G, et al. Efficacy, acceptability, and tolerability of all available treatments for insomnia in the elderly: a systematic review and network meta-analysis. Acta Psychiatr Scand. 2020;142(1):6-17.</w:t>
      </w:r>
    </w:p>
    <w:p w14:paraId="6EAF8E94" w14:textId="77777777" w:rsidR="00227084" w:rsidRPr="009A26A4" w:rsidRDefault="00227084" w:rsidP="00227084">
      <w:pPr>
        <w:pStyle w:val="EndNoteBibliography"/>
        <w:spacing w:after="0"/>
        <w:rPr>
          <w:rFonts w:ascii="Aptos" w:hAnsi="Aptos"/>
          <w:noProof/>
          <w:sz w:val="21"/>
          <w:szCs w:val="21"/>
        </w:rPr>
      </w:pPr>
      <w:r w:rsidRPr="009A26A4">
        <w:rPr>
          <w:rFonts w:ascii="Aptos" w:hAnsi="Aptos"/>
          <w:noProof/>
          <w:sz w:val="21"/>
          <w:szCs w:val="21"/>
        </w:rPr>
        <w:t>76.</w:t>
      </w:r>
      <w:r w:rsidRPr="009A26A4">
        <w:rPr>
          <w:rFonts w:ascii="Aptos" w:hAnsi="Aptos"/>
          <w:noProof/>
          <w:sz w:val="21"/>
          <w:szCs w:val="21"/>
        </w:rPr>
        <w:tab/>
        <w:t>Mah J, Pitre T. Oral magnesium supplementation for insomnia in older adults: a Systematic Review &amp; Meta-Analysis. BMC Complementary Medicine and Therapies. 2021;21(1):125.</w:t>
      </w:r>
    </w:p>
    <w:p w14:paraId="2625C2AA" w14:textId="77777777" w:rsidR="00227084" w:rsidRPr="009A26A4" w:rsidRDefault="00227084" w:rsidP="00227084">
      <w:pPr>
        <w:pStyle w:val="EndNoteBibliography"/>
        <w:spacing w:after="0"/>
        <w:rPr>
          <w:rFonts w:ascii="Aptos" w:hAnsi="Aptos"/>
          <w:noProof/>
          <w:sz w:val="21"/>
          <w:szCs w:val="21"/>
        </w:rPr>
      </w:pPr>
      <w:r w:rsidRPr="009A26A4">
        <w:rPr>
          <w:rFonts w:ascii="Aptos" w:hAnsi="Aptos"/>
          <w:noProof/>
          <w:sz w:val="21"/>
          <w:szCs w:val="21"/>
        </w:rPr>
        <w:t>77.</w:t>
      </w:r>
      <w:r w:rsidRPr="009A26A4">
        <w:rPr>
          <w:rFonts w:ascii="Aptos" w:hAnsi="Aptos"/>
          <w:noProof/>
          <w:sz w:val="21"/>
          <w:szCs w:val="21"/>
        </w:rPr>
        <w:tab/>
        <w:t>Zhan S, Ye H, Li N, Zhang Y, Cheng Y, Wang Y, et al. Comparative Efficacy and Safety of Multiple Wake-Promoting Agents for the Treatment of Excessive Daytime Sleepiness in Narcolepsy: A Network Meta-Analysis. Nat Sci Sleep. 2023;15:217-30.</w:t>
      </w:r>
    </w:p>
    <w:p w14:paraId="7BEAA253" w14:textId="77777777" w:rsidR="00227084" w:rsidRPr="009A26A4" w:rsidRDefault="00227084" w:rsidP="00227084">
      <w:pPr>
        <w:pStyle w:val="EndNoteBibliography"/>
        <w:spacing w:after="0"/>
        <w:rPr>
          <w:rFonts w:ascii="Aptos" w:hAnsi="Aptos"/>
          <w:noProof/>
          <w:sz w:val="21"/>
          <w:szCs w:val="21"/>
        </w:rPr>
      </w:pPr>
      <w:r w:rsidRPr="009A26A4">
        <w:rPr>
          <w:rFonts w:ascii="Aptos" w:hAnsi="Aptos"/>
          <w:noProof/>
          <w:sz w:val="21"/>
          <w:szCs w:val="21"/>
        </w:rPr>
        <w:lastRenderedPageBreak/>
        <w:t>78.</w:t>
      </w:r>
      <w:r w:rsidRPr="009A26A4">
        <w:rPr>
          <w:rFonts w:ascii="Aptos" w:hAnsi="Aptos"/>
          <w:noProof/>
          <w:sz w:val="21"/>
          <w:szCs w:val="21"/>
        </w:rPr>
        <w:tab/>
        <w:t>Chan V, Lo K. Efficacy of dietary supplements on improving sleep quality: a systematic review and meta-analysis. Postgraduate Medical Journal. 2022;98(1158):285-93.</w:t>
      </w:r>
    </w:p>
    <w:p w14:paraId="67696910" w14:textId="77777777" w:rsidR="00227084" w:rsidRPr="009A26A4" w:rsidRDefault="00227084" w:rsidP="00227084">
      <w:pPr>
        <w:pStyle w:val="EndNoteBibliography"/>
        <w:spacing w:after="0"/>
        <w:rPr>
          <w:rFonts w:ascii="Aptos" w:hAnsi="Aptos"/>
          <w:noProof/>
          <w:sz w:val="21"/>
          <w:szCs w:val="21"/>
        </w:rPr>
      </w:pPr>
      <w:r w:rsidRPr="009A26A4">
        <w:rPr>
          <w:rFonts w:ascii="Aptos" w:hAnsi="Aptos"/>
          <w:noProof/>
          <w:sz w:val="21"/>
          <w:szCs w:val="21"/>
        </w:rPr>
        <w:t>79.</w:t>
      </w:r>
      <w:r w:rsidRPr="009A26A4">
        <w:rPr>
          <w:rFonts w:ascii="Aptos" w:hAnsi="Aptos"/>
          <w:noProof/>
          <w:sz w:val="21"/>
          <w:szCs w:val="21"/>
        </w:rPr>
        <w:tab/>
        <w:t>McDonnell LM, Hogg L, McDonnell L, White P. Pulmonary rehabilitation and sleep quality: a before and after controlled study of patients with chronic obstructive pulmonary disease. NPJ Prim Care Respir Med. 2014;24:14028.</w:t>
      </w:r>
    </w:p>
    <w:p w14:paraId="2C2D4426" w14:textId="77777777" w:rsidR="00227084" w:rsidRPr="009A26A4" w:rsidRDefault="00227084" w:rsidP="00227084">
      <w:pPr>
        <w:pStyle w:val="EndNoteBibliography"/>
        <w:spacing w:after="0"/>
        <w:rPr>
          <w:rFonts w:ascii="Aptos" w:hAnsi="Aptos"/>
          <w:noProof/>
          <w:sz w:val="21"/>
          <w:szCs w:val="21"/>
        </w:rPr>
      </w:pPr>
      <w:r w:rsidRPr="009A26A4">
        <w:rPr>
          <w:rFonts w:ascii="Aptos" w:hAnsi="Aptos"/>
          <w:noProof/>
          <w:sz w:val="21"/>
          <w:szCs w:val="21"/>
        </w:rPr>
        <w:t>80.</w:t>
      </w:r>
      <w:r w:rsidRPr="009A26A4">
        <w:rPr>
          <w:rFonts w:ascii="Aptos" w:hAnsi="Aptos"/>
          <w:noProof/>
          <w:sz w:val="21"/>
          <w:szCs w:val="21"/>
        </w:rPr>
        <w:tab/>
        <w:t>Papaconstantinou E, Cancelliere C, Verville L, Wong JJ, Connell G, Yu H, et al. Effectiveness of non-pharmacological interventions on sleep characteristics among adults with musculoskeletal pain and a comorbid sleep problem: a systematic review. Chiropr Man Therap. 2021;29(1):23.</w:t>
      </w:r>
    </w:p>
    <w:p w14:paraId="61F3DB14" w14:textId="074B3C54" w:rsidR="00227084" w:rsidRPr="009A26A4" w:rsidRDefault="00227084" w:rsidP="00227084">
      <w:pPr>
        <w:pStyle w:val="EndNoteBibliography"/>
        <w:spacing w:after="0"/>
        <w:rPr>
          <w:rFonts w:ascii="Aptos" w:hAnsi="Aptos"/>
          <w:noProof/>
          <w:sz w:val="21"/>
          <w:szCs w:val="21"/>
        </w:rPr>
      </w:pPr>
      <w:r w:rsidRPr="009A26A4">
        <w:rPr>
          <w:rFonts w:ascii="Aptos" w:hAnsi="Aptos"/>
          <w:noProof/>
          <w:sz w:val="21"/>
          <w:szCs w:val="21"/>
        </w:rPr>
        <w:t>81.</w:t>
      </w:r>
      <w:r w:rsidRPr="009A26A4">
        <w:rPr>
          <w:rFonts w:ascii="Aptos" w:hAnsi="Aptos"/>
          <w:noProof/>
          <w:sz w:val="21"/>
          <w:szCs w:val="21"/>
        </w:rPr>
        <w:tab/>
        <w:t xml:space="preserve">Australian Bureau of Statistics. National Study of Mental Health and Wellbeing: ABS; 2022 [Available from: </w:t>
      </w:r>
      <w:r w:rsidRPr="0072562E">
        <w:rPr>
          <w:rFonts w:ascii="Aptos" w:hAnsi="Aptos"/>
          <w:noProof/>
          <w:sz w:val="21"/>
          <w:szCs w:val="21"/>
        </w:rPr>
        <w:t>https://www.abs.gov.au/statistics/health/mental-health/national-study-mental-health-and-wellbeing/latest-release</w:t>
      </w:r>
      <w:r w:rsidRPr="009A26A4">
        <w:rPr>
          <w:rFonts w:ascii="Aptos" w:hAnsi="Aptos"/>
          <w:noProof/>
          <w:sz w:val="21"/>
          <w:szCs w:val="21"/>
        </w:rPr>
        <w:t>.</w:t>
      </w:r>
    </w:p>
    <w:p w14:paraId="14807B53" w14:textId="28AEA363" w:rsidR="00227084" w:rsidRPr="009A26A4" w:rsidRDefault="00227084" w:rsidP="00227084">
      <w:pPr>
        <w:pStyle w:val="EndNoteBibliography"/>
        <w:spacing w:after="0"/>
        <w:rPr>
          <w:rFonts w:ascii="Aptos" w:hAnsi="Aptos"/>
          <w:noProof/>
          <w:sz w:val="21"/>
          <w:szCs w:val="21"/>
        </w:rPr>
      </w:pPr>
      <w:r w:rsidRPr="009A26A4">
        <w:rPr>
          <w:rFonts w:ascii="Aptos" w:hAnsi="Aptos"/>
          <w:noProof/>
          <w:sz w:val="21"/>
          <w:szCs w:val="21"/>
        </w:rPr>
        <w:t>82.</w:t>
      </w:r>
      <w:r w:rsidRPr="009A26A4">
        <w:rPr>
          <w:rFonts w:ascii="Aptos" w:hAnsi="Aptos"/>
          <w:noProof/>
          <w:sz w:val="21"/>
          <w:szCs w:val="21"/>
        </w:rPr>
        <w:tab/>
        <w:t xml:space="preserve">World Health Organisation. Depressive disorder (depression) 2023 [Available from: </w:t>
      </w:r>
      <w:r w:rsidRPr="0072562E">
        <w:rPr>
          <w:rFonts w:ascii="Aptos" w:hAnsi="Aptos"/>
          <w:noProof/>
          <w:sz w:val="21"/>
          <w:szCs w:val="21"/>
        </w:rPr>
        <w:t>https://www.who.int/news-room/fact-sheets/detail/depression</w:t>
      </w:r>
      <w:r w:rsidRPr="009A26A4">
        <w:rPr>
          <w:rFonts w:ascii="Aptos" w:hAnsi="Aptos"/>
          <w:noProof/>
          <w:sz w:val="21"/>
          <w:szCs w:val="21"/>
        </w:rPr>
        <w:t>.</w:t>
      </w:r>
    </w:p>
    <w:p w14:paraId="66874366" w14:textId="77777777" w:rsidR="00227084" w:rsidRPr="009A26A4" w:rsidRDefault="00227084" w:rsidP="00227084">
      <w:pPr>
        <w:pStyle w:val="EndNoteBibliography"/>
        <w:spacing w:after="0"/>
        <w:rPr>
          <w:rFonts w:ascii="Aptos" w:hAnsi="Aptos"/>
          <w:noProof/>
          <w:sz w:val="21"/>
          <w:szCs w:val="21"/>
        </w:rPr>
      </w:pPr>
      <w:r w:rsidRPr="009A26A4">
        <w:rPr>
          <w:rFonts w:ascii="Aptos" w:hAnsi="Aptos"/>
          <w:noProof/>
          <w:sz w:val="21"/>
          <w:szCs w:val="21"/>
        </w:rPr>
        <w:t>83.</w:t>
      </w:r>
      <w:r w:rsidRPr="009A26A4">
        <w:rPr>
          <w:rFonts w:ascii="Aptos" w:hAnsi="Aptos"/>
          <w:noProof/>
          <w:sz w:val="21"/>
          <w:szCs w:val="21"/>
        </w:rPr>
        <w:tab/>
        <w:t>Moreno-Agostino D, Wu Y-T, Daskalopoulou C, Hasan MT, Huisman M, Prina M. Global trends in the prevalence and incidence of depression:a systematic review and meta-analysis. Journal of Affective Disorders. 2021;281:235-43.</w:t>
      </w:r>
    </w:p>
    <w:p w14:paraId="35E6EE7A" w14:textId="77777777" w:rsidR="00227084" w:rsidRPr="009A26A4" w:rsidRDefault="00227084" w:rsidP="00227084">
      <w:pPr>
        <w:pStyle w:val="EndNoteBibliography"/>
        <w:spacing w:after="0"/>
        <w:rPr>
          <w:rFonts w:ascii="Aptos" w:hAnsi="Aptos"/>
          <w:noProof/>
          <w:sz w:val="21"/>
          <w:szCs w:val="21"/>
        </w:rPr>
      </w:pPr>
      <w:r w:rsidRPr="009A26A4">
        <w:rPr>
          <w:rFonts w:ascii="Aptos" w:hAnsi="Aptos"/>
          <w:noProof/>
          <w:sz w:val="21"/>
          <w:szCs w:val="21"/>
        </w:rPr>
        <w:t>84.</w:t>
      </w:r>
      <w:r w:rsidRPr="009A26A4">
        <w:rPr>
          <w:rFonts w:ascii="Aptos" w:hAnsi="Aptos"/>
          <w:noProof/>
          <w:sz w:val="21"/>
          <w:szCs w:val="21"/>
        </w:rPr>
        <w:tab/>
        <w:t>Gold SM, Köhler-Forsberg O, Moss-Morris R, Mehnert A, Miranda JJ, Bullinger M, et al. Comorbid depression in medical diseases. Nature Reviews Disease Primers. 2020;6(1):69.</w:t>
      </w:r>
    </w:p>
    <w:p w14:paraId="145E1C23" w14:textId="77777777" w:rsidR="00227084" w:rsidRPr="009A26A4" w:rsidRDefault="00227084" w:rsidP="00227084">
      <w:pPr>
        <w:pStyle w:val="EndNoteBibliography"/>
        <w:spacing w:after="0"/>
        <w:rPr>
          <w:rFonts w:ascii="Aptos" w:hAnsi="Aptos"/>
          <w:noProof/>
          <w:sz w:val="21"/>
          <w:szCs w:val="21"/>
        </w:rPr>
      </w:pPr>
      <w:r w:rsidRPr="009A26A4">
        <w:rPr>
          <w:rFonts w:ascii="Aptos" w:hAnsi="Aptos"/>
          <w:noProof/>
          <w:sz w:val="21"/>
          <w:szCs w:val="21"/>
        </w:rPr>
        <w:t>85.</w:t>
      </w:r>
      <w:r w:rsidRPr="009A26A4">
        <w:rPr>
          <w:rFonts w:ascii="Aptos" w:hAnsi="Aptos"/>
          <w:noProof/>
          <w:sz w:val="21"/>
          <w:szCs w:val="21"/>
        </w:rPr>
        <w:tab/>
        <w:t>Ferrari AJ, Charlson FJ, Norman RE, Patten SB, Freedman G, Murray CJ, et al. Burden of depressive disorders by country, sex, age, and year: findings from the global burden of disease study 2010. PLoS Med. 2013;10(11):e1001547.</w:t>
      </w:r>
    </w:p>
    <w:p w14:paraId="7634D98F" w14:textId="77777777" w:rsidR="00227084" w:rsidRPr="009A26A4" w:rsidRDefault="00227084" w:rsidP="00227084">
      <w:pPr>
        <w:pStyle w:val="EndNoteBibliography"/>
        <w:spacing w:after="0"/>
        <w:rPr>
          <w:rFonts w:ascii="Aptos" w:hAnsi="Aptos"/>
          <w:noProof/>
          <w:sz w:val="21"/>
          <w:szCs w:val="21"/>
        </w:rPr>
      </w:pPr>
      <w:r w:rsidRPr="009A26A4">
        <w:rPr>
          <w:rFonts w:ascii="Aptos" w:hAnsi="Aptos"/>
          <w:noProof/>
          <w:sz w:val="21"/>
          <w:szCs w:val="21"/>
        </w:rPr>
        <w:t>86.</w:t>
      </w:r>
      <w:r w:rsidRPr="009A26A4">
        <w:rPr>
          <w:rFonts w:ascii="Aptos" w:hAnsi="Aptos"/>
          <w:noProof/>
          <w:sz w:val="21"/>
          <w:szCs w:val="21"/>
        </w:rPr>
        <w:tab/>
        <w:t>Australian Institute of Health and Welfare. Australian Burden of Disease Study 2022. 2022.</w:t>
      </w:r>
    </w:p>
    <w:p w14:paraId="63BDECCA" w14:textId="77777777" w:rsidR="00227084" w:rsidRPr="009A26A4" w:rsidRDefault="00227084" w:rsidP="00227084">
      <w:pPr>
        <w:pStyle w:val="EndNoteBibliography"/>
        <w:spacing w:after="0"/>
        <w:rPr>
          <w:rFonts w:ascii="Aptos" w:hAnsi="Aptos"/>
          <w:noProof/>
          <w:sz w:val="21"/>
          <w:szCs w:val="21"/>
        </w:rPr>
      </w:pPr>
      <w:r w:rsidRPr="009A26A4">
        <w:rPr>
          <w:rFonts w:ascii="Aptos" w:hAnsi="Aptos"/>
          <w:noProof/>
          <w:sz w:val="21"/>
          <w:szCs w:val="21"/>
        </w:rPr>
        <w:t>87.</w:t>
      </w:r>
      <w:r w:rsidRPr="009A26A4">
        <w:rPr>
          <w:rFonts w:ascii="Aptos" w:hAnsi="Aptos"/>
          <w:noProof/>
          <w:sz w:val="21"/>
          <w:szCs w:val="21"/>
        </w:rPr>
        <w:tab/>
        <w:t>Calder PC. Omega-3 fatty acids and inflammatory processes: from molecules to man. Biochem Soc Trans. 2017;45(5):1105-15.</w:t>
      </w:r>
    </w:p>
    <w:p w14:paraId="284FEDCB" w14:textId="77777777" w:rsidR="00227084" w:rsidRPr="009A26A4" w:rsidRDefault="00227084" w:rsidP="00227084">
      <w:pPr>
        <w:pStyle w:val="EndNoteBibliography"/>
        <w:spacing w:after="0"/>
        <w:rPr>
          <w:rFonts w:ascii="Aptos" w:hAnsi="Aptos"/>
          <w:noProof/>
          <w:sz w:val="21"/>
          <w:szCs w:val="21"/>
        </w:rPr>
      </w:pPr>
      <w:r w:rsidRPr="009A26A4">
        <w:rPr>
          <w:rFonts w:ascii="Aptos" w:hAnsi="Aptos"/>
          <w:noProof/>
          <w:sz w:val="21"/>
          <w:szCs w:val="21"/>
        </w:rPr>
        <w:t>88.</w:t>
      </w:r>
      <w:r w:rsidRPr="009A26A4">
        <w:rPr>
          <w:rFonts w:ascii="Aptos" w:hAnsi="Aptos"/>
          <w:noProof/>
          <w:sz w:val="21"/>
          <w:szCs w:val="21"/>
        </w:rPr>
        <w:tab/>
        <w:t>Khan SU, Lone AN, Khan MS, Virani SS, Blumenthal RS, Nasir K, et al. Effect of omega-3 fatty acids on cardiovascular outcomes: A systematic review and meta-analysis. EClinicalMedicine. 2021;38:100997.</w:t>
      </w:r>
    </w:p>
    <w:p w14:paraId="60D67D8B" w14:textId="0E87EBBD" w:rsidR="00227084" w:rsidRPr="009A26A4" w:rsidRDefault="00227084" w:rsidP="00227084">
      <w:pPr>
        <w:pStyle w:val="EndNoteBibliography"/>
        <w:spacing w:after="0"/>
        <w:rPr>
          <w:rFonts w:ascii="Aptos" w:hAnsi="Aptos"/>
          <w:noProof/>
          <w:sz w:val="21"/>
          <w:szCs w:val="21"/>
        </w:rPr>
      </w:pPr>
      <w:r w:rsidRPr="009A26A4">
        <w:rPr>
          <w:rFonts w:ascii="Aptos" w:hAnsi="Aptos"/>
          <w:noProof/>
          <w:sz w:val="21"/>
          <w:szCs w:val="21"/>
        </w:rPr>
        <w:t>89.</w:t>
      </w:r>
      <w:r w:rsidRPr="009A26A4">
        <w:rPr>
          <w:rFonts w:ascii="Aptos" w:hAnsi="Aptos"/>
          <w:noProof/>
          <w:sz w:val="21"/>
          <w:szCs w:val="21"/>
        </w:rPr>
        <w:tab/>
        <w:t xml:space="preserve">National Institutes of Health. Omega-3 Fatty Acids Fact Sheet for Health Professionals 2023 [Available from: </w:t>
      </w:r>
      <w:r w:rsidRPr="0072562E">
        <w:rPr>
          <w:rFonts w:ascii="Aptos" w:hAnsi="Aptos"/>
          <w:noProof/>
          <w:sz w:val="21"/>
          <w:szCs w:val="21"/>
        </w:rPr>
        <w:t>https://ods.od.nih.gov/factsheets/Omega3FattyAcids-HealthProfessional/</w:t>
      </w:r>
      <w:r w:rsidRPr="009A26A4">
        <w:rPr>
          <w:rFonts w:ascii="Aptos" w:hAnsi="Aptos"/>
          <w:noProof/>
          <w:sz w:val="21"/>
          <w:szCs w:val="21"/>
        </w:rPr>
        <w:t>.</w:t>
      </w:r>
    </w:p>
    <w:p w14:paraId="1827D8B1" w14:textId="77777777" w:rsidR="00227084" w:rsidRPr="009A26A4" w:rsidRDefault="00227084" w:rsidP="00227084">
      <w:pPr>
        <w:pStyle w:val="EndNoteBibliography"/>
        <w:spacing w:after="0"/>
        <w:rPr>
          <w:rFonts w:ascii="Aptos" w:hAnsi="Aptos"/>
          <w:noProof/>
          <w:sz w:val="21"/>
          <w:szCs w:val="21"/>
        </w:rPr>
      </w:pPr>
      <w:r w:rsidRPr="009A26A4">
        <w:rPr>
          <w:rFonts w:ascii="Aptos" w:hAnsi="Aptos"/>
          <w:noProof/>
          <w:sz w:val="21"/>
          <w:szCs w:val="21"/>
        </w:rPr>
        <w:t>90.</w:t>
      </w:r>
      <w:r w:rsidRPr="009A26A4">
        <w:rPr>
          <w:rFonts w:ascii="Aptos" w:hAnsi="Aptos"/>
          <w:noProof/>
          <w:sz w:val="21"/>
          <w:szCs w:val="21"/>
        </w:rPr>
        <w:tab/>
        <w:t>Grosso G, Galvano F, Marventano S, Malaguarnera M, Bucolo C, Drago F, et al. Omega-3 Fatty Acids and Depression: Scientific Evidence and Biological Mechanisms. Oxidative Medicine and Cellular Longevity. 2014;2014:313570.</w:t>
      </w:r>
    </w:p>
    <w:p w14:paraId="21CEC87B" w14:textId="77777777" w:rsidR="00227084" w:rsidRPr="009A26A4" w:rsidRDefault="00227084" w:rsidP="00227084">
      <w:pPr>
        <w:pStyle w:val="EndNoteBibliography"/>
        <w:spacing w:after="0"/>
        <w:rPr>
          <w:rFonts w:ascii="Aptos" w:hAnsi="Aptos"/>
          <w:noProof/>
          <w:sz w:val="21"/>
          <w:szCs w:val="21"/>
        </w:rPr>
      </w:pPr>
      <w:r w:rsidRPr="009A26A4">
        <w:rPr>
          <w:rFonts w:ascii="Aptos" w:hAnsi="Aptos"/>
          <w:noProof/>
          <w:sz w:val="21"/>
          <w:szCs w:val="21"/>
        </w:rPr>
        <w:t>91.</w:t>
      </w:r>
      <w:r w:rsidRPr="009A26A4">
        <w:rPr>
          <w:rFonts w:ascii="Aptos" w:hAnsi="Aptos"/>
          <w:noProof/>
          <w:sz w:val="21"/>
          <w:szCs w:val="21"/>
        </w:rPr>
        <w:tab/>
        <w:t>Liao Y, Xie B, Zhang H, He Q, Guo L, Subramanieapillai M, et al. Efficacy of omega-3 PUFAs in depression: A meta-analysis. Transl Psychiatry. 2019;9(1):190.</w:t>
      </w:r>
    </w:p>
    <w:p w14:paraId="332DDFD2" w14:textId="77777777" w:rsidR="00227084" w:rsidRPr="009A26A4" w:rsidRDefault="00227084" w:rsidP="00227084">
      <w:pPr>
        <w:pStyle w:val="EndNoteBibliography"/>
        <w:spacing w:after="0"/>
        <w:rPr>
          <w:rFonts w:ascii="Aptos" w:hAnsi="Aptos"/>
          <w:noProof/>
          <w:sz w:val="21"/>
          <w:szCs w:val="21"/>
        </w:rPr>
      </w:pPr>
      <w:r w:rsidRPr="009A26A4">
        <w:rPr>
          <w:rFonts w:ascii="Aptos" w:hAnsi="Aptos"/>
          <w:noProof/>
          <w:sz w:val="21"/>
          <w:szCs w:val="21"/>
        </w:rPr>
        <w:t>92.</w:t>
      </w:r>
      <w:r w:rsidRPr="009A26A4">
        <w:rPr>
          <w:rFonts w:ascii="Aptos" w:hAnsi="Aptos"/>
          <w:noProof/>
          <w:sz w:val="21"/>
          <w:szCs w:val="21"/>
        </w:rPr>
        <w:tab/>
        <w:t>Appleton KM, Voyias PD, Sallis HM, Dawson S, Ness AR, Churchill R, et al. Omega-3 fatty acids for depression in adults. The Cochrane database of systematic reviews. 2021;11:CD004692.</w:t>
      </w:r>
    </w:p>
    <w:p w14:paraId="7ACB297F" w14:textId="77777777" w:rsidR="00227084" w:rsidRPr="009A26A4" w:rsidRDefault="00227084" w:rsidP="00227084">
      <w:pPr>
        <w:pStyle w:val="EndNoteBibliography"/>
        <w:spacing w:after="0"/>
        <w:rPr>
          <w:rFonts w:ascii="Aptos" w:hAnsi="Aptos"/>
          <w:noProof/>
          <w:sz w:val="21"/>
          <w:szCs w:val="21"/>
        </w:rPr>
      </w:pPr>
      <w:r w:rsidRPr="009A26A4">
        <w:rPr>
          <w:rFonts w:ascii="Aptos" w:hAnsi="Aptos"/>
          <w:noProof/>
          <w:sz w:val="21"/>
          <w:szCs w:val="21"/>
        </w:rPr>
        <w:t>93.</w:t>
      </w:r>
      <w:r w:rsidRPr="009A26A4">
        <w:rPr>
          <w:rFonts w:ascii="Aptos" w:hAnsi="Aptos"/>
          <w:noProof/>
          <w:sz w:val="21"/>
          <w:szCs w:val="21"/>
        </w:rPr>
        <w:tab/>
        <w:t>Appleton KM, Sallis HM, Perry R, Ness AR, Churchill R. ω-3 Fatty acids for major depressive disorder in adults: an abridged Cochrane review. BMJ open. 2016;6(3):e010172.</w:t>
      </w:r>
    </w:p>
    <w:p w14:paraId="6726B7B3" w14:textId="77777777" w:rsidR="00227084" w:rsidRPr="009A26A4" w:rsidRDefault="00227084" w:rsidP="00227084">
      <w:pPr>
        <w:pStyle w:val="EndNoteBibliography"/>
        <w:spacing w:after="0"/>
        <w:rPr>
          <w:rFonts w:ascii="Aptos" w:hAnsi="Aptos"/>
          <w:noProof/>
          <w:sz w:val="21"/>
          <w:szCs w:val="21"/>
        </w:rPr>
      </w:pPr>
      <w:r w:rsidRPr="009A26A4">
        <w:rPr>
          <w:rFonts w:ascii="Aptos" w:hAnsi="Aptos"/>
          <w:noProof/>
          <w:sz w:val="21"/>
          <w:szCs w:val="21"/>
        </w:rPr>
        <w:t>94.</w:t>
      </w:r>
      <w:r w:rsidRPr="009A26A4">
        <w:rPr>
          <w:rFonts w:ascii="Aptos" w:hAnsi="Aptos"/>
          <w:noProof/>
          <w:sz w:val="21"/>
          <w:szCs w:val="21"/>
        </w:rPr>
        <w:tab/>
        <w:t>Appleton KM, Sallis HM, Perry R, Ness AR, Churchill R. Omega-3 fatty acids for depression in adults. Cochrane Database Syst Rev. 2015;2015(11):Cd004692.</w:t>
      </w:r>
    </w:p>
    <w:p w14:paraId="33A3C70B" w14:textId="77777777" w:rsidR="00227084" w:rsidRPr="009A26A4" w:rsidRDefault="00227084" w:rsidP="00227084">
      <w:pPr>
        <w:pStyle w:val="EndNoteBibliography"/>
        <w:spacing w:after="0"/>
        <w:rPr>
          <w:rFonts w:ascii="Aptos" w:hAnsi="Aptos"/>
          <w:noProof/>
          <w:sz w:val="21"/>
          <w:szCs w:val="21"/>
        </w:rPr>
      </w:pPr>
      <w:r w:rsidRPr="009A26A4">
        <w:rPr>
          <w:rFonts w:ascii="Aptos" w:hAnsi="Aptos"/>
          <w:noProof/>
          <w:sz w:val="21"/>
          <w:szCs w:val="21"/>
        </w:rPr>
        <w:lastRenderedPageBreak/>
        <w:t>95.</w:t>
      </w:r>
      <w:r w:rsidRPr="009A26A4">
        <w:rPr>
          <w:rFonts w:ascii="Aptos" w:hAnsi="Aptos"/>
          <w:noProof/>
          <w:sz w:val="21"/>
          <w:szCs w:val="21"/>
        </w:rPr>
        <w:tab/>
        <w:t>Bai ZG, Bo A, Wu SJ, Gai QY, Chi I. Omega-3 polyunsaturated fatty acids and reduction of depressive symptoms in older adults: A systematic review and meta-analysis. J Affect Disord. 2018;241:241-8.</w:t>
      </w:r>
    </w:p>
    <w:p w14:paraId="019CEA26" w14:textId="77777777" w:rsidR="00227084" w:rsidRPr="009A26A4" w:rsidRDefault="00227084" w:rsidP="00227084">
      <w:pPr>
        <w:pStyle w:val="EndNoteBibliography"/>
        <w:spacing w:after="0"/>
        <w:rPr>
          <w:rFonts w:ascii="Aptos" w:hAnsi="Aptos"/>
          <w:noProof/>
          <w:sz w:val="21"/>
          <w:szCs w:val="21"/>
        </w:rPr>
      </w:pPr>
      <w:r w:rsidRPr="009A26A4">
        <w:rPr>
          <w:rFonts w:ascii="Aptos" w:hAnsi="Aptos"/>
          <w:noProof/>
          <w:sz w:val="21"/>
          <w:szCs w:val="21"/>
        </w:rPr>
        <w:t>96.</w:t>
      </w:r>
      <w:r w:rsidRPr="009A26A4">
        <w:rPr>
          <w:rFonts w:ascii="Aptos" w:hAnsi="Aptos"/>
          <w:noProof/>
          <w:sz w:val="21"/>
          <w:szCs w:val="21"/>
        </w:rPr>
        <w:tab/>
        <w:t>Bae J-H, Kim G. Systematic review and meta-analysis of omega-3-fatty acids in elderly patients with depression. Nutrition Research. 2018;50:1-9.</w:t>
      </w:r>
    </w:p>
    <w:p w14:paraId="7EAE2026" w14:textId="77777777" w:rsidR="00227084" w:rsidRPr="009A26A4" w:rsidRDefault="00227084" w:rsidP="00227084">
      <w:pPr>
        <w:pStyle w:val="EndNoteBibliography"/>
        <w:spacing w:after="0"/>
        <w:rPr>
          <w:rFonts w:ascii="Aptos" w:hAnsi="Aptos"/>
          <w:noProof/>
          <w:sz w:val="21"/>
          <w:szCs w:val="21"/>
        </w:rPr>
      </w:pPr>
      <w:r w:rsidRPr="009A26A4">
        <w:rPr>
          <w:rFonts w:ascii="Aptos" w:hAnsi="Aptos"/>
          <w:noProof/>
          <w:sz w:val="21"/>
          <w:szCs w:val="21"/>
        </w:rPr>
        <w:t>97.</w:t>
      </w:r>
      <w:r w:rsidRPr="009A26A4">
        <w:rPr>
          <w:rFonts w:ascii="Aptos" w:hAnsi="Aptos"/>
          <w:noProof/>
          <w:sz w:val="21"/>
          <w:szCs w:val="21"/>
        </w:rPr>
        <w:tab/>
        <w:t>Zhang L, Liu H, Kuang L, Meng H, Zhou X. Omega-3 fatty acids for the treatment of depressive disorders in children and adolescents: A meta-analysis of randomized placebo-controlled trials. Child and Adolescent Psychiatry and Mental Health. 2019;13(1):36.</w:t>
      </w:r>
    </w:p>
    <w:p w14:paraId="4C00441A" w14:textId="77777777" w:rsidR="00227084" w:rsidRPr="009A26A4" w:rsidRDefault="00227084" w:rsidP="00227084">
      <w:pPr>
        <w:pStyle w:val="EndNoteBibliography"/>
        <w:spacing w:after="0"/>
        <w:rPr>
          <w:rFonts w:ascii="Aptos" w:hAnsi="Aptos"/>
          <w:noProof/>
          <w:sz w:val="21"/>
          <w:szCs w:val="21"/>
        </w:rPr>
      </w:pPr>
      <w:r w:rsidRPr="009A26A4">
        <w:rPr>
          <w:rFonts w:ascii="Aptos" w:hAnsi="Aptos"/>
          <w:noProof/>
          <w:sz w:val="21"/>
          <w:szCs w:val="21"/>
        </w:rPr>
        <w:t>98.</w:t>
      </w:r>
      <w:r w:rsidRPr="009A26A4">
        <w:rPr>
          <w:rFonts w:ascii="Aptos" w:hAnsi="Aptos"/>
          <w:noProof/>
          <w:sz w:val="21"/>
          <w:szCs w:val="21"/>
        </w:rPr>
        <w:tab/>
        <w:t>Zhang MM, Zou Y, Li SM, Wang L, Sun YH, Shi L, et al. The efficacy and safety of omega-3 fatty acids on depressive symptoms in perinatal women: a meta-analysis of randomized placebo-controlled trials. Translational Psychiatry. 2020;10(1):193.</w:t>
      </w:r>
    </w:p>
    <w:p w14:paraId="6ACFC8DA" w14:textId="77777777" w:rsidR="00227084" w:rsidRPr="009A26A4" w:rsidRDefault="00227084" w:rsidP="00227084">
      <w:pPr>
        <w:pStyle w:val="EndNoteBibliography"/>
        <w:spacing w:after="0"/>
        <w:rPr>
          <w:rFonts w:ascii="Aptos" w:hAnsi="Aptos"/>
          <w:noProof/>
          <w:sz w:val="21"/>
          <w:szCs w:val="21"/>
        </w:rPr>
      </w:pPr>
      <w:r w:rsidRPr="009A26A4">
        <w:rPr>
          <w:rFonts w:ascii="Aptos" w:hAnsi="Aptos"/>
          <w:noProof/>
          <w:sz w:val="21"/>
          <w:szCs w:val="21"/>
        </w:rPr>
        <w:t>99.</w:t>
      </w:r>
      <w:r w:rsidRPr="009A26A4">
        <w:rPr>
          <w:rFonts w:ascii="Aptos" w:hAnsi="Aptos"/>
          <w:noProof/>
          <w:sz w:val="21"/>
          <w:szCs w:val="21"/>
        </w:rPr>
        <w:tab/>
        <w:t>Suradom C, Suttajit S, Oon-Arom A, Maneeton B, Srisurapanont M. Omega-3 polyunsaturated fatty acid (n-3 PUFA) supplementation for prevention and treatment of perinatal depression: a systematic review and meta-analysis of randomized-controlled trials. Nord J Psychiatry. 2021;75(4):239-46.</w:t>
      </w:r>
    </w:p>
    <w:p w14:paraId="48BEC624" w14:textId="77777777" w:rsidR="00227084" w:rsidRPr="009A26A4" w:rsidRDefault="00227084" w:rsidP="00227084">
      <w:pPr>
        <w:pStyle w:val="EndNoteBibliography"/>
        <w:spacing w:after="0"/>
        <w:rPr>
          <w:rFonts w:ascii="Aptos" w:hAnsi="Aptos"/>
          <w:noProof/>
          <w:sz w:val="21"/>
          <w:szCs w:val="21"/>
        </w:rPr>
      </w:pPr>
      <w:r w:rsidRPr="009A26A4">
        <w:rPr>
          <w:rFonts w:ascii="Aptos" w:hAnsi="Aptos"/>
          <w:noProof/>
          <w:sz w:val="21"/>
          <w:szCs w:val="21"/>
        </w:rPr>
        <w:t>100.</w:t>
      </w:r>
      <w:r w:rsidRPr="009A26A4">
        <w:rPr>
          <w:rFonts w:ascii="Aptos" w:hAnsi="Aptos"/>
          <w:noProof/>
          <w:sz w:val="21"/>
          <w:szCs w:val="21"/>
        </w:rPr>
        <w:tab/>
        <w:t>Mocking RJT, Steijn K, Roos C, Assies J, Bergink V, Ruhé HG, et al. Omega-3 Fatty Acid Supplementation for Perinatal Depression: A Meta-Analysis. J Clin Psychiatry. 2020;81(5).</w:t>
      </w:r>
    </w:p>
    <w:p w14:paraId="26E60CEA" w14:textId="77777777" w:rsidR="00227084" w:rsidRPr="009A26A4" w:rsidRDefault="00227084" w:rsidP="00227084">
      <w:pPr>
        <w:pStyle w:val="EndNoteBibliography"/>
        <w:spacing w:after="0"/>
        <w:rPr>
          <w:rFonts w:ascii="Aptos" w:hAnsi="Aptos"/>
          <w:noProof/>
          <w:sz w:val="21"/>
          <w:szCs w:val="21"/>
        </w:rPr>
      </w:pPr>
      <w:r w:rsidRPr="009A26A4">
        <w:rPr>
          <w:rFonts w:ascii="Aptos" w:hAnsi="Aptos"/>
          <w:noProof/>
          <w:sz w:val="21"/>
          <w:szCs w:val="21"/>
        </w:rPr>
        <w:t>101.</w:t>
      </w:r>
      <w:r w:rsidRPr="009A26A4">
        <w:rPr>
          <w:rFonts w:ascii="Aptos" w:hAnsi="Aptos"/>
          <w:noProof/>
          <w:sz w:val="21"/>
          <w:szCs w:val="21"/>
        </w:rPr>
        <w:tab/>
        <w:t>Tung KTS, Wong RS, Mak RTW. Maternal n-3 PUFA Intake During Pregnancy and Perinatal Mental Health Problems: A Systematic Review of Recent Evidence. Curr Nutr Rep. 2023;12(3):426-38.</w:t>
      </w:r>
    </w:p>
    <w:p w14:paraId="2C87BBDD" w14:textId="77777777" w:rsidR="00227084" w:rsidRPr="009A26A4" w:rsidRDefault="00227084" w:rsidP="00227084">
      <w:pPr>
        <w:pStyle w:val="EndNoteBibliography"/>
        <w:spacing w:after="0"/>
        <w:rPr>
          <w:rFonts w:ascii="Aptos" w:hAnsi="Aptos"/>
          <w:noProof/>
          <w:sz w:val="21"/>
          <w:szCs w:val="21"/>
        </w:rPr>
      </w:pPr>
      <w:r w:rsidRPr="009A26A4">
        <w:rPr>
          <w:rFonts w:ascii="Aptos" w:hAnsi="Aptos"/>
          <w:noProof/>
          <w:sz w:val="21"/>
          <w:szCs w:val="21"/>
        </w:rPr>
        <w:t>102.</w:t>
      </w:r>
      <w:r w:rsidRPr="009A26A4">
        <w:rPr>
          <w:rFonts w:ascii="Aptos" w:hAnsi="Aptos"/>
          <w:noProof/>
          <w:sz w:val="21"/>
          <w:szCs w:val="21"/>
        </w:rPr>
        <w:tab/>
        <w:t>Han Xu BDU. Comparative Efficacy, Acceptability, and Tolerability of Anti-inflammatory Agents on Bipolar disorder: Systematic Review and Network Meta-Analysis.</w:t>
      </w:r>
    </w:p>
    <w:p w14:paraId="7A9DB1AE" w14:textId="77777777" w:rsidR="00227084" w:rsidRPr="009A26A4" w:rsidRDefault="00227084" w:rsidP="00227084">
      <w:pPr>
        <w:pStyle w:val="EndNoteBibliography"/>
        <w:spacing w:after="0"/>
        <w:rPr>
          <w:rFonts w:ascii="Aptos" w:hAnsi="Aptos"/>
          <w:noProof/>
          <w:sz w:val="21"/>
          <w:szCs w:val="21"/>
        </w:rPr>
      </w:pPr>
      <w:r w:rsidRPr="009A26A4">
        <w:rPr>
          <w:rFonts w:ascii="Aptos" w:hAnsi="Aptos"/>
          <w:noProof/>
          <w:sz w:val="21"/>
          <w:szCs w:val="21"/>
        </w:rPr>
        <w:t>103.</w:t>
      </w:r>
      <w:r w:rsidRPr="009A26A4">
        <w:rPr>
          <w:rFonts w:ascii="Aptos" w:hAnsi="Aptos"/>
          <w:noProof/>
          <w:sz w:val="21"/>
          <w:szCs w:val="21"/>
        </w:rPr>
        <w:tab/>
        <w:t>Brendan JM, Linda M, Michael MB, Terrence K, Bonnie M. Dietary supplements for preventing postnatal depression. Cochrane Database of Systematic Reviews. 2013;10(10):CD009104.</w:t>
      </w:r>
    </w:p>
    <w:p w14:paraId="1BA2899E" w14:textId="77777777" w:rsidR="00227084" w:rsidRPr="009A26A4" w:rsidRDefault="00227084" w:rsidP="00227084">
      <w:pPr>
        <w:pStyle w:val="EndNoteBibliography"/>
        <w:spacing w:after="0"/>
        <w:rPr>
          <w:rFonts w:ascii="Aptos" w:hAnsi="Aptos"/>
          <w:noProof/>
          <w:sz w:val="21"/>
          <w:szCs w:val="21"/>
        </w:rPr>
      </w:pPr>
      <w:r w:rsidRPr="009A26A4">
        <w:rPr>
          <w:rFonts w:ascii="Aptos" w:hAnsi="Aptos"/>
          <w:noProof/>
          <w:sz w:val="21"/>
          <w:szCs w:val="21"/>
        </w:rPr>
        <w:t>104.</w:t>
      </w:r>
      <w:r w:rsidRPr="009A26A4">
        <w:rPr>
          <w:rFonts w:ascii="Aptos" w:hAnsi="Aptos"/>
          <w:noProof/>
          <w:sz w:val="21"/>
          <w:szCs w:val="21"/>
        </w:rPr>
        <w:tab/>
        <w:t>Troeung L, Egan SJ, Gasson N. A meta-analysis of randomised placebo-controlled treatment trials for depression and anxiety in Parkinson's disease. PloS one. 2013;8(11):e79510.</w:t>
      </w:r>
    </w:p>
    <w:p w14:paraId="48BDD026" w14:textId="77777777" w:rsidR="00227084" w:rsidRPr="009A26A4" w:rsidRDefault="00227084" w:rsidP="00227084">
      <w:pPr>
        <w:pStyle w:val="EndNoteBibliography"/>
        <w:spacing w:after="0"/>
        <w:rPr>
          <w:rFonts w:ascii="Aptos" w:hAnsi="Aptos"/>
          <w:noProof/>
          <w:sz w:val="21"/>
          <w:szCs w:val="21"/>
        </w:rPr>
      </w:pPr>
      <w:r w:rsidRPr="009A26A4">
        <w:rPr>
          <w:rFonts w:ascii="Aptos" w:hAnsi="Aptos"/>
          <w:noProof/>
          <w:sz w:val="21"/>
          <w:szCs w:val="21"/>
        </w:rPr>
        <w:t>105.</w:t>
      </w:r>
      <w:r w:rsidRPr="009A26A4">
        <w:rPr>
          <w:rFonts w:ascii="Aptos" w:hAnsi="Aptos"/>
          <w:noProof/>
          <w:sz w:val="21"/>
          <w:szCs w:val="21"/>
        </w:rPr>
        <w:tab/>
        <w:t>Sara Kennedy VHMVCRMC-SJMCVJMRC. Depression in children: systematic review.</w:t>
      </w:r>
    </w:p>
    <w:p w14:paraId="5F498592" w14:textId="77777777" w:rsidR="00227084" w:rsidRPr="009A26A4" w:rsidRDefault="00227084" w:rsidP="00227084">
      <w:pPr>
        <w:pStyle w:val="EndNoteBibliography"/>
        <w:spacing w:after="0"/>
        <w:rPr>
          <w:rFonts w:ascii="Aptos" w:hAnsi="Aptos"/>
          <w:noProof/>
          <w:sz w:val="21"/>
          <w:szCs w:val="21"/>
        </w:rPr>
      </w:pPr>
      <w:r w:rsidRPr="009A26A4">
        <w:rPr>
          <w:rFonts w:ascii="Aptos" w:hAnsi="Aptos"/>
          <w:noProof/>
          <w:sz w:val="21"/>
          <w:szCs w:val="21"/>
        </w:rPr>
        <w:t>106.</w:t>
      </w:r>
      <w:r w:rsidRPr="009A26A4">
        <w:rPr>
          <w:rFonts w:ascii="Aptos" w:hAnsi="Aptos"/>
          <w:noProof/>
          <w:sz w:val="21"/>
          <w:szCs w:val="21"/>
        </w:rPr>
        <w:tab/>
        <w:t>Gabriel FC, Oliveira M, Martella BM, Berk M, Brietzke E, Jacka FN, et al. Nutrition and bipolar disorder: a systematic review. Nutritional neuroscience. 2022:1-15.</w:t>
      </w:r>
    </w:p>
    <w:p w14:paraId="5A405834" w14:textId="77777777" w:rsidR="00227084" w:rsidRPr="009A26A4" w:rsidRDefault="00227084" w:rsidP="00227084">
      <w:pPr>
        <w:pStyle w:val="EndNoteBibliography"/>
        <w:spacing w:after="0"/>
        <w:rPr>
          <w:rFonts w:ascii="Aptos" w:hAnsi="Aptos"/>
          <w:noProof/>
          <w:sz w:val="21"/>
          <w:szCs w:val="21"/>
        </w:rPr>
      </w:pPr>
      <w:r w:rsidRPr="009A26A4">
        <w:rPr>
          <w:rFonts w:ascii="Aptos" w:hAnsi="Aptos"/>
          <w:noProof/>
          <w:sz w:val="21"/>
          <w:szCs w:val="21"/>
        </w:rPr>
        <w:t>107.</w:t>
      </w:r>
      <w:r w:rsidRPr="009A26A4">
        <w:rPr>
          <w:rFonts w:ascii="Aptos" w:hAnsi="Aptos"/>
          <w:noProof/>
          <w:sz w:val="21"/>
          <w:szCs w:val="21"/>
        </w:rPr>
        <w:tab/>
        <w:t>Farooq S, Singh SP, Burke D, Naeem F, Ayub M. Pharmacological interventions for prevention of depression in high risk conditions: Systematic review and meta-analysis. Journal of Affective Disorders. 2020;269:58-69.</w:t>
      </w:r>
    </w:p>
    <w:p w14:paraId="1C3164D5" w14:textId="77777777" w:rsidR="00227084" w:rsidRPr="009A26A4" w:rsidRDefault="00227084" w:rsidP="00227084">
      <w:pPr>
        <w:pStyle w:val="EndNoteBibliography"/>
        <w:spacing w:after="0"/>
        <w:rPr>
          <w:rFonts w:ascii="Aptos" w:hAnsi="Aptos"/>
          <w:noProof/>
          <w:sz w:val="21"/>
          <w:szCs w:val="21"/>
        </w:rPr>
      </w:pPr>
      <w:r w:rsidRPr="009A26A4">
        <w:rPr>
          <w:rFonts w:ascii="Aptos" w:hAnsi="Aptos"/>
          <w:noProof/>
          <w:sz w:val="21"/>
          <w:szCs w:val="21"/>
        </w:rPr>
        <w:t>108.</w:t>
      </w:r>
      <w:r w:rsidRPr="009A26A4">
        <w:rPr>
          <w:rFonts w:ascii="Aptos" w:hAnsi="Aptos"/>
          <w:noProof/>
          <w:sz w:val="21"/>
          <w:szCs w:val="21"/>
        </w:rPr>
        <w:tab/>
        <w:t>Bai S, Guo W, Feng Y, Deng H, Li G, Nie H, et al. Efficacy and safety of anti-inflammatory agents for the treatment of major depressive disorder: a systematic review and meta-analysis of randomised controlled trials. Journal of neurology, neurosurgery, and psychiatry. 2020;91(1):21-32.</w:t>
      </w:r>
    </w:p>
    <w:p w14:paraId="6A38A769" w14:textId="77777777" w:rsidR="00227084" w:rsidRPr="009A26A4" w:rsidRDefault="00227084" w:rsidP="00227084">
      <w:pPr>
        <w:pStyle w:val="EndNoteBibliography"/>
        <w:spacing w:after="0"/>
        <w:rPr>
          <w:rFonts w:ascii="Aptos" w:hAnsi="Aptos"/>
          <w:noProof/>
          <w:sz w:val="21"/>
          <w:szCs w:val="21"/>
        </w:rPr>
      </w:pPr>
      <w:r w:rsidRPr="009A26A4">
        <w:rPr>
          <w:rFonts w:ascii="Aptos" w:hAnsi="Aptos"/>
          <w:noProof/>
          <w:sz w:val="21"/>
          <w:szCs w:val="21"/>
        </w:rPr>
        <w:t>109.</w:t>
      </w:r>
      <w:r w:rsidRPr="009A26A4">
        <w:rPr>
          <w:rFonts w:ascii="Aptos" w:hAnsi="Aptos"/>
          <w:noProof/>
          <w:sz w:val="21"/>
          <w:szCs w:val="21"/>
        </w:rPr>
        <w:tab/>
        <w:t>Williams Al, Katz D, Ali A, Girard C, Goodman J, Bell I. Do essential fatty acids have a role in the treatment of depression? Journal of Affective Disorders. 2006;93(1-3):117-23.</w:t>
      </w:r>
    </w:p>
    <w:p w14:paraId="6145A598" w14:textId="77777777" w:rsidR="00227084" w:rsidRPr="009A26A4" w:rsidRDefault="00227084" w:rsidP="00227084">
      <w:pPr>
        <w:pStyle w:val="EndNoteBibliography"/>
        <w:spacing w:after="0"/>
        <w:rPr>
          <w:rFonts w:ascii="Aptos" w:hAnsi="Aptos"/>
          <w:noProof/>
          <w:sz w:val="21"/>
          <w:szCs w:val="21"/>
        </w:rPr>
      </w:pPr>
      <w:r w:rsidRPr="009A26A4">
        <w:rPr>
          <w:rFonts w:ascii="Aptos" w:hAnsi="Aptos"/>
          <w:noProof/>
          <w:sz w:val="21"/>
          <w:szCs w:val="21"/>
        </w:rPr>
        <w:t>110.</w:t>
      </w:r>
      <w:r w:rsidRPr="009A26A4">
        <w:rPr>
          <w:rFonts w:ascii="Aptos" w:hAnsi="Aptos"/>
          <w:noProof/>
          <w:sz w:val="21"/>
          <w:szCs w:val="21"/>
        </w:rPr>
        <w:tab/>
        <w:t>Morrell CJ, Sutcliffe P, Booth A, Stevens J, Scope A, Stevenson M, et al. A systematic review, evidence synthesis and meta-analysis of quantitative and qualitative studies evaluating the clinical effectiveness, the cost-effectiveness, safety and acceptability of interventions to prevent postnatal depression. Health Technology Assessment. 2016;20(37):1-414.</w:t>
      </w:r>
    </w:p>
    <w:p w14:paraId="7E9B32D4" w14:textId="77777777" w:rsidR="00227084" w:rsidRPr="009A26A4" w:rsidRDefault="00227084" w:rsidP="00227084">
      <w:pPr>
        <w:pStyle w:val="EndNoteBibliography"/>
        <w:spacing w:after="0"/>
        <w:rPr>
          <w:rFonts w:ascii="Aptos" w:hAnsi="Aptos"/>
          <w:noProof/>
          <w:sz w:val="21"/>
          <w:szCs w:val="21"/>
        </w:rPr>
      </w:pPr>
      <w:r w:rsidRPr="009A26A4">
        <w:rPr>
          <w:rFonts w:ascii="Aptos" w:hAnsi="Aptos"/>
          <w:noProof/>
          <w:sz w:val="21"/>
          <w:szCs w:val="21"/>
        </w:rPr>
        <w:t>111.</w:t>
      </w:r>
      <w:r w:rsidRPr="009A26A4">
        <w:rPr>
          <w:rFonts w:ascii="Aptos" w:hAnsi="Aptos"/>
          <w:noProof/>
          <w:sz w:val="21"/>
          <w:szCs w:val="21"/>
        </w:rPr>
        <w:tab/>
        <w:t>Sarris J, Mischoulon D, Schweitzer I. Omega-3 for bipolar disorder: meta-analyses of use in mania and bipolar depression. The Journal of clinical psychiatry. 2012;73(1):81-6.</w:t>
      </w:r>
    </w:p>
    <w:p w14:paraId="705E6485" w14:textId="77777777" w:rsidR="00227084" w:rsidRPr="009A26A4" w:rsidRDefault="00227084" w:rsidP="00227084">
      <w:pPr>
        <w:pStyle w:val="EndNoteBibliography"/>
        <w:spacing w:after="0"/>
        <w:rPr>
          <w:rFonts w:ascii="Aptos" w:hAnsi="Aptos"/>
          <w:noProof/>
          <w:sz w:val="21"/>
          <w:szCs w:val="21"/>
        </w:rPr>
      </w:pPr>
      <w:r w:rsidRPr="009A26A4">
        <w:rPr>
          <w:rFonts w:ascii="Aptos" w:hAnsi="Aptos"/>
          <w:noProof/>
          <w:sz w:val="21"/>
          <w:szCs w:val="21"/>
        </w:rPr>
        <w:lastRenderedPageBreak/>
        <w:t>112.</w:t>
      </w:r>
      <w:r w:rsidRPr="009A26A4">
        <w:rPr>
          <w:rFonts w:ascii="Aptos" w:hAnsi="Aptos"/>
          <w:noProof/>
          <w:sz w:val="21"/>
          <w:szCs w:val="21"/>
        </w:rPr>
        <w:tab/>
        <w:t>Saccone G, Saccone I, Berghella V. Omega-3 long-chain polyunsaturated fatty acids and fish oil supplementation during pregnancy: Which evidence? Journal of Maternal-Fetal and Neonatal Medicine. 2016;29(15):2389-97.</w:t>
      </w:r>
    </w:p>
    <w:p w14:paraId="2F8BC348" w14:textId="77777777" w:rsidR="00227084" w:rsidRPr="009A26A4" w:rsidRDefault="00227084" w:rsidP="00227084">
      <w:pPr>
        <w:pStyle w:val="EndNoteBibliography"/>
        <w:spacing w:after="0"/>
        <w:rPr>
          <w:rFonts w:ascii="Aptos" w:hAnsi="Aptos"/>
          <w:noProof/>
          <w:sz w:val="21"/>
          <w:szCs w:val="21"/>
        </w:rPr>
      </w:pPr>
      <w:r w:rsidRPr="009A26A4">
        <w:rPr>
          <w:rFonts w:ascii="Aptos" w:hAnsi="Aptos"/>
          <w:noProof/>
          <w:sz w:val="21"/>
          <w:szCs w:val="21"/>
        </w:rPr>
        <w:t>113.</w:t>
      </w:r>
      <w:r w:rsidRPr="009A26A4">
        <w:rPr>
          <w:rFonts w:ascii="Aptos" w:hAnsi="Aptos"/>
          <w:noProof/>
          <w:sz w:val="21"/>
          <w:szCs w:val="21"/>
        </w:rPr>
        <w:tab/>
        <w:t>Newberry SJ, Chung M, Booth M, Maglione MA, Tang AM, O'Hanlon CE, et al. Omega-3 Fatty Acids and Maternal and Child Health: An Updated Systematic Review. Evidence report/technology assessment. 2016(224):1-826.</w:t>
      </w:r>
    </w:p>
    <w:p w14:paraId="7338D6A1" w14:textId="77777777" w:rsidR="00227084" w:rsidRPr="009A26A4" w:rsidRDefault="00227084" w:rsidP="00227084">
      <w:pPr>
        <w:pStyle w:val="EndNoteBibliography"/>
        <w:spacing w:after="0"/>
        <w:rPr>
          <w:rFonts w:ascii="Aptos" w:hAnsi="Aptos"/>
          <w:noProof/>
          <w:sz w:val="21"/>
          <w:szCs w:val="21"/>
        </w:rPr>
      </w:pPr>
      <w:r w:rsidRPr="009A26A4">
        <w:rPr>
          <w:rFonts w:ascii="Aptos" w:hAnsi="Aptos"/>
          <w:noProof/>
          <w:sz w:val="21"/>
          <w:szCs w:val="21"/>
        </w:rPr>
        <w:t>114.</w:t>
      </w:r>
      <w:r w:rsidRPr="009A26A4">
        <w:rPr>
          <w:rFonts w:ascii="Aptos" w:hAnsi="Aptos"/>
          <w:noProof/>
          <w:sz w:val="21"/>
          <w:szCs w:val="21"/>
        </w:rPr>
        <w:tab/>
        <w:t>Chowdhury MH, Ghosh S, Kabir MR, Mamun MAA, Islam MS. Effect of supplementary omega-3 fatty acids on pregnant women with complications and pregnancy outcomes: review from literature. Journal of Maternal-Fetal and Neonatal Medicine. 2020:1-17.</w:t>
      </w:r>
    </w:p>
    <w:p w14:paraId="2EFC1413" w14:textId="77777777" w:rsidR="00227084" w:rsidRPr="009A26A4" w:rsidRDefault="00227084" w:rsidP="00227084">
      <w:pPr>
        <w:pStyle w:val="EndNoteBibliography"/>
        <w:spacing w:after="0"/>
        <w:rPr>
          <w:rFonts w:ascii="Aptos" w:hAnsi="Aptos"/>
          <w:noProof/>
          <w:sz w:val="21"/>
          <w:szCs w:val="21"/>
        </w:rPr>
      </w:pPr>
      <w:r w:rsidRPr="009A26A4">
        <w:rPr>
          <w:rFonts w:ascii="Aptos" w:hAnsi="Aptos"/>
          <w:noProof/>
          <w:sz w:val="21"/>
          <w:szCs w:val="21"/>
        </w:rPr>
        <w:t>115.</w:t>
      </w:r>
      <w:r w:rsidRPr="009A26A4">
        <w:rPr>
          <w:rFonts w:ascii="Aptos" w:hAnsi="Aptos"/>
          <w:noProof/>
          <w:sz w:val="21"/>
          <w:szCs w:val="21"/>
        </w:rPr>
        <w:tab/>
        <w:t>Appleton KM, Voyias PD, Sallis HM, Dawson S, Ness AR, Churchill R, et al. Omega-3 fatty acids for depression in adults. Cochrane Database Syst Rev. 2021;11(11):Cd004692.</w:t>
      </w:r>
    </w:p>
    <w:p w14:paraId="1D01072B" w14:textId="77777777" w:rsidR="00227084" w:rsidRPr="009A26A4" w:rsidRDefault="00227084" w:rsidP="00227084">
      <w:pPr>
        <w:pStyle w:val="EndNoteBibliography"/>
        <w:spacing w:after="0"/>
        <w:rPr>
          <w:rFonts w:ascii="Aptos" w:hAnsi="Aptos"/>
          <w:noProof/>
          <w:sz w:val="21"/>
          <w:szCs w:val="21"/>
        </w:rPr>
      </w:pPr>
      <w:r w:rsidRPr="009A26A4">
        <w:rPr>
          <w:rFonts w:ascii="Aptos" w:hAnsi="Aptos"/>
          <w:noProof/>
          <w:sz w:val="21"/>
          <w:szCs w:val="21"/>
        </w:rPr>
        <w:t>116.</w:t>
      </w:r>
      <w:r w:rsidRPr="009A26A4">
        <w:rPr>
          <w:rFonts w:ascii="Aptos" w:hAnsi="Aptos"/>
          <w:noProof/>
          <w:sz w:val="21"/>
          <w:szCs w:val="21"/>
        </w:rPr>
        <w:tab/>
        <w:t>Zhang L, Liu H, Kuang L, Meng H, Zhou X. Omega-3 fatty acids for the treatment of depressive disorders in children and adolescents: a meta-analysis of randomized placebo-controlled trials. Child Adolesc Psychiatry Ment Health. 2019;13:36.</w:t>
      </w:r>
    </w:p>
    <w:p w14:paraId="21F7A615" w14:textId="77777777" w:rsidR="00227084" w:rsidRPr="009A26A4" w:rsidRDefault="00227084" w:rsidP="00227084">
      <w:pPr>
        <w:pStyle w:val="EndNoteBibliography"/>
        <w:spacing w:after="0"/>
        <w:rPr>
          <w:rFonts w:ascii="Aptos" w:hAnsi="Aptos"/>
          <w:noProof/>
          <w:sz w:val="21"/>
          <w:szCs w:val="21"/>
        </w:rPr>
      </w:pPr>
      <w:r w:rsidRPr="009A26A4">
        <w:rPr>
          <w:rFonts w:ascii="Aptos" w:hAnsi="Aptos"/>
          <w:noProof/>
          <w:sz w:val="21"/>
          <w:szCs w:val="21"/>
        </w:rPr>
        <w:t>117.</w:t>
      </w:r>
      <w:r w:rsidRPr="009A26A4">
        <w:rPr>
          <w:rFonts w:ascii="Aptos" w:hAnsi="Aptos"/>
          <w:noProof/>
          <w:sz w:val="21"/>
          <w:szCs w:val="21"/>
        </w:rPr>
        <w:tab/>
        <w:t>Hengartner M, Plöderl M. Estimates of the minimal important difference to evaluate the clinical significance of antidepressants in the acute treatment of moderate-to-severe depression. BMJ Evidence-Based Medicine. 2021;27:bmjebm-2020.</w:t>
      </w:r>
    </w:p>
    <w:p w14:paraId="084CBDF0" w14:textId="77777777" w:rsidR="00227084" w:rsidRPr="009A26A4" w:rsidRDefault="00227084" w:rsidP="00227084">
      <w:pPr>
        <w:pStyle w:val="EndNoteBibliography"/>
        <w:spacing w:after="0"/>
        <w:rPr>
          <w:rFonts w:ascii="Aptos" w:hAnsi="Aptos"/>
          <w:noProof/>
          <w:sz w:val="21"/>
          <w:szCs w:val="21"/>
        </w:rPr>
      </w:pPr>
      <w:r w:rsidRPr="009A26A4">
        <w:rPr>
          <w:rFonts w:ascii="Aptos" w:hAnsi="Aptos"/>
          <w:noProof/>
          <w:sz w:val="21"/>
          <w:szCs w:val="21"/>
        </w:rPr>
        <w:t>118.</w:t>
      </w:r>
      <w:r w:rsidRPr="009A26A4">
        <w:rPr>
          <w:rFonts w:ascii="Aptos" w:hAnsi="Aptos"/>
          <w:noProof/>
          <w:sz w:val="21"/>
          <w:szCs w:val="21"/>
        </w:rPr>
        <w:tab/>
        <w:t>Canadian Agency for Drugs and Technologies in Health. Clinical Review Report: Brexpiprazole (Rexulti): (Lundbeck Canada Inc. and Otsuka Canada Pharmaceutical Inc.): Indication: Treatment of schizophrenia in adults.  Validity and MCID of Outcome Measures. Ottawa (ON)2017.</w:t>
      </w:r>
    </w:p>
    <w:p w14:paraId="18734786" w14:textId="77777777" w:rsidR="00227084" w:rsidRPr="009A26A4" w:rsidRDefault="00227084" w:rsidP="00227084">
      <w:pPr>
        <w:pStyle w:val="EndNoteBibliography"/>
        <w:spacing w:after="0"/>
        <w:rPr>
          <w:rFonts w:ascii="Aptos" w:hAnsi="Aptos"/>
          <w:noProof/>
          <w:sz w:val="21"/>
          <w:szCs w:val="21"/>
        </w:rPr>
      </w:pPr>
      <w:r w:rsidRPr="009A26A4">
        <w:rPr>
          <w:rFonts w:ascii="Aptos" w:hAnsi="Aptos"/>
          <w:noProof/>
          <w:sz w:val="21"/>
          <w:szCs w:val="21"/>
        </w:rPr>
        <w:t>119.</w:t>
      </w:r>
      <w:r w:rsidRPr="009A26A4">
        <w:rPr>
          <w:rFonts w:ascii="Aptos" w:hAnsi="Aptos"/>
          <w:noProof/>
          <w:sz w:val="21"/>
          <w:szCs w:val="21"/>
        </w:rPr>
        <w:tab/>
        <w:t>Armour M, Parry K, Manohar N, Holmes K, Ferfolja T, Curry C, et al. The Prevalence and Academic Impact of Dysmenorrhea in 21,573 Young Women: A Systematic Review and Meta-Analysis. J Womens Health (Larchmt). 2019;28(8):1161-71.</w:t>
      </w:r>
    </w:p>
    <w:p w14:paraId="3BA3EF86" w14:textId="77777777" w:rsidR="00227084" w:rsidRPr="009A26A4" w:rsidRDefault="00227084" w:rsidP="00227084">
      <w:pPr>
        <w:pStyle w:val="EndNoteBibliography"/>
        <w:spacing w:after="0"/>
        <w:rPr>
          <w:rFonts w:ascii="Aptos" w:hAnsi="Aptos"/>
          <w:noProof/>
          <w:sz w:val="21"/>
          <w:szCs w:val="21"/>
        </w:rPr>
      </w:pPr>
      <w:r w:rsidRPr="009A26A4">
        <w:rPr>
          <w:rFonts w:ascii="Aptos" w:hAnsi="Aptos"/>
          <w:noProof/>
          <w:sz w:val="21"/>
          <w:szCs w:val="21"/>
        </w:rPr>
        <w:t>120.</w:t>
      </w:r>
      <w:r w:rsidRPr="009A26A4">
        <w:rPr>
          <w:rFonts w:ascii="Aptos" w:hAnsi="Aptos"/>
          <w:noProof/>
          <w:sz w:val="21"/>
          <w:szCs w:val="21"/>
        </w:rPr>
        <w:tab/>
        <w:t>Armour M, Ferfolja T, Curry C, Hyman MS, Parry K, Chalmers KJ, et al. The Prevalence and Educational Impact of Pelvic and Menstrual Pain in Australia: A National Online Survey of 4202 Young Women Aged 13-25 Years. J Pediatr Adolesc Gynecol. 2020;33(5):511-8.</w:t>
      </w:r>
    </w:p>
    <w:p w14:paraId="7852936A" w14:textId="77777777" w:rsidR="00227084" w:rsidRPr="009A26A4" w:rsidRDefault="00227084" w:rsidP="00227084">
      <w:pPr>
        <w:pStyle w:val="EndNoteBibliography"/>
        <w:spacing w:after="0"/>
        <w:rPr>
          <w:rFonts w:ascii="Aptos" w:hAnsi="Aptos"/>
          <w:noProof/>
          <w:sz w:val="21"/>
          <w:szCs w:val="21"/>
        </w:rPr>
      </w:pPr>
      <w:r w:rsidRPr="009A26A4">
        <w:rPr>
          <w:rFonts w:ascii="Aptos" w:hAnsi="Aptos"/>
          <w:noProof/>
          <w:sz w:val="21"/>
          <w:szCs w:val="21"/>
        </w:rPr>
        <w:t>121.</w:t>
      </w:r>
      <w:r w:rsidRPr="009A26A4">
        <w:rPr>
          <w:rFonts w:ascii="Aptos" w:hAnsi="Aptos"/>
          <w:noProof/>
          <w:sz w:val="21"/>
          <w:szCs w:val="21"/>
        </w:rPr>
        <w:tab/>
        <w:t>Itani R, Soubra L, Karout S, Rahme D, Karout L, Khojah HMJ. Primary Dysmenorrhea: Pathophysiology, Diagnosis, and Treatment Updates. Korean J Fam Med. 2022;43(2):101-8.</w:t>
      </w:r>
    </w:p>
    <w:p w14:paraId="59FC0362" w14:textId="77777777" w:rsidR="00227084" w:rsidRPr="009A26A4" w:rsidRDefault="00227084" w:rsidP="00227084">
      <w:pPr>
        <w:pStyle w:val="EndNoteBibliography"/>
        <w:spacing w:after="0"/>
        <w:rPr>
          <w:rFonts w:ascii="Aptos" w:hAnsi="Aptos"/>
          <w:noProof/>
          <w:sz w:val="21"/>
          <w:szCs w:val="21"/>
        </w:rPr>
      </w:pPr>
      <w:r w:rsidRPr="009A26A4">
        <w:rPr>
          <w:rFonts w:ascii="Aptos" w:hAnsi="Aptos"/>
          <w:noProof/>
          <w:sz w:val="21"/>
          <w:szCs w:val="21"/>
        </w:rPr>
        <w:t>122.</w:t>
      </w:r>
      <w:r w:rsidRPr="009A26A4">
        <w:rPr>
          <w:rFonts w:ascii="Aptos" w:hAnsi="Aptos"/>
          <w:noProof/>
          <w:sz w:val="21"/>
          <w:szCs w:val="21"/>
        </w:rPr>
        <w:tab/>
        <w:t>Christensen K. Dysmenorrhea: An update on primary healthcare management. Australian Journal for General Practitioners. 2024;53:19-22.</w:t>
      </w:r>
    </w:p>
    <w:p w14:paraId="443BCE77" w14:textId="77777777" w:rsidR="00227084" w:rsidRPr="009A26A4" w:rsidRDefault="00227084" w:rsidP="00227084">
      <w:pPr>
        <w:pStyle w:val="EndNoteBibliography"/>
        <w:spacing w:after="0"/>
        <w:rPr>
          <w:rFonts w:ascii="Aptos" w:hAnsi="Aptos"/>
          <w:noProof/>
          <w:sz w:val="21"/>
          <w:szCs w:val="21"/>
        </w:rPr>
      </w:pPr>
      <w:r w:rsidRPr="009A26A4">
        <w:rPr>
          <w:rFonts w:ascii="Aptos" w:hAnsi="Aptos"/>
          <w:noProof/>
          <w:sz w:val="21"/>
          <w:szCs w:val="21"/>
        </w:rPr>
        <w:t>123.</w:t>
      </w:r>
      <w:r w:rsidRPr="009A26A4">
        <w:rPr>
          <w:rFonts w:ascii="Aptos" w:hAnsi="Aptos"/>
          <w:noProof/>
          <w:sz w:val="21"/>
          <w:szCs w:val="21"/>
        </w:rPr>
        <w:tab/>
        <w:t>Esteve M. Mechanisms Underlying Biological Effects of Cruciferous Glucosinolate-Derived Isothiocyanates/Indoles: A Focus on Metabolic Syndrome. Frontiers in Nutrition. 2020;7.</w:t>
      </w:r>
    </w:p>
    <w:p w14:paraId="7D1BF041" w14:textId="77777777" w:rsidR="00227084" w:rsidRPr="009A26A4" w:rsidRDefault="00227084" w:rsidP="00227084">
      <w:pPr>
        <w:pStyle w:val="EndNoteBibliography"/>
        <w:spacing w:after="0"/>
        <w:rPr>
          <w:rFonts w:ascii="Aptos" w:hAnsi="Aptos"/>
          <w:noProof/>
          <w:sz w:val="21"/>
          <w:szCs w:val="21"/>
        </w:rPr>
      </w:pPr>
      <w:r w:rsidRPr="009A26A4">
        <w:rPr>
          <w:rFonts w:ascii="Aptos" w:hAnsi="Aptos"/>
          <w:noProof/>
          <w:sz w:val="21"/>
          <w:szCs w:val="21"/>
        </w:rPr>
        <w:t>124.</w:t>
      </w:r>
      <w:r w:rsidRPr="009A26A4">
        <w:rPr>
          <w:rFonts w:ascii="Aptos" w:hAnsi="Aptos"/>
          <w:noProof/>
          <w:sz w:val="21"/>
          <w:szCs w:val="21"/>
        </w:rPr>
        <w:tab/>
        <w:t>Thomson CA, Dickinson S, Bowden GT. Cruciferous Vegetables, Isothiocyanates, Indoles, and Cancer Prevention. In: Milner JA, Romagnolo DF, editors. Bioactive Compounds and Cancer. Totowa, NJ: Humana Press; 2010. p. 535-66.</w:t>
      </w:r>
    </w:p>
    <w:p w14:paraId="3CC7863E" w14:textId="77777777" w:rsidR="00227084" w:rsidRPr="009A26A4" w:rsidRDefault="00227084" w:rsidP="00227084">
      <w:pPr>
        <w:pStyle w:val="EndNoteBibliography"/>
        <w:spacing w:after="0"/>
        <w:rPr>
          <w:rFonts w:ascii="Aptos" w:hAnsi="Aptos"/>
          <w:noProof/>
          <w:sz w:val="21"/>
          <w:szCs w:val="21"/>
        </w:rPr>
      </w:pPr>
      <w:r w:rsidRPr="009A26A4">
        <w:rPr>
          <w:rFonts w:ascii="Aptos" w:hAnsi="Aptos"/>
          <w:noProof/>
          <w:sz w:val="21"/>
          <w:szCs w:val="21"/>
        </w:rPr>
        <w:t>125.</w:t>
      </w:r>
      <w:r w:rsidRPr="009A26A4">
        <w:rPr>
          <w:rFonts w:ascii="Aptos" w:hAnsi="Aptos"/>
          <w:noProof/>
          <w:sz w:val="21"/>
          <w:szCs w:val="21"/>
        </w:rPr>
        <w:tab/>
        <w:t>Ryu A, Kim T-H. Premenstrual syndrome: A mini review. Maturitas. 2015;82(4):436-40.</w:t>
      </w:r>
    </w:p>
    <w:p w14:paraId="2ECF9C3A" w14:textId="77777777" w:rsidR="00227084" w:rsidRPr="009A26A4" w:rsidRDefault="00227084" w:rsidP="00227084">
      <w:pPr>
        <w:pStyle w:val="EndNoteBibliography"/>
        <w:spacing w:after="0"/>
        <w:rPr>
          <w:rFonts w:ascii="Aptos" w:hAnsi="Aptos"/>
          <w:noProof/>
          <w:sz w:val="21"/>
          <w:szCs w:val="21"/>
        </w:rPr>
      </w:pPr>
      <w:r w:rsidRPr="009A26A4">
        <w:rPr>
          <w:rFonts w:ascii="Aptos" w:hAnsi="Aptos"/>
          <w:noProof/>
          <w:sz w:val="21"/>
          <w:szCs w:val="21"/>
        </w:rPr>
        <w:t>126.</w:t>
      </w:r>
      <w:r w:rsidRPr="009A26A4">
        <w:rPr>
          <w:rFonts w:ascii="Aptos" w:hAnsi="Aptos"/>
          <w:noProof/>
          <w:sz w:val="21"/>
          <w:szCs w:val="21"/>
        </w:rPr>
        <w:tab/>
        <w:t>Tiranini L, Nappi RE. Recent advances in understanding/management of premenstrual dysphoric disorder/premenstrual syndrome. Fac Rev. 2022;11:11.</w:t>
      </w:r>
    </w:p>
    <w:p w14:paraId="0B9BC923" w14:textId="77777777" w:rsidR="00227084" w:rsidRPr="009A26A4" w:rsidRDefault="00227084" w:rsidP="00227084">
      <w:pPr>
        <w:pStyle w:val="EndNoteBibliography"/>
        <w:spacing w:after="0"/>
        <w:rPr>
          <w:rFonts w:ascii="Aptos" w:hAnsi="Aptos"/>
          <w:noProof/>
          <w:sz w:val="21"/>
          <w:szCs w:val="21"/>
        </w:rPr>
      </w:pPr>
      <w:r w:rsidRPr="009A26A4">
        <w:rPr>
          <w:rFonts w:ascii="Aptos" w:hAnsi="Aptos"/>
          <w:noProof/>
          <w:sz w:val="21"/>
          <w:szCs w:val="21"/>
        </w:rPr>
        <w:t>127.</w:t>
      </w:r>
      <w:r w:rsidRPr="009A26A4">
        <w:rPr>
          <w:rFonts w:ascii="Aptos" w:hAnsi="Aptos"/>
          <w:noProof/>
          <w:sz w:val="21"/>
          <w:szCs w:val="21"/>
        </w:rPr>
        <w:tab/>
        <w:t>Milner JD. Primary Atopic Disorders. Annual Review of Immunology. 2020;38(1):785-808.</w:t>
      </w:r>
    </w:p>
    <w:p w14:paraId="06C15659" w14:textId="77777777" w:rsidR="00227084" w:rsidRPr="009A26A4" w:rsidRDefault="00227084" w:rsidP="00227084">
      <w:pPr>
        <w:pStyle w:val="EndNoteBibliography"/>
        <w:spacing w:after="0"/>
        <w:rPr>
          <w:rFonts w:ascii="Aptos" w:hAnsi="Aptos"/>
          <w:noProof/>
          <w:sz w:val="21"/>
          <w:szCs w:val="21"/>
        </w:rPr>
      </w:pPr>
      <w:r w:rsidRPr="009A26A4">
        <w:rPr>
          <w:rFonts w:ascii="Aptos" w:hAnsi="Aptos"/>
          <w:noProof/>
          <w:sz w:val="21"/>
          <w:szCs w:val="21"/>
        </w:rPr>
        <w:t>128.</w:t>
      </w:r>
      <w:r w:rsidRPr="009A26A4">
        <w:rPr>
          <w:rFonts w:ascii="Aptos" w:hAnsi="Aptos"/>
          <w:noProof/>
          <w:sz w:val="21"/>
          <w:szCs w:val="21"/>
        </w:rPr>
        <w:tab/>
        <w:t>Justiz Vaillant AA MP, Jan A. Atopy. In: Publishing S, editor. StatPearls. Treasure Island (FL)2023.</w:t>
      </w:r>
    </w:p>
    <w:p w14:paraId="05ABFD17" w14:textId="77777777" w:rsidR="00227084" w:rsidRPr="009A26A4" w:rsidRDefault="00227084" w:rsidP="00227084">
      <w:pPr>
        <w:pStyle w:val="EndNoteBibliography"/>
        <w:spacing w:after="0"/>
        <w:rPr>
          <w:rFonts w:ascii="Aptos" w:hAnsi="Aptos"/>
          <w:noProof/>
          <w:sz w:val="21"/>
          <w:szCs w:val="21"/>
        </w:rPr>
      </w:pPr>
      <w:r w:rsidRPr="009A26A4">
        <w:rPr>
          <w:rFonts w:ascii="Aptos" w:hAnsi="Aptos"/>
          <w:noProof/>
          <w:sz w:val="21"/>
          <w:szCs w:val="21"/>
        </w:rPr>
        <w:lastRenderedPageBreak/>
        <w:t>129.</w:t>
      </w:r>
      <w:r w:rsidRPr="009A26A4">
        <w:rPr>
          <w:rFonts w:ascii="Aptos" w:hAnsi="Aptos"/>
          <w:noProof/>
          <w:sz w:val="21"/>
          <w:szCs w:val="21"/>
        </w:rPr>
        <w:tab/>
        <w:t>Sanna L, Stuart AL, Pasco JA, Jacka FN, Berk M, Maes M, et al. Atopic disorders and depression: Findings from a large, population-based study. Journal of Affective Disorders. 2014;155:261-5.</w:t>
      </w:r>
    </w:p>
    <w:p w14:paraId="694C5858" w14:textId="77777777" w:rsidR="00227084" w:rsidRPr="009A26A4" w:rsidRDefault="00227084" w:rsidP="00227084">
      <w:pPr>
        <w:pStyle w:val="EndNoteBibliography"/>
        <w:spacing w:after="0"/>
        <w:rPr>
          <w:rFonts w:ascii="Aptos" w:hAnsi="Aptos"/>
          <w:noProof/>
          <w:sz w:val="21"/>
          <w:szCs w:val="21"/>
        </w:rPr>
      </w:pPr>
      <w:r w:rsidRPr="009A26A4">
        <w:rPr>
          <w:rFonts w:ascii="Aptos" w:hAnsi="Aptos"/>
          <w:noProof/>
          <w:sz w:val="21"/>
          <w:szCs w:val="21"/>
        </w:rPr>
        <w:t>130.</w:t>
      </w:r>
      <w:r w:rsidRPr="009A26A4">
        <w:rPr>
          <w:rFonts w:ascii="Aptos" w:hAnsi="Aptos"/>
          <w:noProof/>
          <w:sz w:val="21"/>
          <w:szCs w:val="21"/>
        </w:rPr>
        <w:tab/>
        <w:t>Wright RJ. Stress and atopic disorders. Journal of Allergy and Clinical Immunology. 2005;116(6):1301-6.</w:t>
      </w:r>
    </w:p>
    <w:p w14:paraId="0747012E" w14:textId="77777777" w:rsidR="00227084" w:rsidRPr="009A26A4" w:rsidRDefault="00227084" w:rsidP="00227084">
      <w:pPr>
        <w:pStyle w:val="EndNoteBibliography"/>
        <w:spacing w:after="0"/>
        <w:rPr>
          <w:rFonts w:ascii="Aptos" w:hAnsi="Aptos"/>
          <w:noProof/>
          <w:sz w:val="21"/>
          <w:szCs w:val="21"/>
        </w:rPr>
      </w:pPr>
      <w:r w:rsidRPr="009A26A4">
        <w:rPr>
          <w:rFonts w:ascii="Aptos" w:hAnsi="Aptos"/>
          <w:noProof/>
          <w:sz w:val="21"/>
          <w:szCs w:val="21"/>
        </w:rPr>
        <w:t>131.</w:t>
      </w:r>
      <w:r w:rsidRPr="009A26A4">
        <w:rPr>
          <w:rFonts w:ascii="Aptos" w:hAnsi="Aptos"/>
          <w:noProof/>
          <w:sz w:val="21"/>
          <w:szCs w:val="21"/>
        </w:rPr>
        <w:tab/>
        <w:t>Roohani N, Hurrell R, Kelishadi R, Schulin R. Zinc and its importance for human health: An integrative review. J Res Med Sci. 2013;18(2):144-57.</w:t>
      </w:r>
    </w:p>
    <w:p w14:paraId="467FDA57" w14:textId="77777777" w:rsidR="00227084" w:rsidRPr="009A26A4" w:rsidRDefault="00227084" w:rsidP="00227084">
      <w:pPr>
        <w:pStyle w:val="EndNoteBibliography"/>
        <w:spacing w:after="0"/>
        <w:rPr>
          <w:rFonts w:ascii="Aptos" w:hAnsi="Aptos"/>
          <w:noProof/>
          <w:sz w:val="21"/>
          <w:szCs w:val="21"/>
        </w:rPr>
      </w:pPr>
      <w:r w:rsidRPr="009A26A4">
        <w:rPr>
          <w:rFonts w:ascii="Aptos" w:hAnsi="Aptos"/>
          <w:noProof/>
          <w:sz w:val="21"/>
          <w:szCs w:val="21"/>
        </w:rPr>
        <w:t>132.</w:t>
      </w:r>
      <w:r w:rsidRPr="009A26A4">
        <w:rPr>
          <w:rFonts w:ascii="Aptos" w:hAnsi="Aptos"/>
          <w:noProof/>
          <w:sz w:val="21"/>
          <w:szCs w:val="21"/>
        </w:rPr>
        <w:tab/>
        <w:t>Chen B, Yu P, Chan WN, Xie F, Zhang Y, Liang L, et al. Cellular zinc metabolism and zinc signaling: from biological functions to diseases and therapeutic targets. Signal Transduction and Targeted Therapy. 2024;9(1):6.</w:t>
      </w:r>
    </w:p>
    <w:p w14:paraId="55DDFE3E" w14:textId="77777777" w:rsidR="00227084" w:rsidRPr="009A26A4" w:rsidRDefault="00227084" w:rsidP="00227084">
      <w:pPr>
        <w:pStyle w:val="EndNoteBibliography"/>
        <w:spacing w:after="0"/>
        <w:rPr>
          <w:rFonts w:ascii="Aptos" w:hAnsi="Aptos"/>
          <w:noProof/>
          <w:sz w:val="21"/>
          <w:szCs w:val="21"/>
        </w:rPr>
      </w:pPr>
      <w:r w:rsidRPr="009A26A4">
        <w:rPr>
          <w:rFonts w:ascii="Aptos" w:hAnsi="Aptos"/>
          <w:noProof/>
          <w:sz w:val="21"/>
          <w:szCs w:val="21"/>
        </w:rPr>
        <w:t>133.</w:t>
      </w:r>
      <w:r w:rsidRPr="009A26A4">
        <w:rPr>
          <w:rFonts w:ascii="Aptos" w:hAnsi="Aptos"/>
          <w:noProof/>
          <w:sz w:val="21"/>
          <w:szCs w:val="21"/>
        </w:rPr>
        <w:tab/>
        <w:t>Bonaventura P, Benedetti G, Albarède F, Miossec P. Zinc and its role in immunity and inflammation. Autoimmunity Reviews. 2015;14(4):277-85.</w:t>
      </w:r>
    </w:p>
    <w:p w14:paraId="5139D025" w14:textId="77777777" w:rsidR="00227084" w:rsidRPr="009A26A4" w:rsidRDefault="00227084" w:rsidP="00227084">
      <w:pPr>
        <w:pStyle w:val="EndNoteBibliography"/>
        <w:spacing w:after="0"/>
        <w:rPr>
          <w:rFonts w:ascii="Aptos" w:hAnsi="Aptos"/>
          <w:noProof/>
          <w:sz w:val="21"/>
          <w:szCs w:val="21"/>
        </w:rPr>
      </w:pPr>
      <w:r w:rsidRPr="009A26A4">
        <w:rPr>
          <w:rFonts w:ascii="Aptos" w:hAnsi="Aptos"/>
          <w:noProof/>
          <w:sz w:val="21"/>
          <w:szCs w:val="21"/>
        </w:rPr>
        <w:t>134.</w:t>
      </w:r>
      <w:r w:rsidRPr="009A26A4">
        <w:rPr>
          <w:rFonts w:ascii="Aptos" w:hAnsi="Aptos"/>
          <w:noProof/>
          <w:sz w:val="21"/>
          <w:szCs w:val="21"/>
        </w:rPr>
        <w:tab/>
        <w:t>Rosenkranz E, Hilgers R-D, Uciechowski P, Petersen A, Plümäkers B, Rink L. Zinc enhances the number of regulatory T cells in allergen-stimulated cells from atopic subjects. European Journal of Nutrition. 2017;56(2):557-67.</w:t>
      </w:r>
    </w:p>
    <w:p w14:paraId="5EC8A19E" w14:textId="77777777" w:rsidR="00227084" w:rsidRPr="009A26A4" w:rsidRDefault="00227084" w:rsidP="00227084">
      <w:pPr>
        <w:pStyle w:val="EndNoteBibliography"/>
        <w:spacing w:after="0"/>
        <w:rPr>
          <w:rFonts w:ascii="Aptos" w:hAnsi="Aptos"/>
          <w:noProof/>
          <w:sz w:val="21"/>
          <w:szCs w:val="21"/>
        </w:rPr>
      </w:pPr>
      <w:r w:rsidRPr="009A26A4">
        <w:rPr>
          <w:rFonts w:ascii="Aptos" w:hAnsi="Aptos"/>
          <w:noProof/>
          <w:sz w:val="21"/>
          <w:szCs w:val="21"/>
        </w:rPr>
        <w:t>135.</w:t>
      </w:r>
      <w:r w:rsidRPr="009A26A4">
        <w:rPr>
          <w:rFonts w:ascii="Aptos" w:hAnsi="Aptos"/>
          <w:noProof/>
          <w:sz w:val="21"/>
          <w:szCs w:val="21"/>
        </w:rPr>
        <w:tab/>
        <w:t>Gray NA, Dhana A, Stein DJ, Khumalo NP. Zinc and atopic dermatitis: a systematic review and meta-analysis. Journal of the European Academy of Dermatology and Venereology : JEADV. 2019;33(6):1042-50.</w:t>
      </w:r>
    </w:p>
    <w:p w14:paraId="5037F0BD" w14:textId="77777777" w:rsidR="00227084" w:rsidRPr="009A26A4" w:rsidRDefault="00227084" w:rsidP="00227084">
      <w:pPr>
        <w:pStyle w:val="EndNoteBibliography"/>
        <w:spacing w:after="0"/>
        <w:rPr>
          <w:rFonts w:ascii="Aptos" w:hAnsi="Aptos"/>
          <w:noProof/>
          <w:sz w:val="21"/>
          <w:szCs w:val="21"/>
        </w:rPr>
      </w:pPr>
      <w:r w:rsidRPr="009A26A4">
        <w:rPr>
          <w:rFonts w:ascii="Aptos" w:hAnsi="Aptos"/>
          <w:noProof/>
          <w:sz w:val="21"/>
          <w:szCs w:val="21"/>
        </w:rPr>
        <w:t>136.</w:t>
      </w:r>
      <w:r w:rsidRPr="009A26A4">
        <w:rPr>
          <w:rFonts w:ascii="Aptos" w:hAnsi="Aptos"/>
          <w:noProof/>
          <w:sz w:val="21"/>
          <w:szCs w:val="21"/>
        </w:rPr>
        <w:tab/>
        <w:t>Dhaliwal S, Nguyen M, Vaughn AR, Notay M, Chambers CJ, Sivamani RK. Effects of Zinc Supplementation on Inflammatory Skin Diseases: A Systematic Review of the Clinical Evidence. American journal of clinical dermatology. 2020;21(1):21-39.</w:t>
      </w:r>
    </w:p>
    <w:p w14:paraId="6E900278" w14:textId="77777777" w:rsidR="00227084" w:rsidRPr="009A26A4" w:rsidRDefault="00227084" w:rsidP="00227084">
      <w:pPr>
        <w:pStyle w:val="EndNoteBibliography"/>
        <w:spacing w:after="0"/>
        <w:rPr>
          <w:rFonts w:ascii="Aptos" w:hAnsi="Aptos"/>
          <w:noProof/>
          <w:sz w:val="21"/>
          <w:szCs w:val="21"/>
        </w:rPr>
      </w:pPr>
      <w:r w:rsidRPr="009A26A4">
        <w:rPr>
          <w:rFonts w:ascii="Aptos" w:hAnsi="Aptos"/>
          <w:noProof/>
          <w:sz w:val="21"/>
          <w:szCs w:val="21"/>
        </w:rPr>
        <w:t>137.</w:t>
      </w:r>
      <w:r w:rsidRPr="009A26A4">
        <w:rPr>
          <w:rFonts w:ascii="Aptos" w:hAnsi="Aptos"/>
          <w:noProof/>
          <w:sz w:val="21"/>
          <w:szCs w:val="21"/>
        </w:rPr>
        <w:tab/>
        <w:t>Fiona JBH, Claire J, Rosemary H, Hywel CW. Dietary supplements for established atopic eczema. Cochrane Database of Systematic Reviews. 2012;2(2):CD005205.</w:t>
      </w:r>
    </w:p>
    <w:p w14:paraId="17016BE0" w14:textId="77777777" w:rsidR="00227084" w:rsidRPr="009A26A4" w:rsidRDefault="00227084" w:rsidP="00227084">
      <w:pPr>
        <w:pStyle w:val="EndNoteBibliography"/>
        <w:spacing w:after="0"/>
        <w:rPr>
          <w:rFonts w:ascii="Aptos" w:hAnsi="Aptos"/>
          <w:noProof/>
          <w:sz w:val="21"/>
          <w:szCs w:val="21"/>
        </w:rPr>
      </w:pPr>
      <w:r w:rsidRPr="009A26A4">
        <w:rPr>
          <w:rFonts w:ascii="Aptos" w:hAnsi="Aptos"/>
          <w:noProof/>
          <w:sz w:val="21"/>
          <w:szCs w:val="21"/>
        </w:rPr>
        <w:t>138.</w:t>
      </w:r>
      <w:r w:rsidRPr="009A26A4">
        <w:rPr>
          <w:rFonts w:ascii="Aptos" w:hAnsi="Aptos"/>
          <w:noProof/>
          <w:sz w:val="21"/>
          <w:szCs w:val="21"/>
        </w:rPr>
        <w:tab/>
        <w:t>Noor N, Urits I, Degueure A, Rando L, Kata V, Cornett EM, et al. A Comprehensive Update of the Current Understanding of Chronic Fatigue Syndrome. Anesth Pain Med. 2021;11(3):e113629.</w:t>
      </w:r>
    </w:p>
    <w:p w14:paraId="1C51ED24" w14:textId="77777777" w:rsidR="00227084" w:rsidRPr="009A26A4" w:rsidRDefault="00227084" w:rsidP="00227084">
      <w:pPr>
        <w:pStyle w:val="EndNoteBibliography"/>
        <w:spacing w:after="0"/>
        <w:rPr>
          <w:rFonts w:ascii="Aptos" w:hAnsi="Aptos"/>
          <w:noProof/>
          <w:sz w:val="21"/>
          <w:szCs w:val="21"/>
        </w:rPr>
      </w:pPr>
      <w:r w:rsidRPr="009A26A4">
        <w:rPr>
          <w:rFonts w:ascii="Aptos" w:hAnsi="Aptos"/>
          <w:noProof/>
          <w:sz w:val="21"/>
          <w:szCs w:val="21"/>
        </w:rPr>
        <w:t>139.</w:t>
      </w:r>
      <w:r w:rsidRPr="009A26A4">
        <w:rPr>
          <w:rFonts w:ascii="Aptos" w:hAnsi="Aptos"/>
          <w:noProof/>
          <w:sz w:val="21"/>
          <w:szCs w:val="21"/>
        </w:rPr>
        <w:tab/>
        <w:t>Twisk FN. The status of and future research into Myalgic Encephalomyelitis and Chronic Fatigue Syndrome: the need of accurate diagnosis, objective assessment, and acknowledging biological and clinical subgroups. Front Physiol. 2014;5:109.</w:t>
      </w:r>
    </w:p>
    <w:p w14:paraId="1DB4CECD" w14:textId="77777777" w:rsidR="00227084" w:rsidRPr="009A26A4" w:rsidRDefault="00227084" w:rsidP="00227084">
      <w:pPr>
        <w:pStyle w:val="EndNoteBibliography"/>
        <w:spacing w:after="0"/>
        <w:rPr>
          <w:rFonts w:ascii="Aptos" w:hAnsi="Aptos"/>
          <w:noProof/>
          <w:sz w:val="21"/>
          <w:szCs w:val="21"/>
        </w:rPr>
      </w:pPr>
      <w:r w:rsidRPr="009A26A4">
        <w:rPr>
          <w:rFonts w:ascii="Aptos" w:hAnsi="Aptos"/>
          <w:noProof/>
          <w:sz w:val="21"/>
          <w:szCs w:val="21"/>
        </w:rPr>
        <w:t>140.</w:t>
      </w:r>
      <w:r w:rsidRPr="009A26A4">
        <w:rPr>
          <w:rFonts w:ascii="Aptos" w:hAnsi="Aptos"/>
          <w:noProof/>
          <w:sz w:val="21"/>
          <w:szCs w:val="21"/>
        </w:rPr>
        <w:tab/>
        <w:t>Khalifa EA, Nabil Ahmed A, Hashem KS, Allah AG. Therapeutic Effects of the Combination of Alpha-Lipoic Acid (ALA) and Coenzyme Q10 (CoQ10) on Cisplatin-Induced Nephrotoxicity. International Journal of Inflammation. 2020;2020:5369797.</w:t>
      </w:r>
    </w:p>
    <w:p w14:paraId="6D4C544A" w14:textId="77777777" w:rsidR="00227084" w:rsidRPr="009A26A4" w:rsidRDefault="00227084" w:rsidP="00227084">
      <w:pPr>
        <w:pStyle w:val="EndNoteBibliography"/>
        <w:spacing w:after="0"/>
        <w:rPr>
          <w:rFonts w:ascii="Aptos" w:hAnsi="Aptos"/>
          <w:noProof/>
          <w:sz w:val="21"/>
          <w:szCs w:val="21"/>
        </w:rPr>
      </w:pPr>
      <w:r w:rsidRPr="009A26A4">
        <w:rPr>
          <w:rFonts w:ascii="Aptos" w:hAnsi="Aptos"/>
          <w:noProof/>
          <w:sz w:val="21"/>
          <w:szCs w:val="21"/>
        </w:rPr>
        <w:t>141.</w:t>
      </w:r>
      <w:r w:rsidRPr="009A26A4">
        <w:rPr>
          <w:rFonts w:ascii="Aptos" w:hAnsi="Aptos"/>
          <w:noProof/>
          <w:sz w:val="21"/>
          <w:szCs w:val="21"/>
        </w:rPr>
        <w:tab/>
        <w:t>Norheim KB, Jonsson G, Omdal R. Biological mechanisms of chronic fatigue. Rheumatology. 2011;50(6):1009-18.</w:t>
      </w:r>
    </w:p>
    <w:p w14:paraId="4162143D" w14:textId="77777777" w:rsidR="00227084" w:rsidRPr="009A26A4" w:rsidRDefault="00227084" w:rsidP="00227084">
      <w:pPr>
        <w:pStyle w:val="EndNoteBibliography"/>
        <w:spacing w:after="0"/>
        <w:rPr>
          <w:rFonts w:ascii="Aptos" w:hAnsi="Aptos"/>
          <w:noProof/>
          <w:sz w:val="21"/>
          <w:szCs w:val="21"/>
        </w:rPr>
      </w:pPr>
      <w:r w:rsidRPr="009A26A4">
        <w:rPr>
          <w:rFonts w:ascii="Aptos" w:hAnsi="Aptos"/>
          <w:noProof/>
          <w:sz w:val="21"/>
          <w:szCs w:val="21"/>
        </w:rPr>
        <w:t>142.</w:t>
      </w:r>
      <w:r w:rsidRPr="009A26A4">
        <w:rPr>
          <w:rFonts w:ascii="Aptos" w:hAnsi="Aptos"/>
          <w:noProof/>
          <w:sz w:val="21"/>
          <w:szCs w:val="21"/>
        </w:rPr>
        <w:tab/>
        <w:t>Saini R. Coenzyme Q10: The essential nutrient. J Pharm Bioallied Sci. 2011;3(3):466-7.</w:t>
      </w:r>
    </w:p>
    <w:p w14:paraId="61A33EBD" w14:textId="77777777" w:rsidR="00227084" w:rsidRPr="009A26A4" w:rsidRDefault="00227084" w:rsidP="00227084">
      <w:pPr>
        <w:pStyle w:val="EndNoteBibliography"/>
        <w:spacing w:after="0"/>
        <w:rPr>
          <w:rFonts w:ascii="Aptos" w:hAnsi="Aptos"/>
          <w:noProof/>
          <w:sz w:val="21"/>
          <w:szCs w:val="21"/>
        </w:rPr>
      </w:pPr>
      <w:r w:rsidRPr="009A26A4">
        <w:rPr>
          <w:rFonts w:ascii="Aptos" w:hAnsi="Aptos"/>
          <w:noProof/>
          <w:sz w:val="21"/>
          <w:szCs w:val="21"/>
        </w:rPr>
        <w:t>143.</w:t>
      </w:r>
      <w:r w:rsidRPr="009A26A4">
        <w:rPr>
          <w:rFonts w:ascii="Aptos" w:hAnsi="Aptos"/>
          <w:noProof/>
          <w:sz w:val="21"/>
          <w:szCs w:val="21"/>
        </w:rPr>
        <w:tab/>
        <w:t>Nguyen H PM, Gupta V. Alpha-Lipoic Acid.  StatPearls. Treasure Island, FL: StatPearls Publishing; 2024.</w:t>
      </w:r>
    </w:p>
    <w:p w14:paraId="13CB519A" w14:textId="77777777" w:rsidR="00227084" w:rsidRPr="009A26A4" w:rsidRDefault="00227084" w:rsidP="00227084">
      <w:pPr>
        <w:pStyle w:val="EndNoteBibliography"/>
        <w:spacing w:after="0"/>
        <w:rPr>
          <w:rFonts w:ascii="Aptos" w:hAnsi="Aptos"/>
          <w:noProof/>
          <w:sz w:val="21"/>
          <w:szCs w:val="21"/>
        </w:rPr>
      </w:pPr>
      <w:r w:rsidRPr="009A26A4">
        <w:rPr>
          <w:rFonts w:ascii="Aptos" w:hAnsi="Aptos"/>
          <w:noProof/>
          <w:sz w:val="21"/>
          <w:szCs w:val="21"/>
        </w:rPr>
        <w:t>144.</w:t>
      </w:r>
      <w:r w:rsidRPr="009A26A4">
        <w:rPr>
          <w:rFonts w:ascii="Aptos" w:hAnsi="Aptos"/>
          <w:noProof/>
          <w:sz w:val="21"/>
          <w:szCs w:val="21"/>
        </w:rPr>
        <w:tab/>
        <w:t>Tsai IC, Hsu CW, Chang CH, Tseng PT, Chang KV. Effectiveness of Coenzyme Q10 Supplementation for Reducing Fatigue: A Systematic Review and Meta-Analysis of Randomized Controlled Trials. Frontiers in pharmacology. 2022;13:883251.</w:t>
      </w:r>
    </w:p>
    <w:p w14:paraId="01CE23CC" w14:textId="77777777" w:rsidR="00227084" w:rsidRPr="009A26A4" w:rsidRDefault="00227084" w:rsidP="00227084">
      <w:pPr>
        <w:pStyle w:val="EndNoteBibliography"/>
        <w:spacing w:after="0"/>
        <w:rPr>
          <w:rFonts w:ascii="Aptos" w:hAnsi="Aptos"/>
          <w:noProof/>
          <w:sz w:val="21"/>
          <w:szCs w:val="21"/>
        </w:rPr>
      </w:pPr>
      <w:r w:rsidRPr="009A26A4">
        <w:rPr>
          <w:rFonts w:ascii="Aptos" w:hAnsi="Aptos"/>
          <w:noProof/>
          <w:sz w:val="21"/>
          <w:szCs w:val="21"/>
        </w:rPr>
        <w:t>145.</w:t>
      </w:r>
      <w:r w:rsidRPr="009A26A4">
        <w:rPr>
          <w:rFonts w:ascii="Aptos" w:hAnsi="Aptos"/>
          <w:noProof/>
          <w:sz w:val="21"/>
          <w:szCs w:val="21"/>
        </w:rPr>
        <w:tab/>
        <w:t>Mehrabani S, Askari G, Miraghajani M, Tavakoly R, Arab A. Effect of coenzyme Q10 supplementation on fatigue: A systematic review of interventional studies. Complementary therapies in medicine. 2019;43:181-7.</w:t>
      </w:r>
    </w:p>
    <w:p w14:paraId="7D8688A7" w14:textId="77777777" w:rsidR="00227084" w:rsidRPr="009A26A4" w:rsidRDefault="00227084" w:rsidP="00227084">
      <w:pPr>
        <w:pStyle w:val="EndNoteBibliography"/>
        <w:spacing w:after="0"/>
        <w:rPr>
          <w:rFonts w:ascii="Aptos" w:hAnsi="Aptos"/>
          <w:noProof/>
          <w:sz w:val="21"/>
          <w:szCs w:val="21"/>
        </w:rPr>
      </w:pPr>
      <w:r w:rsidRPr="009A26A4">
        <w:rPr>
          <w:rFonts w:ascii="Aptos" w:hAnsi="Aptos"/>
          <w:noProof/>
          <w:sz w:val="21"/>
          <w:szCs w:val="21"/>
        </w:rPr>
        <w:lastRenderedPageBreak/>
        <w:t>146.</w:t>
      </w:r>
      <w:r w:rsidRPr="009A26A4">
        <w:rPr>
          <w:rFonts w:ascii="Aptos" w:hAnsi="Aptos"/>
          <w:noProof/>
          <w:sz w:val="21"/>
          <w:szCs w:val="21"/>
        </w:rPr>
        <w:tab/>
        <w:t>Pereira P, Reis AD, Diniz RR, Lima FA, Leite RD, da Silva MCP, et al. Dietary supplements and fatigue in patients with breast cancer: a systematic review. Breast cancer research and treatment. 2018;171(3):515-26.</w:t>
      </w:r>
    </w:p>
    <w:p w14:paraId="1FE4943C" w14:textId="77777777" w:rsidR="00227084" w:rsidRPr="009A26A4" w:rsidRDefault="00227084" w:rsidP="00227084">
      <w:pPr>
        <w:pStyle w:val="EndNoteBibliography"/>
        <w:spacing w:after="0"/>
        <w:rPr>
          <w:rFonts w:ascii="Aptos" w:hAnsi="Aptos"/>
          <w:noProof/>
          <w:sz w:val="21"/>
          <w:szCs w:val="21"/>
        </w:rPr>
      </w:pPr>
      <w:r w:rsidRPr="009A26A4">
        <w:rPr>
          <w:rFonts w:ascii="Aptos" w:hAnsi="Aptos"/>
          <w:noProof/>
          <w:sz w:val="21"/>
          <w:szCs w:val="21"/>
        </w:rPr>
        <w:t>147.</w:t>
      </w:r>
      <w:r w:rsidRPr="009A26A4">
        <w:rPr>
          <w:rFonts w:ascii="Aptos" w:hAnsi="Aptos"/>
          <w:noProof/>
          <w:sz w:val="21"/>
          <w:szCs w:val="21"/>
        </w:rPr>
        <w:tab/>
        <w:t>Marx W, Hockey M, McGuinness AJ, Lane M, Christodoulou J, van der Mei I, et al. The effect of emerging nutraceutical interventions for clinical and biological outcomes in multiple sclerosis: A systematic review. Multiple sclerosis and related disorders. 2019;37:101486.</w:t>
      </w:r>
    </w:p>
    <w:p w14:paraId="01CDE61E" w14:textId="77777777" w:rsidR="00227084" w:rsidRPr="009A26A4" w:rsidRDefault="00227084" w:rsidP="00227084">
      <w:pPr>
        <w:pStyle w:val="EndNoteBibliography"/>
        <w:spacing w:after="0"/>
        <w:rPr>
          <w:rFonts w:ascii="Aptos" w:hAnsi="Aptos"/>
          <w:noProof/>
          <w:sz w:val="21"/>
          <w:szCs w:val="21"/>
        </w:rPr>
      </w:pPr>
      <w:r w:rsidRPr="009A26A4">
        <w:rPr>
          <w:rFonts w:ascii="Aptos" w:hAnsi="Aptos"/>
          <w:noProof/>
          <w:sz w:val="21"/>
          <w:szCs w:val="21"/>
        </w:rPr>
        <w:t>148.</w:t>
      </w:r>
      <w:r w:rsidRPr="009A26A4">
        <w:rPr>
          <w:rFonts w:ascii="Aptos" w:hAnsi="Aptos"/>
          <w:noProof/>
          <w:sz w:val="21"/>
          <w:szCs w:val="21"/>
        </w:rPr>
        <w:tab/>
        <w:t>Kim DY, Lee JS, Park SY, Kim SJ, Son CG. Systematic review of randomized controlled trials for chronic fatigue syndrome/myalgic encephalomyelitis (CFS/ME). Journal of translational medicine. 2020;18(1):7.</w:t>
      </w:r>
    </w:p>
    <w:p w14:paraId="5FCB2E9E" w14:textId="77777777" w:rsidR="00227084" w:rsidRPr="009A26A4" w:rsidRDefault="00227084" w:rsidP="00227084">
      <w:pPr>
        <w:pStyle w:val="EndNoteBibliography"/>
        <w:spacing w:after="0"/>
        <w:rPr>
          <w:rFonts w:ascii="Aptos" w:hAnsi="Aptos"/>
          <w:noProof/>
          <w:sz w:val="21"/>
          <w:szCs w:val="21"/>
        </w:rPr>
      </w:pPr>
      <w:r w:rsidRPr="009A26A4">
        <w:rPr>
          <w:rFonts w:ascii="Aptos" w:hAnsi="Aptos"/>
          <w:noProof/>
          <w:sz w:val="21"/>
          <w:szCs w:val="21"/>
        </w:rPr>
        <w:t>149.</w:t>
      </w:r>
      <w:r w:rsidRPr="009A26A4">
        <w:rPr>
          <w:rFonts w:ascii="Aptos" w:hAnsi="Aptos"/>
          <w:noProof/>
          <w:sz w:val="21"/>
          <w:szCs w:val="21"/>
        </w:rPr>
        <w:tab/>
        <w:t>Campagnolo N, Johnston S, Collatz A, Staines D, Marshall-Gradisnik S. Dietary and nutrition interventions for the therapeutic treatment of chronic fatigue syndrome/myalgic encephalomyelitis: a systematic review. Journal of Human Nutrition and Dietetics. 2017;30(3):247-59.</w:t>
      </w:r>
    </w:p>
    <w:p w14:paraId="6FA81EE3" w14:textId="77777777" w:rsidR="00227084" w:rsidRPr="009A26A4" w:rsidRDefault="00227084" w:rsidP="00227084">
      <w:pPr>
        <w:pStyle w:val="EndNoteBibliography"/>
        <w:spacing w:after="0"/>
        <w:rPr>
          <w:rFonts w:ascii="Aptos" w:hAnsi="Aptos"/>
          <w:noProof/>
          <w:sz w:val="21"/>
          <w:szCs w:val="21"/>
        </w:rPr>
      </w:pPr>
      <w:r w:rsidRPr="009A26A4">
        <w:rPr>
          <w:rFonts w:ascii="Aptos" w:hAnsi="Aptos"/>
          <w:noProof/>
          <w:sz w:val="21"/>
          <w:szCs w:val="21"/>
        </w:rPr>
        <w:t>150.</w:t>
      </w:r>
      <w:r w:rsidRPr="009A26A4">
        <w:rPr>
          <w:rFonts w:ascii="Aptos" w:hAnsi="Aptos"/>
          <w:noProof/>
          <w:sz w:val="21"/>
          <w:szCs w:val="21"/>
        </w:rPr>
        <w:tab/>
        <w:t>Stovner LJ, Hagen K, Linde M, Steiner TJ. The global prevalence of headache: an update, with analysis of the influences of methodological factors on prevalence estimates. The Journal of Headache and Pain. 2022;23(1):34.</w:t>
      </w:r>
    </w:p>
    <w:p w14:paraId="6AD6005E" w14:textId="77777777" w:rsidR="00227084" w:rsidRPr="009A26A4" w:rsidRDefault="00227084" w:rsidP="00227084">
      <w:pPr>
        <w:pStyle w:val="EndNoteBibliography"/>
        <w:spacing w:after="0"/>
        <w:rPr>
          <w:rFonts w:ascii="Aptos" w:hAnsi="Aptos"/>
          <w:noProof/>
          <w:sz w:val="21"/>
          <w:szCs w:val="21"/>
        </w:rPr>
      </w:pPr>
      <w:r w:rsidRPr="009A26A4">
        <w:rPr>
          <w:rFonts w:ascii="Aptos" w:hAnsi="Aptos"/>
          <w:noProof/>
          <w:sz w:val="21"/>
          <w:szCs w:val="21"/>
        </w:rPr>
        <w:t>151.</w:t>
      </w:r>
      <w:r w:rsidRPr="009A26A4">
        <w:rPr>
          <w:rFonts w:ascii="Aptos" w:hAnsi="Aptos"/>
          <w:noProof/>
          <w:sz w:val="21"/>
          <w:szCs w:val="21"/>
        </w:rPr>
        <w:tab/>
        <w:t>Buse DC, Reed ML, Fanning KM, Bostic R, Dodick DW, Schwedt TJ, et al. Comorbid and co-occurring conditions in migraine and associated risk of increasing headache pain intensity and headache frequency: results of the migraine in America symptoms and treatment (MAST) study. The Journal of Headache and Pain. 2020;21(1):23.</w:t>
      </w:r>
    </w:p>
    <w:p w14:paraId="54E2DE6A" w14:textId="77777777" w:rsidR="00227084" w:rsidRPr="009A26A4" w:rsidRDefault="00227084" w:rsidP="00227084">
      <w:pPr>
        <w:pStyle w:val="EndNoteBibliography"/>
        <w:spacing w:after="0"/>
        <w:rPr>
          <w:rFonts w:ascii="Aptos" w:hAnsi="Aptos"/>
          <w:noProof/>
          <w:sz w:val="21"/>
          <w:szCs w:val="21"/>
        </w:rPr>
      </w:pPr>
      <w:r w:rsidRPr="009A26A4">
        <w:rPr>
          <w:rFonts w:ascii="Aptos" w:hAnsi="Aptos"/>
          <w:noProof/>
          <w:sz w:val="21"/>
          <w:szCs w:val="21"/>
        </w:rPr>
        <w:t>152.</w:t>
      </w:r>
      <w:r w:rsidRPr="009A26A4">
        <w:rPr>
          <w:rFonts w:ascii="Aptos" w:hAnsi="Aptos"/>
          <w:noProof/>
          <w:sz w:val="21"/>
          <w:szCs w:val="21"/>
        </w:rPr>
        <w:tab/>
        <w:t>Robbins MS. Diagnosis and Management of Headache: A Review. JAMA. 2021;325(18):1874-85.</w:t>
      </w:r>
    </w:p>
    <w:p w14:paraId="1AA83060" w14:textId="77777777" w:rsidR="00227084" w:rsidRPr="009A26A4" w:rsidRDefault="00227084" w:rsidP="00227084">
      <w:pPr>
        <w:pStyle w:val="EndNoteBibliography"/>
        <w:spacing w:after="0"/>
        <w:rPr>
          <w:rFonts w:ascii="Aptos" w:hAnsi="Aptos"/>
          <w:noProof/>
          <w:sz w:val="21"/>
          <w:szCs w:val="21"/>
        </w:rPr>
      </w:pPr>
      <w:r w:rsidRPr="009A26A4">
        <w:rPr>
          <w:rFonts w:ascii="Aptos" w:hAnsi="Aptos"/>
          <w:noProof/>
          <w:sz w:val="21"/>
          <w:szCs w:val="21"/>
        </w:rPr>
        <w:t>153.</w:t>
      </w:r>
      <w:r w:rsidRPr="009A26A4">
        <w:rPr>
          <w:rFonts w:ascii="Aptos" w:hAnsi="Aptos"/>
          <w:noProof/>
          <w:sz w:val="21"/>
          <w:szCs w:val="21"/>
        </w:rPr>
        <w:tab/>
        <w:t>van der Plas AA, Schilder JCM, Marinus J, van Hilten JJ. An Explanatory Study Evaluating the Muscle Relaxant Effects of Intramuscular Magnesium Sulphate for Dystonia in Complex Regional Pain Syndrome. The Journal of Pain. 2013;14(11):1341-8.</w:t>
      </w:r>
    </w:p>
    <w:p w14:paraId="5164D7D8" w14:textId="77777777" w:rsidR="00227084" w:rsidRPr="009A26A4" w:rsidRDefault="00227084" w:rsidP="00227084">
      <w:pPr>
        <w:pStyle w:val="EndNoteBibliography"/>
        <w:spacing w:after="0"/>
        <w:rPr>
          <w:rFonts w:ascii="Aptos" w:hAnsi="Aptos"/>
          <w:noProof/>
          <w:sz w:val="21"/>
          <w:szCs w:val="21"/>
        </w:rPr>
      </w:pPr>
      <w:r w:rsidRPr="009A26A4">
        <w:rPr>
          <w:rFonts w:ascii="Aptos" w:hAnsi="Aptos"/>
          <w:noProof/>
          <w:sz w:val="21"/>
          <w:szCs w:val="21"/>
        </w:rPr>
        <w:t>154.</w:t>
      </w:r>
      <w:r w:rsidRPr="009A26A4">
        <w:rPr>
          <w:rFonts w:ascii="Aptos" w:hAnsi="Aptos"/>
          <w:noProof/>
          <w:sz w:val="21"/>
          <w:szCs w:val="21"/>
        </w:rPr>
        <w:tab/>
        <w:t>von Luckner A, Riederer F. Magnesium in Migraine Prophylaxis-Is There an Evidence-Based Rationale? A Systematic Review. Headache. 2018;58(2):199-209.</w:t>
      </w:r>
    </w:p>
    <w:p w14:paraId="6F979CA7" w14:textId="77777777" w:rsidR="00227084" w:rsidRPr="009A26A4" w:rsidRDefault="00227084" w:rsidP="00227084">
      <w:pPr>
        <w:pStyle w:val="EndNoteBibliography"/>
        <w:spacing w:after="0"/>
        <w:rPr>
          <w:rFonts w:ascii="Aptos" w:hAnsi="Aptos"/>
          <w:noProof/>
          <w:sz w:val="21"/>
          <w:szCs w:val="21"/>
        </w:rPr>
      </w:pPr>
      <w:r w:rsidRPr="009A26A4">
        <w:rPr>
          <w:rFonts w:ascii="Aptos" w:hAnsi="Aptos"/>
          <w:noProof/>
          <w:sz w:val="21"/>
          <w:szCs w:val="21"/>
        </w:rPr>
        <w:t>155.</w:t>
      </w:r>
      <w:r w:rsidRPr="009A26A4">
        <w:rPr>
          <w:rFonts w:ascii="Aptos" w:hAnsi="Aptos"/>
          <w:noProof/>
          <w:sz w:val="21"/>
          <w:szCs w:val="21"/>
        </w:rPr>
        <w:tab/>
        <w:t>Pringsheim T, Davenport WJ, Mackie G, Worthington I, Aubé M, Christie SN, et al. Systematic review: medications for migraine prophylaxis – section II. Canadian Journal of Neurological Sciences. 2012;39(Supplement 2):S8-S28.</w:t>
      </w:r>
    </w:p>
    <w:p w14:paraId="0BE73478" w14:textId="77777777" w:rsidR="00227084" w:rsidRPr="009A26A4" w:rsidRDefault="00227084" w:rsidP="00227084">
      <w:pPr>
        <w:pStyle w:val="EndNoteBibliography"/>
        <w:spacing w:after="0"/>
        <w:rPr>
          <w:rFonts w:ascii="Aptos" w:hAnsi="Aptos"/>
          <w:noProof/>
          <w:sz w:val="21"/>
          <w:szCs w:val="21"/>
        </w:rPr>
      </w:pPr>
      <w:r w:rsidRPr="009A26A4">
        <w:rPr>
          <w:rFonts w:ascii="Aptos" w:hAnsi="Aptos"/>
          <w:noProof/>
          <w:sz w:val="21"/>
          <w:szCs w:val="21"/>
        </w:rPr>
        <w:t>156.</w:t>
      </w:r>
      <w:r w:rsidRPr="009A26A4">
        <w:rPr>
          <w:rFonts w:ascii="Aptos" w:hAnsi="Aptos"/>
          <w:noProof/>
          <w:sz w:val="21"/>
          <w:szCs w:val="21"/>
        </w:rPr>
        <w:tab/>
        <w:t>Park R, Ho AMH, Pickering G, Arendt-Nielsen L, Mohiuddin M, Gilron I. Efficacy and safety of magnesium for the management of chronic pain in adults: A systematic review. Anesthesia and analgesia. 2020;131(3):764-75.</w:t>
      </w:r>
    </w:p>
    <w:p w14:paraId="3D2232D9" w14:textId="77777777" w:rsidR="00227084" w:rsidRPr="009A26A4" w:rsidRDefault="00227084" w:rsidP="00227084">
      <w:pPr>
        <w:pStyle w:val="EndNoteBibliography"/>
        <w:spacing w:after="0"/>
        <w:rPr>
          <w:rFonts w:ascii="Aptos" w:hAnsi="Aptos"/>
          <w:noProof/>
          <w:sz w:val="21"/>
          <w:szCs w:val="21"/>
        </w:rPr>
      </w:pPr>
      <w:r w:rsidRPr="009A26A4">
        <w:rPr>
          <w:rFonts w:ascii="Aptos" w:hAnsi="Aptos"/>
          <w:noProof/>
          <w:sz w:val="21"/>
          <w:szCs w:val="21"/>
        </w:rPr>
        <w:t>157.</w:t>
      </w:r>
      <w:r w:rsidRPr="009A26A4">
        <w:rPr>
          <w:rFonts w:ascii="Aptos" w:hAnsi="Aptos"/>
          <w:noProof/>
          <w:sz w:val="21"/>
          <w:szCs w:val="21"/>
        </w:rPr>
        <w:tab/>
        <w:t>Chiu HY, Yeh TH, Huang YC, Chen PY. Effects of intravenous and oral magnesium on reducing migraine: A meta-analysis of randomized controlled trials. Pain Physician. 2016;19(1):E97-E112.</w:t>
      </w:r>
    </w:p>
    <w:p w14:paraId="333DD101" w14:textId="77777777" w:rsidR="00227084" w:rsidRPr="009A26A4" w:rsidRDefault="00227084" w:rsidP="00227084">
      <w:pPr>
        <w:pStyle w:val="EndNoteBibliography"/>
        <w:spacing w:after="0"/>
        <w:rPr>
          <w:rFonts w:ascii="Aptos" w:hAnsi="Aptos"/>
          <w:noProof/>
          <w:sz w:val="21"/>
          <w:szCs w:val="21"/>
        </w:rPr>
      </w:pPr>
      <w:r w:rsidRPr="009A26A4">
        <w:rPr>
          <w:rFonts w:ascii="Aptos" w:hAnsi="Aptos"/>
          <w:noProof/>
          <w:sz w:val="21"/>
          <w:szCs w:val="21"/>
        </w:rPr>
        <w:t>158.</w:t>
      </w:r>
      <w:r w:rsidRPr="009A26A4">
        <w:rPr>
          <w:rFonts w:ascii="Aptos" w:hAnsi="Aptos"/>
          <w:noProof/>
          <w:sz w:val="21"/>
          <w:szCs w:val="21"/>
        </w:rPr>
        <w:tab/>
        <w:t>Pringsheim T, Davenport WJ, Dodick D. Acute treatment and prevention of menstrually related migraine headache: Evidence-based review. Neurology. 2008;70(17):1555-63.</w:t>
      </w:r>
    </w:p>
    <w:p w14:paraId="5D804720" w14:textId="77777777" w:rsidR="00227084" w:rsidRPr="009A26A4" w:rsidRDefault="00227084" w:rsidP="00227084">
      <w:pPr>
        <w:pStyle w:val="EndNoteBibliography"/>
        <w:spacing w:after="0"/>
        <w:rPr>
          <w:rFonts w:ascii="Aptos" w:hAnsi="Aptos"/>
          <w:noProof/>
          <w:sz w:val="21"/>
          <w:szCs w:val="21"/>
        </w:rPr>
      </w:pPr>
      <w:r w:rsidRPr="009A26A4">
        <w:rPr>
          <w:rFonts w:ascii="Aptos" w:hAnsi="Aptos"/>
          <w:noProof/>
          <w:sz w:val="21"/>
          <w:szCs w:val="21"/>
        </w:rPr>
        <w:t>159.</w:t>
      </w:r>
      <w:r w:rsidRPr="009A26A4">
        <w:rPr>
          <w:rFonts w:ascii="Aptos" w:hAnsi="Aptos"/>
          <w:noProof/>
          <w:sz w:val="21"/>
          <w:szCs w:val="21"/>
        </w:rPr>
        <w:tab/>
        <w:t>Okoli GN, Rabbani R, Kashani HH, Wierzbowski AK, Neilson C, Mansouri B, et al. Vitamins and Minerals for Migraine Prophylaxis: A Systematic Review and Meta-analysis. The Canadian journal of neurological sciences Le journal canadien des sciences neurologiques. 2019;46(2):1-10.</w:t>
      </w:r>
    </w:p>
    <w:p w14:paraId="081C1261" w14:textId="77777777" w:rsidR="00227084" w:rsidRPr="009A26A4" w:rsidRDefault="00227084" w:rsidP="00227084">
      <w:pPr>
        <w:pStyle w:val="EndNoteBibliography"/>
        <w:spacing w:after="0"/>
        <w:rPr>
          <w:rFonts w:ascii="Aptos" w:hAnsi="Aptos"/>
          <w:noProof/>
          <w:sz w:val="21"/>
          <w:szCs w:val="21"/>
        </w:rPr>
      </w:pPr>
      <w:r w:rsidRPr="009A26A4">
        <w:rPr>
          <w:rFonts w:ascii="Aptos" w:hAnsi="Aptos"/>
          <w:noProof/>
          <w:sz w:val="21"/>
          <w:szCs w:val="21"/>
        </w:rPr>
        <w:t>160.</w:t>
      </w:r>
      <w:r w:rsidRPr="009A26A4">
        <w:rPr>
          <w:rFonts w:ascii="Aptos" w:hAnsi="Aptos"/>
          <w:noProof/>
          <w:sz w:val="21"/>
          <w:szCs w:val="21"/>
        </w:rPr>
        <w:tab/>
        <w:t>Canadian Agency for Drugs and Technologies in Health. Clinical Review Report (Resubmission): OnabotulinumtoxinA (BOTOX): (Allergan Inc.): Indication: For the prophylaxis of headaches in adults with chronic migraine (≥ 15 days per month with headache lasting four hours a day or longer) Appendix 5, Validity of Outcome Measures. Ottawa (ON)2019.</w:t>
      </w:r>
    </w:p>
    <w:p w14:paraId="164099D2" w14:textId="77777777" w:rsidR="00227084" w:rsidRPr="009A26A4" w:rsidRDefault="00227084" w:rsidP="00227084">
      <w:pPr>
        <w:pStyle w:val="EndNoteBibliography"/>
        <w:spacing w:after="0"/>
        <w:rPr>
          <w:rFonts w:ascii="Aptos" w:hAnsi="Aptos"/>
          <w:noProof/>
          <w:sz w:val="21"/>
          <w:szCs w:val="21"/>
        </w:rPr>
      </w:pPr>
      <w:r w:rsidRPr="009A26A4">
        <w:rPr>
          <w:rFonts w:ascii="Aptos" w:hAnsi="Aptos"/>
          <w:noProof/>
          <w:sz w:val="21"/>
          <w:szCs w:val="21"/>
        </w:rPr>
        <w:lastRenderedPageBreak/>
        <w:t>161.</w:t>
      </w:r>
      <w:r w:rsidRPr="009A26A4">
        <w:rPr>
          <w:rFonts w:ascii="Aptos" w:hAnsi="Aptos"/>
          <w:noProof/>
          <w:sz w:val="21"/>
          <w:szCs w:val="21"/>
        </w:rPr>
        <w:tab/>
        <w:t>Health AIo, Welfare. Chronic musculoskeletal conditions. Canberra: AIHW; 2023.</w:t>
      </w:r>
    </w:p>
    <w:p w14:paraId="59A6C37B" w14:textId="77777777" w:rsidR="00227084" w:rsidRPr="009A26A4" w:rsidRDefault="00227084" w:rsidP="00227084">
      <w:pPr>
        <w:pStyle w:val="EndNoteBibliography"/>
        <w:spacing w:after="0"/>
        <w:rPr>
          <w:rFonts w:ascii="Aptos" w:hAnsi="Aptos"/>
          <w:noProof/>
          <w:sz w:val="21"/>
          <w:szCs w:val="21"/>
        </w:rPr>
      </w:pPr>
      <w:r w:rsidRPr="009A26A4">
        <w:rPr>
          <w:rFonts w:ascii="Aptos" w:hAnsi="Aptos"/>
          <w:noProof/>
          <w:sz w:val="21"/>
          <w:szCs w:val="21"/>
        </w:rPr>
        <w:t>162.</w:t>
      </w:r>
      <w:r w:rsidRPr="009A26A4">
        <w:rPr>
          <w:rFonts w:ascii="Aptos" w:hAnsi="Aptos"/>
          <w:noProof/>
          <w:sz w:val="21"/>
          <w:szCs w:val="21"/>
        </w:rPr>
        <w:tab/>
        <w:t>Park J, Mendy A, Vieira ER. Various Types of Arthritis in the United States: Prevalence and Age-Related Trends From 1999 to 2014. American Journal of Public Health. 2017;108(2):256-8.</w:t>
      </w:r>
    </w:p>
    <w:p w14:paraId="2D8A5396" w14:textId="71840153" w:rsidR="00227084" w:rsidRPr="009A26A4" w:rsidRDefault="00227084" w:rsidP="00227084">
      <w:pPr>
        <w:pStyle w:val="EndNoteBibliography"/>
        <w:spacing w:after="0"/>
        <w:rPr>
          <w:rFonts w:ascii="Aptos" w:hAnsi="Aptos"/>
          <w:noProof/>
          <w:sz w:val="21"/>
          <w:szCs w:val="21"/>
        </w:rPr>
      </w:pPr>
      <w:r w:rsidRPr="009A26A4">
        <w:rPr>
          <w:rFonts w:ascii="Aptos" w:hAnsi="Aptos"/>
          <w:noProof/>
          <w:sz w:val="21"/>
          <w:szCs w:val="21"/>
        </w:rPr>
        <w:t>163.</w:t>
      </w:r>
      <w:r w:rsidRPr="009A26A4">
        <w:rPr>
          <w:rFonts w:ascii="Aptos" w:hAnsi="Aptos"/>
          <w:noProof/>
          <w:sz w:val="21"/>
          <w:szCs w:val="21"/>
        </w:rPr>
        <w:tab/>
        <w:t xml:space="preserve">Australian Bureau of Statistics. Arthritis 2022 [Available from: </w:t>
      </w:r>
      <w:r w:rsidRPr="0072562E">
        <w:rPr>
          <w:rFonts w:ascii="Aptos" w:hAnsi="Aptos"/>
          <w:noProof/>
          <w:sz w:val="21"/>
          <w:szCs w:val="21"/>
        </w:rPr>
        <w:t>https://www.abs.gov.au/statistics/health/health-conditions-and-risks/arthritis/</w:t>
      </w:r>
      <w:r w:rsidRPr="009A26A4">
        <w:rPr>
          <w:rFonts w:ascii="Aptos" w:hAnsi="Aptos"/>
          <w:noProof/>
          <w:sz w:val="21"/>
          <w:szCs w:val="21"/>
        </w:rPr>
        <w:t>.</w:t>
      </w:r>
    </w:p>
    <w:p w14:paraId="420D307E" w14:textId="77777777" w:rsidR="00227084" w:rsidRPr="009A26A4" w:rsidRDefault="00227084" w:rsidP="00227084">
      <w:pPr>
        <w:pStyle w:val="EndNoteBibliography"/>
        <w:spacing w:after="0"/>
        <w:rPr>
          <w:rFonts w:ascii="Aptos" w:hAnsi="Aptos"/>
          <w:noProof/>
          <w:sz w:val="21"/>
          <w:szCs w:val="21"/>
        </w:rPr>
      </w:pPr>
      <w:r w:rsidRPr="009A26A4">
        <w:rPr>
          <w:rFonts w:ascii="Aptos" w:hAnsi="Aptos"/>
          <w:noProof/>
          <w:sz w:val="21"/>
          <w:szCs w:val="21"/>
        </w:rPr>
        <w:t>164.</w:t>
      </w:r>
      <w:r w:rsidRPr="009A26A4">
        <w:rPr>
          <w:rFonts w:ascii="Aptos" w:hAnsi="Aptos"/>
          <w:noProof/>
          <w:sz w:val="21"/>
          <w:szCs w:val="21"/>
        </w:rPr>
        <w:tab/>
        <w:t>Chen D, Shen J, Zhao W, Wang T, Han L, Hamilton JL, et al. Osteoarthritis: toward a comprehensive understanding of pathological mechanism. Bone Res. 2017;5:16044.</w:t>
      </w:r>
    </w:p>
    <w:p w14:paraId="11D0D363" w14:textId="77777777" w:rsidR="00227084" w:rsidRPr="009A26A4" w:rsidRDefault="00227084" w:rsidP="00227084">
      <w:pPr>
        <w:pStyle w:val="EndNoteBibliography"/>
        <w:spacing w:after="0"/>
        <w:rPr>
          <w:rFonts w:ascii="Aptos" w:hAnsi="Aptos"/>
          <w:noProof/>
          <w:sz w:val="21"/>
          <w:szCs w:val="21"/>
        </w:rPr>
      </w:pPr>
      <w:r w:rsidRPr="009A26A4">
        <w:rPr>
          <w:rFonts w:ascii="Aptos" w:hAnsi="Aptos"/>
          <w:noProof/>
          <w:sz w:val="21"/>
          <w:szCs w:val="21"/>
        </w:rPr>
        <w:t>165.</w:t>
      </w:r>
      <w:r w:rsidRPr="009A26A4">
        <w:rPr>
          <w:rFonts w:ascii="Aptos" w:hAnsi="Aptos"/>
          <w:noProof/>
          <w:sz w:val="21"/>
          <w:szCs w:val="21"/>
        </w:rPr>
        <w:tab/>
        <w:t>Martel-Pelletier J, Barr AJ, Cicuttini FM, Conaghan PG, Cooper C, Goldring MB, et al. Osteoarthritis. Nature Reviews Disease Primers. 2016;2(1):16072.</w:t>
      </w:r>
    </w:p>
    <w:p w14:paraId="6EDA0BE8" w14:textId="77777777" w:rsidR="00227084" w:rsidRPr="009A26A4" w:rsidRDefault="00227084" w:rsidP="00227084">
      <w:pPr>
        <w:pStyle w:val="EndNoteBibliography"/>
        <w:spacing w:after="0"/>
        <w:rPr>
          <w:rFonts w:ascii="Aptos" w:hAnsi="Aptos"/>
          <w:noProof/>
          <w:sz w:val="21"/>
          <w:szCs w:val="21"/>
        </w:rPr>
      </w:pPr>
      <w:r w:rsidRPr="009A26A4">
        <w:rPr>
          <w:rFonts w:ascii="Aptos" w:hAnsi="Aptos"/>
          <w:noProof/>
          <w:sz w:val="21"/>
          <w:szCs w:val="21"/>
        </w:rPr>
        <w:t>166.</w:t>
      </w:r>
      <w:r w:rsidRPr="009A26A4">
        <w:rPr>
          <w:rFonts w:ascii="Aptos" w:hAnsi="Aptos"/>
          <w:noProof/>
          <w:sz w:val="21"/>
          <w:szCs w:val="21"/>
        </w:rPr>
        <w:tab/>
        <w:t>Wang H, Bai J, He B, Hu X, Liu D. Osteoarthritis and the risk of cardiovascular disease: a meta-analysis of observational studies. Sci Rep. 2016;6:39672.</w:t>
      </w:r>
    </w:p>
    <w:p w14:paraId="6DA0A6BD" w14:textId="77777777" w:rsidR="00227084" w:rsidRPr="009A26A4" w:rsidRDefault="00227084" w:rsidP="00227084">
      <w:pPr>
        <w:pStyle w:val="EndNoteBibliography"/>
        <w:spacing w:after="0"/>
        <w:rPr>
          <w:rFonts w:ascii="Aptos" w:hAnsi="Aptos"/>
          <w:noProof/>
          <w:sz w:val="21"/>
          <w:szCs w:val="21"/>
        </w:rPr>
      </w:pPr>
      <w:r w:rsidRPr="009A26A4">
        <w:rPr>
          <w:rFonts w:ascii="Aptos" w:hAnsi="Aptos"/>
          <w:noProof/>
          <w:sz w:val="21"/>
          <w:szCs w:val="21"/>
        </w:rPr>
        <w:t>167.</w:t>
      </w:r>
      <w:r w:rsidRPr="009A26A4">
        <w:rPr>
          <w:rFonts w:ascii="Aptos" w:hAnsi="Aptos"/>
          <w:noProof/>
          <w:sz w:val="21"/>
          <w:szCs w:val="21"/>
        </w:rPr>
        <w:tab/>
        <w:t>Swain S, Sarmanova A, Coupland C, Doherty M, Zhang W. Comorbidities in Osteoarthritis: A Systematic Review and Meta-Analysis of Observational Studies. Arthritis Care Res (Hoboken). 2020;72(7):991-1000.</w:t>
      </w:r>
    </w:p>
    <w:p w14:paraId="20BCEAAD" w14:textId="77777777" w:rsidR="00227084" w:rsidRPr="009A26A4" w:rsidRDefault="00227084" w:rsidP="00227084">
      <w:pPr>
        <w:pStyle w:val="EndNoteBibliography"/>
        <w:spacing w:after="0"/>
        <w:rPr>
          <w:rFonts w:ascii="Aptos" w:hAnsi="Aptos"/>
          <w:noProof/>
          <w:sz w:val="21"/>
          <w:szCs w:val="21"/>
        </w:rPr>
      </w:pPr>
      <w:r w:rsidRPr="009A26A4">
        <w:rPr>
          <w:rFonts w:ascii="Aptos" w:hAnsi="Aptos"/>
          <w:noProof/>
          <w:sz w:val="21"/>
          <w:szCs w:val="21"/>
        </w:rPr>
        <w:t>168.</w:t>
      </w:r>
      <w:r w:rsidRPr="009A26A4">
        <w:rPr>
          <w:rFonts w:ascii="Aptos" w:hAnsi="Aptos"/>
          <w:noProof/>
          <w:sz w:val="21"/>
          <w:szCs w:val="21"/>
        </w:rPr>
        <w:tab/>
        <w:t>Kuang X, Chiou J, Lo K, Wen C. Magnesium in joint health and osteoarthritis. Nutrition Research. 2021;90:24-35.</w:t>
      </w:r>
    </w:p>
    <w:p w14:paraId="69089050" w14:textId="77777777" w:rsidR="00227084" w:rsidRPr="009A26A4" w:rsidRDefault="00227084" w:rsidP="00227084">
      <w:pPr>
        <w:pStyle w:val="EndNoteBibliography"/>
        <w:spacing w:after="0"/>
        <w:rPr>
          <w:rFonts w:ascii="Aptos" w:hAnsi="Aptos"/>
          <w:noProof/>
          <w:sz w:val="21"/>
          <w:szCs w:val="21"/>
        </w:rPr>
      </w:pPr>
      <w:r w:rsidRPr="009A26A4">
        <w:rPr>
          <w:rFonts w:ascii="Aptos" w:hAnsi="Aptos"/>
          <w:noProof/>
          <w:sz w:val="21"/>
          <w:szCs w:val="21"/>
        </w:rPr>
        <w:t>169.</w:t>
      </w:r>
      <w:r w:rsidRPr="009A26A4">
        <w:rPr>
          <w:rFonts w:ascii="Aptos" w:hAnsi="Aptos"/>
          <w:noProof/>
          <w:sz w:val="21"/>
          <w:szCs w:val="21"/>
        </w:rPr>
        <w:tab/>
        <w:t>Yao H, Xu JK, Zheng NY, Wang JL, Mok SW, Lee YW, et al. Intra-articular injection of magnesium chloride attenuates osteoarthritis progression in rats. Osteoarthritis and Cartilage. 2019;27(12):1811-21.</w:t>
      </w:r>
    </w:p>
    <w:p w14:paraId="70F62C87" w14:textId="77777777" w:rsidR="00227084" w:rsidRPr="009A26A4" w:rsidRDefault="00227084" w:rsidP="00227084">
      <w:pPr>
        <w:pStyle w:val="EndNoteBibliography"/>
        <w:spacing w:after="0"/>
        <w:rPr>
          <w:rFonts w:ascii="Aptos" w:hAnsi="Aptos"/>
          <w:noProof/>
          <w:sz w:val="21"/>
          <w:szCs w:val="21"/>
        </w:rPr>
      </w:pPr>
      <w:r w:rsidRPr="009A26A4">
        <w:rPr>
          <w:rFonts w:ascii="Aptos" w:hAnsi="Aptos"/>
          <w:noProof/>
          <w:sz w:val="21"/>
          <w:szCs w:val="21"/>
        </w:rPr>
        <w:t>170.</w:t>
      </w:r>
      <w:r w:rsidRPr="009A26A4">
        <w:rPr>
          <w:rFonts w:ascii="Aptos" w:hAnsi="Aptos"/>
          <w:noProof/>
          <w:sz w:val="21"/>
          <w:szCs w:val="21"/>
        </w:rPr>
        <w:tab/>
        <w:t>Pinto ACMD, de Melo Nunes R, de Freitas Carvalho WV, Girão VCC, Rocha FAC. Systemic and local antiinflammatory effect of magnesium chloride in experimental arthritis. Advances in Rheumatology. 2024;64(1):6.</w:t>
      </w:r>
    </w:p>
    <w:p w14:paraId="26B27473" w14:textId="77777777" w:rsidR="00227084" w:rsidRPr="009A26A4" w:rsidRDefault="00227084" w:rsidP="00227084">
      <w:pPr>
        <w:pStyle w:val="EndNoteBibliography"/>
        <w:spacing w:after="0"/>
        <w:rPr>
          <w:rFonts w:ascii="Aptos" w:hAnsi="Aptos"/>
          <w:noProof/>
          <w:sz w:val="21"/>
          <w:szCs w:val="21"/>
        </w:rPr>
      </w:pPr>
      <w:r w:rsidRPr="009A26A4">
        <w:rPr>
          <w:rFonts w:ascii="Aptos" w:hAnsi="Aptos"/>
          <w:noProof/>
          <w:sz w:val="21"/>
          <w:szCs w:val="21"/>
        </w:rPr>
        <w:t>171.</w:t>
      </w:r>
      <w:r w:rsidRPr="009A26A4">
        <w:rPr>
          <w:rFonts w:ascii="Aptos" w:hAnsi="Aptos"/>
          <w:noProof/>
          <w:sz w:val="21"/>
          <w:szCs w:val="21"/>
        </w:rPr>
        <w:tab/>
        <w:t>Australian Bureau of Statistics. Hypertension and high measured blood pressure: ABS Website; 2022 [</w:t>
      </w:r>
    </w:p>
    <w:p w14:paraId="43ADD9D2" w14:textId="77777777" w:rsidR="00227084" w:rsidRPr="009A26A4" w:rsidRDefault="00227084" w:rsidP="00227084">
      <w:pPr>
        <w:pStyle w:val="EndNoteBibliography"/>
        <w:spacing w:after="0"/>
        <w:rPr>
          <w:rFonts w:ascii="Aptos" w:hAnsi="Aptos"/>
          <w:noProof/>
          <w:sz w:val="21"/>
          <w:szCs w:val="21"/>
        </w:rPr>
      </w:pPr>
      <w:r w:rsidRPr="009A26A4">
        <w:rPr>
          <w:rFonts w:ascii="Aptos" w:hAnsi="Aptos"/>
          <w:noProof/>
          <w:sz w:val="21"/>
          <w:szCs w:val="21"/>
        </w:rPr>
        <w:t>172.</w:t>
      </w:r>
      <w:r w:rsidRPr="009A26A4">
        <w:rPr>
          <w:rFonts w:ascii="Aptos" w:hAnsi="Aptos"/>
          <w:noProof/>
          <w:sz w:val="21"/>
          <w:szCs w:val="21"/>
        </w:rPr>
        <w:tab/>
        <w:t>Kalehoff JP, Oparil S. The Story of the Silent Killer. Current Hypertension Reports. 2020;22(9):72.</w:t>
      </w:r>
    </w:p>
    <w:p w14:paraId="705CC20E" w14:textId="77777777" w:rsidR="00227084" w:rsidRPr="009A26A4" w:rsidRDefault="00227084" w:rsidP="00227084">
      <w:pPr>
        <w:pStyle w:val="EndNoteBibliography"/>
        <w:spacing w:after="0"/>
        <w:rPr>
          <w:rFonts w:ascii="Aptos" w:hAnsi="Aptos"/>
          <w:noProof/>
          <w:sz w:val="21"/>
          <w:szCs w:val="21"/>
        </w:rPr>
      </w:pPr>
      <w:r w:rsidRPr="009A26A4">
        <w:rPr>
          <w:rFonts w:ascii="Aptos" w:hAnsi="Aptos"/>
          <w:noProof/>
          <w:sz w:val="21"/>
          <w:szCs w:val="21"/>
        </w:rPr>
        <w:t>173.</w:t>
      </w:r>
      <w:r w:rsidRPr="009A26A4">
        <w:rPr>
          <w:rFonts w:ascii="Aptos" w:hAnsi="Aptos"/>
          <w:noProof/>
          <w:sz w:val="21"/>
          <w:szCs w:val="21"/>
        </w:rPr>
        <w:tab/>
        <w:t>Gabb GM, Mangoni AA, Anderson CS, Cowley D, Dowden JS, Golledge J, et al. Guideline for the diagnosis and management of hypertension in adults — 2016. Medical Journal of Australia. 2016;205(2):85-9.</w:t>
      </w:r>
    </w:p>
    <w:p w14:paraId="0041362A" w14:textId="77777777" w:rsidR="00227084" w:rsidRPr="009A26A4" w:rsidRDefault="00227084" w:rsidP="00227084">
      <w:pPr>
        <w:pStyle w:val="EndNoteBibliography"/>
        <w:spacing w:after="0"/>
        <w:rPr>
          <w:rFonts w:ascii="Aptos" w:hAnsi="Aptos"/>
          <w:noProof/>
          <w:sz w:val="21"/>
          <w:szCs w:val="21"/>
        </w:rPr>
      </w:pPr>
      <w:r w:rsidRPr="009A26A4">
        <w:rPr>
          <w:rFonts w:ascii="Aptos" w:hAnsi="Aptos"/>
          <w:noProof/>
          <w:sz w:val="21"/>
          <w:szCs w:val="21"/>
        </w:rPr>
        <w:t>174.</w:t>
      </w:r>
      <w:r w:rsidRPr="009A26A4">
        <w:rPr>
          <w:rFonts w:ascii="Aptos" w:hAnsi="Aptos"/>
          <w:noProof/>
          <w:sz w:val="21"/>
          <w:szCs w:val="21"/>
        </w:rPr>
        <w:tab/>
        <w:t>Brosolo G, Da Porto A, Marcante S, Picci A, Capilupi F, Capilupi P, et al. Omega-3 Fatty Acids in Arterial Hypertension: Is There Any Good News? International Journal of Molecular Sciences [Internet]. 2023; 24(11).</w:t>
      </w:r>
    </w:p>
    <w:p w14:paraId="574A2567" w14:textId="77777777" w:rsidR="00227084" w:rsidRPr="009A26A4" w:rsidRDefault="00227084" w:rsidP="00227084">
      <w:pPr>
        <w:pStyle w:val="EndNoteBibliography"/>
        <w:spacing w:after="0"/>
        <w:rPr>
          <w:rFonts w:ascii="Aptos" w:hAnsi="Aptos"/>
          <w:noProof/>
          <w:sz w:val="21"/>
          <w:szCs w:val="21"/>
        </w:rPr>
      </w:pPr>
      <w:r w:rsidRPr="009A26A4">
        <w:rPr>
          <w:rFonts w:ascii="Aptos" w:hAnsi="Aptos"/>
          <w:noProof/>
          <w:sz w:val="21"/>
          <w:szCs w:val="21"/>
        </w:rPr>
        <w:t>175.</w:t>
      </w:r>
      <w:r w:rsidRPr="009A26A4">
        <w:rPr>
          <w:rFonts w:ascii="Aptos" w:hAnsi="Aptos"/>
          <w:noProof/>
          <w:sz w:val="21"/>
          <w:szCs w:val="21"/>
        </w:rPr>
        <w:tab/>
        <w:t>Engler MM. Role of dietary omega-3 fatty acids in hypertension. Ann Nurs Pract. 2017;4(1):1077.</w:t>
      </w:r>
    </w:p>
    <w:p w14:paraId="6E3F574D" w14:textId="77777777" w:rsidR="00227084" w:rsidRPr="009A26A4" w:rsidRDefault="00227084" w:rsidP="00227084">
      <w:pPr>
        <w:pStyle w:val="EndNoteBibliography"/>
        <w:spacing w:after="0"/>
        <w:rPr>
          <w:rFonts w:ascii="Aptos" w:hAnsi="Aptos"/>
          <w:noProof/>
          <w:sz w:val="21"/>
          <w:szCs w:val="21"/>
        </w:rPr>
      </w:pPr>
      <w:r w:rsidRPr="009A26A4">
        <w:rPr>
          <w:rFonts w:ascii="Aptos" w:hAnsi="Aptos"/>
          <w:noProof/>
          <w:sz w:val="21"/>
          <w:szCs w:val="21"/>
        </w:rPr>
        <w:t>176.</w:t>
      </w:r>
      <w:r w:rsidRPr="009A26A4">
        <w:rPr>
          <w:rFonts w:ascii="Aptos" w:hAnsi="Aptos"/>
          <w:noProof/>
          <w:sz w:val="21"/>
          <w:szCs w:val="21"/>
        </w:rPr>
        <w:tab/>
        <w:t>Campbell F, Dickinson HO, Critchley JA, Ford GA, Bradburn M. A systematic review of fish-oil supplements for the prevention and treatment of hypertension. Eur J Prev Cardiol. 2013;20(1):107-20.</w:t>
      </w:r>
    </w:p>
    <w:p w14:paraId="53700118" w14:textId="77777777" w:rsidR="00227084" w:rsidRPr="009A26A4" w:rsidRDefault="00227084" w:rsidP="00227084">
      <w:pPr>
        <w:pStyle w:val="EndNoteBibliography"/>
        <w:spacing w:after="0"/>
        <w:rPr>
          <w:rFonts w:ascii="Aptos" w:hAnsi="Aptos"/>
          <w:noProof/>
          <w:sz w:val="21"/>
          <w:szCs w:val="21"/>
        </w:rPr>
      </w:pPr>
      <w:r w:rsidRPr="009A26A4">
        <w:rPr>
          <w:rFonts w:ascii="Aptos" w:hAnsi="Aptos"/>
          <w:noProof/>
          <w:sz w:val="21"/>
          <w:szCs w:val="21"/>
        </w:rPr>
        <w:t>177.</w:t>
      </w:r>
      <w:r w:rsidRPr="009A26A4">
        <w:rPr>
          <w:rFonts w:ascii="Aptos" w:hAnsi="Aptos"/>
          <w:noProof/>
          <w:sz w:val="21"/>
          <w:szCs w:val="21"/>
        </w:rPr>
        <w:tab/>
        <w:t>Radack K, Deck C. The effects of omega-3 polyunsaturated fatty acids on blood pressure: a methodologic analysis of the evidence. Journal of the American College of Nutrition. 1989;8(5):376-85.</w:t>
      </w:r>
    </w:p>
    <w:p w14:paraId="6CE913A3" w14:textId="77777777" w:rsidR="00227084" w:rsidRPr="009A26A4" w:rsidRDefault="00227084" w:rsidP="00227084">
      <w:pPr>
        <w:pStyle w:val="EndNoteBibliography"/>
        <w:spacing w:after="0"/>
        <w:rPr>
          <w:rFonts w:ascii="Aptos" w:hAnsi="Aptos"/>
          <w:noProof/>
          <w:sz w:val="21"/>
          <w:szCs w:val="21"/>
        </w:rPr>
      </w:pPr>
      <w:r w:rsidRPr="009A26A4">
        <w:rPr>
          <w:rFonts w:ascii="Aptos" w:hAnsi="Aptos"/>
          <w:noProof/>
          <w:sz w:val="21"/>
          <w:szCs w:val="21"/>
        </w:rPr>
        <w:t>178.</w:t>
      </w:r>
      <w:r w:rsidRPr="009A26A4">
        <w:rPr>
          <w:rFonts w:ascii="Aptos" w:hAnsi="Aptos"/>
          <w:noProof/>
          <w:sz w:val="21"/>
          <w:szCs w:val="21"/>
        </w:rPr>
        <w:tab/>
        <w:t>Guo XF, Li KL, Li JM, Li D. Effects of EPA and DHA on blood pressure and inflammatory factors: a meta-analysis of randomized controlled trials. Critical reviews in food science and nutrition. 2019;59(20):3380-93.</w:t>
      </w:r>
    </w:p>
    <w:p w14:paraId="726CBD1F" w14:textId="77777777" w:rsidR="00227084" w:rsidRPr="009A26A4" w:rsidRDefault="00227084" w:rsidP="00227084">
      <w:pPr>
        <w:pStyle w:val="EndNoteBibliography"/>
        <w:spacing w:after="0"/>
        <w:rPr>
          <w:rFonts w:ascii="Aptos" w:hAnsi="Aptos"/>
          <w:noProof/>
          <w:sz w:val="21"/>
          <w:szCs w:val="21"/>
        </w:rPr>
      </w:pPr>
      <w:r w:rsidRPr="009A26A4">
        <w:rPr>
          <w:rFonts w:ascii="Aptos" w:hAnsi="Aptos"/>
          <w:noProof/>
          <w:sz w:val="21"/>
          <w:szCs w:val="21"/>
        </w:rPr>
        <w:lastRenderedPageBreak/>
        <w:t>179.</w:t>
      </w:r>
      <w:r w:rsidRPr="009A26A4">
        <w:rPr>
          <w:rFonts w:ascii="Aptos" w:hAnsi="Aptos"/>
          <w:noProof/>
          <w:sz w:val="21"/>
          <w:szCs w:val="21"/>
        </w:rPr>
        <w:tab/>
        <w:t>Kelley GA, Kelley KS, Stauffer BL. Walking and resting blood pressure: An inter-individual response difference meta-analysis of randomized controlled trials. Science Progress. 2022;105(2):00368504221101636.</w:t>
      </w:r>
    </w:p>
    <w:p w14:paraId="5040C502" w14:textId="77777777" w:rsidR="00227084" w:rsidRPr="009A26A4" w:rsidRDefault="00227084" w:rsidP="00227084">
      <w:pPr>
        <w:pStyle w:val="EndNoteBibliography"/>
        <w:spacing w:after="0"/>
        <w:rPr>
          <w:rFonts w:ascii="Aptos" w:hAnsi="Aptos"/>
          <w:noProof/>
          <w:sz w:val="21"/>
          <w:szCs w:val="21"/>
        </w:rPr>
      </w:pPr>
      <w:r w:rsidRPr="009A26A4">
        <w:rPr>
          <w:rFonts w:ascii="Aptos" w:hAnsi="Aptos"/>
          <w:noProof/>
          <w:sz w:val="21"/>
          <w:szCs w:val="21"/>
        </w:rPr>
        <w:t>180.</w:t>
      </w:r>
      <w:r w:rsidRPr="009A26A4">
        <w:rPr>
          <w:rFonts w:ascii="Aptos" w:hAnsi="Aptos"/>
          <w:noProof/>
          <w:sz w:val="21"/>
          <w:szCs w:val="21"/>
        </w:rPr>
        <w:tab/>
        <w:t>Heymann RE, Paiva ES, Martinez JE, Helfenstein M, Rezende MC, Provenza JR, et al. New guidelines for the diagnosis of fibromyalgia. Revista Brasileira de Reumatologia (English Edition). 2017;57:467-76.</w:t>
      </w:r>
    </w:p>
    <w:p w14:paraId="330F7962" w14:textId="77777777" w:rsidR="00227084" w:rsidRPr="009A26A4" w:rsidRDefault="00227084" w:rsidP="00227084">
      <w:pPr>
        <w:pStyle w:val="EndNoteBibliography"/>
        <w:spacing w:after="0"/>
        <w:rPr>
          <w:rFonts w:ascii="Aptos" w:hAnsi="Aptos"/>
          <w:noProof/>
          <w:sz w:val="21"/>
          <w:szCs w:val="21"/>
        </w:rPr>
      </w:pPr>
      <w:r w:rsidRPr="009A26A4">
        <w:rPr>
          <w:rFonts w:ascii="Aptos" w:hAnsi="Aptos"/>
          <w:noProof/>
          <w:sz w:val="21"/>
          <w:szCs w:val="21"/>
        </w:rPr>
        <w:t>181.</w:t>
      </w:r>
      <w:r w:rsidRPr="009A26A4">
        <w:rPr>
          <w:rFonts w:ascii="Aptos" w:hAnsi="Aptos"/>
          <w:noProof/>
          <w:sz w:val="21"/>
          <w:szCs w:val="21"/>
        </w:rPr>
        <w:tab/>
        <w:t>Kravitz HM, Katz RS. Fibrofog and fibromyalgia: a narrative review and implications for clinical practice. Rheumatol Int. 2015;35(7):1115-25.</w:t>
      </w:r>
    </w:p>
    <w:p w14:paraId="41B25EEE" w14:textId="77777777" w:rsidR="00227084" w:rsidRPr="009A26A4" w:rsidRDefault="00227084" w:rsidP="00227084">
      <w:pPr>
        <w:pStyle w:val="EndNoteBibliography"/>
        <w:spacing w:after="0"/>
        <w:rPr>
          <w:rFonts w:ascii="Aptos" w:hAnsi="Aptos"/>
          <w:noProof/>
          <w:sz w:val="21"/>
          <w:szCs w:val="21"/>
        </w:rPr>
      </w:pPr>
      <w:r w:rsidRPr="009A26A4">
        <w:rPr>
          <w:rFonts w:ascii="Aptos" w:hAnsi="Aptos"/>
          <w:noProof/>
          <w:sz w:val="21"/>
          <w:szCs w:val="21"/>
        </w:rPr>
        <w:t>182.</w:t>
      </w:r>
      <w:r w:rsidRPr="009A26A4">
        <w:rPr>
          <w:rFonts w:ascii="Aptos" w:hAnsi="Aptos"/>
          <w:noProof/>
          <w:sz w:val="21"/>
          <w:szCs w:val="21"/>
        </w:rPr>
        <w:tab/>
        <w:t>Siracusa R, Paola RD, Cuzzocrea S, Impellizzeri D. Fibromyalgia: Pathogenesis, Mechanisms, Diagnosis and Treatment Options Update. International Journal of Molecular Sciences [Internet]. 2021; 22(8).</w:t>
      </w:r>
    </w:p>
    <w:p w14:paraId="13A2D617" w14:textId="77777777" w:rsidR="00227084" w:rsidRPr="009A26A4" w:rsidRDefault="00227084" w:rsidP="00227084">
      <w:pPr>
        <w:pStyle w:val="EndNoteBibliography"/>
        <w:spacing w:after="0"/>
        <w:rPr>
          <w:rFonts w:ascii="Aptos" w:hAnsi="Aptos"/>
          <w:noProof/>
          <w:sz w:val="21"/>
          <w:szCs w:val="21"/>
        </w:rPr>
      </w:pPr>
      <w:r w:rsidRPr="009A26A4">
        <w:rPr>
          <w:rFonts w:ascii="Aptos" w:hAnsi="Aptos"/>
          <w:noProof/>
          <w:sz w:val="21"/>
          <w:szCs w:val="21"/>
        </w:rPr>
        <w:t>183.</w:t>
      </w:r>
      <w:r w:rsidRPr="009A26A4">
        <w:rPr>
          <w:rFonts w:ascii="Aptos" w:hAnsi="Aptos"/>
          <w:noProof/>
          <w:sz w:val="21"/>
          <w:szCs w:val="21"/>
        </w:rPr>
        <w:tab/>
        <w:t>Guymer GL, G. Fibromyalgia. 2013.</w:t>
      </w:r>
    </w:p>
    <w:p w14:paraId="7CFBBBB5" w14:textId="77777777" w:rsidR="00227084" w:rsidRPr="009A26A4" w:rsidRDefault="00227084" w:rsidP="00227084">
      <w:pPr>
        <w:pStyle w:val="EndNoteBibliography"/>
        <w:spacing w:after="0"/>
        <w:rPr>
          <w:rFonts w:ascii="Aptos" w:hAnsi="Aptos"/>
          <w:noProof/>
          <w:sz w:val="21"/>
          <w:szCs w:val="21"/>
        </w:rPr>
      </w:pPr>
      <w:r w:rsidRPr="009A26A4">
        <w:rPr>
          <w:rFonts w:ascii="Aptos" w:hAnsi="Aptos"/>
          <w:noProof/>
          <w:sz w:val="21"/>
          <w:szCs w:val="21"/>
        </w:rPr>
        <w:t>184.</w:t>
      </w:r>
      <w:r w:rsidRPr="009A26A4">
        <w:rPr>
          <w:rFonts w:ascii="Aptos" w:hAnsi="Aptos"/>
          <w:noProof/>
          <w:sz w:val="21"/>
          <w:szCs w:val="21"/>
        </w:rPr>
        <w:tab/>
        <w:t>Evans RH, Francis AA, Watkins JC. Mg2+-like selective antagonism of excitatory amino acid-induced responses by alpha, epsilon-diaminopimelic acid, D-alpha-aminoadipate and HA-966 in isolated spinal cord of frog and immature rat. Brain Res. 1978;148(2):536-42.</w:t>
      </w:r>
    </w:p>
    <w:p w14:paraId="658F8129" w14:textId="77777777" w:rsidR="00227084" w:rsidRPr="009A26A4" w:rsidRDefault="00227084" w:rsidP="00227084">
      <w:pPr>
        <w:pStyle w:val="EndNoteBibliography"/>
        <w:spacing w:after="0"/>
        <w:rPr>
          <w:rFonts w:ascii="Aptos" w:hAnsi="Aptos"/>
          <w:noProof/>
          <w:sz w:val="21"/>
          <w:szCs w:val="21"/>
        </w:rPr>
      </w:pPr>
      <w:r w:rsidRPr="009A26A4">
        <w:rPr>
          <w:rFonts w:ascii="Aptos" w:hAnsi="Aptos"/>
          <w:noProof/>
          <w:sz w:val="21"/>
          <w:szCs w:val="21"/>
        </w:rPr>
        <w:t>185.</w:t>
      </w:r>
      <w:r w:rsidRPr="009A26A4">
        <w:rPr>
          <w:rFonts w:ascii="Aptos" w:hAnsi="Aptos"/>
          <w:noProof/>
          <w:sz w:val="21"/>
          <w:szCs w:val="21"/>
        </w:rPr>
        <w:tab/>
        <w:t>Shin H-J, Na H-S, Do S-H. Magnesium and Pain. Nutrients [Internet]. 2020; 12(8).</w:t>
      </w:r>
    </w:p>
    <w:p w14:paraId="3497EB58" w14:textId="77777777" w:rsidR="00227084" w:rsidRPr="009A26A4" w:rsidRDefault="00227084" w:rsidP="00227084">
      <w:pPr>
        <w:pStyle w:val="EndNoteBibliography"/>
        <w:spacing w:after="0"/>
        <w:rPr>
          <w:rFonts w:ascii="Aptos" w:hAnsi="Aptos"/>
          <w:noProof/>
          <w:sz w:val="21"/>
          <w:szCs w:val="21"/>
        </w:rPr>
      </w:pPr>
      <w:r w:rsidRPr="009A26A4">
        <w:rPr>
          <w:rFonts w:ascii="Aptos" w:hAnsi="Aptos"/>
          <w:noProof/>
          <w:sz w:val="21"/>
          <w:szCs w:val="21"/>
        </w:rPr>
        <w:t>186.</w:t>
      </w:r>
      <w:r w:rsidRPr="009A26A4">
        <w:rPr>
          <w:rFonts w:ascii="Aptos" w:hAnsi="Aptos"/>
          <w:noProof/>
          <w:sz w:val="21"/>
          <w:szCs w:val="21"/>
        </w:rPr>
        <w:tab/>
        <w:t>Holdcraft LC, Assefi N, Buchwald D. Complementary and alternative medicine in fibromyalgia and related syndromes. Best Practice and Research in Clinical Rheumatology. 2003;17(4):667-83.</w:t>
      </w:r>
    </w:p>
    <w:p w14:paraId="517B65BA" w14:textId="77777777" w:rsidR="00227084" w:rsidRPr="009A26A4" w:rsidRDefault="00227084" w:rsidP="00227084">
      <w:pPr>
        <w:pStyle w:val="EndNoteBibliography"/>
        <w:spacing w:after="0"/>
        <w:rPr>
          <w:rFonts w:ascii="Aptos" w:hAnsi="Aptos"/>
          <w:noProof/>
          <w:sz w:val="21"/>
          <w:szCs w:val="21"/>
        </w:rPr>
      </w:pPr>
      <w:r w:rsidRPr="009A26A4">
        <w:rPr>
          <w:rFonts w:ascii="Aptos" w:hAnsi="Aptos"/>
          <w:noProof/>
          <w:sz w:val="21"/>
          <w:szCs w:val="21"/>
        </w:rPr>
        <w:t>187.</w:t>
      </w:r>
      <w:r w:rsidRPr="009A26A4">
        <w:rPr>
          <w:rFonts w:ascii="Aptos" w:hAnsi="Aptos"/>
          <w:noProof/>
          <w:sz w:val="21"/>
          <w:szCs w:val="21"/>
        </w:rPr>
        <w:tab/>
        <w:t>Porter NS, Jason LA, Boulton A, Bothne N, Coleman B. Alternative medical interventions used in the treatment and management of myalgic encephalomyelitis/chronic fatigue syndrome and fibromyalgia. Journal of Alternative and Complementary Medicine. 2010;16(3):235-49.</w:t>
      </w:r>
    </w:p>
    <w:p w14:paraId="721ED7D5" w14:textId="77777777" w:rsidR="00227084" w:rsidRPr="009A26A4" w:rsidRDefault="00227084" w:rsidP="00227084">
      <w:pPr>
        <w:pStyle w:val="EndNoteBibliography"/>
        <w:spacing w:after="0"/>
        <w:rPr>
          <w:rFonts w:ascii="Aptos" w:hAnsi="Aptos"/>
          <w:noProof/>
          <w:sz w:val="21"/>
          <w:szCs w:val="21"/>
        </w:rPr>
      </w:pPr>
      <w:r w:rsidRPr="009A26A4">
        <w:rPr>
          <w:rFonts w:ascii="Aptos" w:hAnsi="Aptos"/>
          <w:noProof/>
          <w:sz w:val="21"/>
          <w:szCs w:val="21"/>
        </w:rPr>
        <w:t>188.</w:t>
      </w:r>
      <w:r w:rsidRPr="009A26A4">
        <w:rPr>
          <w:rFonts w:ascii="Aptos" w:hAnsi="Aptos"/>
          <w:noProof/>
          <w:sz w:val="21"/>
          <w:szCs w:val="21"/>
        </w:rPr>
        <w:tab/>
        <w:t>Thorpe J, Shum B, Moore RA, Wiffen PJ, Gilron I. Combination pharmacotherapy for the treatment of fibromyalgia in adults. The Cochrane database of systematic reviews. 2018;2:CD010585.</w:t>
      </w:r>
    </w:p>
    <w:p w14:paraId="0144246B" w14:textId="77777777" w:rsidR="00227084" w:rsidRPr="009A26A4" w:rsidRDefault="00227084" w:rsidP="00227084">
      <w:pPr>
        <w:pStyle w:val="EndNoteBibliography"/>
        <w:spacing w:after="0"/>
        <w:rPr>
          <w:rFonts w:ascii="Aptos" w:hAnsi="Aptos"/>
          <w:noProof/>
          <w:sz w:val="21"/>
          <w:szCs w:val="21"/>
        </w:rPr>
      </w:pPr>
      <w:r w:rsidRPr="009A26A4">
        <w:rPr>
          <w:rFonts w:ascii="Aptos" w:hAnsi="Aptos"/>
          <w:noProof/>
          <w:sz w:val="21"/>
          <w:szCs w:val="21"/>
        </w:rPr>
        <w:t>189.</w:t>
      </w:r>
      <w:r w:rsidRPr="009A26A4">
        <w:rPr>
          <w:rFonts w:ascii="Aptos" w:hAnsi="Aptos"/>
          <w:noProof/>
          <w:sz w:val="21"/>
          <w:szCs w:val="21"/>
        </w:rPr>
        <w:tab/>
        <w:t>Raniszewska A, Górska E, Kotuła I, Stelmaszczyk-Emmel A, Popko K, Ciepiela O. Recurrent respiratory tract infections in children - analysis of immunological examinations. Cent Eur J Immunol. 2015;40(2):167-73.</w:t>
      </w:r>
    </w:p>
    <w:p w14:paraId="7CA650A7" w14:textId="77777777" w:rsidR="00227084" w:rsidRPr="009A26A4" w:rsidRDefault="00227084" w:rsidP="00227084">
      <w:pPr>
        <w:pStyle w:val="EndNoteBibliography"/>
        <w:spacing w:after="0"/>
        <w:rPr>
          <w:rFonts w:ascii="Aptos" w:hAnsi="Aptos"/>
          <w:noProof/>
          <w:sz w:val="21"/>
          <w:szCs w:val="21"/>
        </w:rPr>
      </w:pPr>
      <w:r w:rsidRPr="009A26A4">
        <w:rPr>
          <w:rFonts w:ascii="Aptos" w:hAnsi="Aptos"/>
          <w:noProof/>
          <w:sz w:val="21"/>
          <w:szCs w:val="21"/>
        </w:rPr>
        <w:t>190.</w:t>
      </w:r>
      <w:r w:rsidRPr="009A26A4">
        <w:rPr>
          <w:rFonts w:ascii="Aptos" w:hAnsi="Aptos"/>
          <w:noProof/>
          <w:sz w:val="21"/>
          <w:szCs w:val="21"/>
        </w:rPr>
        <w:tab/>
        <w:t>Bylund S, Kobyletzki LB, Svalstedt M, Svensson Å. Prevalence and Incidence of Atopic Dermatitis: A Systematic Review. Acta Derm Venereol. 2020;100(12):adv00160.</w:t>
      </w:r>
    </w:p>
    <w:p w14:paraId="75E8CAC6" w14:textId="77777777" w:rsidR="00227084" w:rsidRPr="009A26A4" w:rsidRDefault="00227084" w:rsidP="00227084">
      <w:pPr>
        <w:pStyle w:val="EndNoteBibliography"/>
        <w:spacing w:after="0"/>
        <w:rPr>
          <w:rFonts w:ascii="Aptos" w:hAnsi="Aptos"/>
          <w:noProof/>
          <w:sz w:val="21"/>
          <w:szCs w:val="21"/>
        </w:rPr>
      </w:pPr>
      <w:r w:rsidRPr="009A26A4">
        <w:rPr>
          <w:rFonts w:ascii="Aptos" w:hAnsi="Aptos"/>
          <w:noProof/>
          <w:sz w:val="21"/>
          <w:szCs w:val="21"/>
        </w:rPr>
        <w:t>191.</w:t>
      </w:r>
      <w:r w:rsidRPr="009A26A4">
        <w:rPr>
          <w:rFonts w:ascii="Aptos" w:hAnsi="Aptos"/>
          <w:noProof/>
          <w:sz w:val="21"/>
          <w:szCs w:val="21"/>
        </w:rPr>
        <w:tab/>
        <w:t>Peck J, Shepherd JP. Recurrent Urinary Tract Infections: Diagnosis, Treatment, and Prevention. Obstetrics and Gynecology Clinics. 2021;48(3):501-13.</w:t>
      </w:r>
    </w:p>
    <w:p w14:paraId="62832E37" w14:textId="77777777" w:rsidR="00227084" w:rsidRPr="009A26A4" w:rsidRDefault="00227084" w:rsidP="00227084">
      <w:pPr>
        <w:pStyle w:val="EndNoteBibliography"/>
        <w:spacing w:after="0"/>
        <w:rPr>
          <w:rFonts w:ascii="Aptos" w:hAnsi="Aptos"/>
          <w:noProof/>
          <w:sz w:val="21"/>
          <w:szCs w:val="21"/>
        </w:rPr>
      </w:pPr>
      <w:r w:rsidRPr="009A26A4">
        <w:rPr>
          <w:rFonts w:ascii="Aptos" w:hAnsi="Aptos"/>
          <w:noProof/>
          <w:sz w:val="21"/>
          <w:szCs w:val="21"/>
        </w:rPr>
        <w:t>192.</w:t>
      </w:r>
      <w:r w:rsidRPr="009A26A4">
        <w:rPr>
          <w:rFonts w:ascii="Aptos" w:hAnsi="Aptos"/>
          <w:noProof/>
          <w:sz w:val="21"/>
          <w:szCs w:val="21"/>
        </w:rPr>
        <w:tab/>
        <w:t>Sihra N, Goodman A, Zakri R, Sahai A, Malde S. Nonantibiotic prevention and management of recurrent urinary tract infection. Nature Reviews Urology. 2018;15(12):750-76.</w:t>
      </w:r>
    </w:p>
    <w:p w14:paraId="1B9010C9" w14:textId="77777777" w:rsidR="00227084" w:rsidRPr="009A26A4" w:rsidRDefault="00227084" w:rsidP="00227084">
      <w:pPr>
        <w:pStyle w:val="EndNoteBibliography"/>
        <w:spacing w:after="0"/>
        <w:rPr>
          <w:rFonts w:ascii="Aptos" w:hAnsi="Aptos"/>
          <w:noProof/>
          <w:sz w:val="21"/>
          <w:szCs w:val="21"/>
        </w:rPr>
      </w:pPr>
      <w:r w:rsidRPr="009A26A4">
        <w:rPr>
          <w:rFonts w:ascii="Aptos" w:hAnsi="Aptos"/>
          <w:noProof/>
          <w:sz w:val="21"/>
          <w:szCs w:val="21"/>
        </w:rPr>
        <w:t>193.</w:t>
      </w:r>
      <w:r w:rsidRPr="009A26A4">
        <w:rPr>
          <w:rFonts w:ascii="Aptos" w:hAnsi="Aptos"/>
          <w:noProof/>
          <w:sz w:val="21"/>
          <w:szCs w:val="21"/>
        </w:rPr>
        <w:tab/>
        <w:t>Prasad AS. Zinc is an Antioxidant and Anti-Inflammatory Agent: Its Role in Human Health. Front Nutr. 2014;1:14.</w:t>
      </w:r>
    </w:p>
    <w:p w14:paraId="25624051" w14:textId="77777777" w:rsidR="00227084" w:rsidRPr="009A26A4" w:rsidRDefault="00227084" w:rsidP="00227084">
      <w:pPr>
        <w:pStyle w:val="EndNoteBibliography"/>
        <w:spacing w:after="0"/>
        <w:rPr>
          <w:rFonts w:ascii="Aptos" w:hAnsi="Aptos"/>
          <w:noProof/>
          <w:sz w:val="21"/>
          <w:szCs w:val="21"/>
        </w:rPr>
      </w:pPr>
      <w:r w:rsidRPr="009A26A4">
        <w:rPr>
          <w:rFonts w:ascii="Aptos" w:hAnsi="Aptos"/>
          <w:noProof/>
          <w:sz w:val="21"/>
          <w:szCs w:val="21"/>
        </w:rPr>
        <w:t>194.</w:t>
      </w:r>
      <w:r w:rsidRPr="009A26A4">
        <w:rPr>
          <w:rFonts w:ascii="Aptos" w:hAnsi="Aptos"/>
          <w:noProof/>
          <w:sz w:val="21"/>
          <w:szCs w:val="21"/>
        </w:rPr>
        <w:tab/>
        <w:t>Marreiro DdN, Cruz KJC, Oliveira ARSd, Morais JBS, Freitas BdJeSdA, Melo SRdS, et al. Antiviral and immunological activity of zinc and possible role in COVID-19. British Journal of Nutrition. 2022;127(8):1172-9.</w:t>
      </w:r>
    </w:p>
    <w:p w14:paraId="6D2C3D11" w14:textId="77777777" w:rsidR="00227084" w:rsidRPr="009A26A4" w:rsidRDefault="00227084" w:rsidP="00227084">
      <w:pPr>
        <w:pStyle w:val="EndNoteBibliography"/>
        <w:spacing w:after="0"/>
        <w:rPr>
          <w:rFonts w:ascii="Aptos" w:hAnsi="Aptos"/>
          <w:noProof/>
          <w:sz w:val="21"/>
          <w:szCs w:val="21"/>
        </w:rPr>
      </w:pPr>
      <w:r w:rsidRPr="009A26A4">
        <w:rPr>
          <w:rFonts w:ascii="Aptos" w:hAnsi="Aptos"/>
          <w:noProof/>
          <w:sz w:val="21"/>
          <w:szCs w:val="21"/>
        </w:rPr>
        <w:t>195.</w:t>
      </w:r>
      <w:r w:rsidRPr="009A26A4">
        <w:rPr>
          <w:rFonts w:ascii="Aptos" w:hAnsi="Aptos"/>
          <w:noProof/>
          <w:sz w:val="21"/>
          <w:szCs w:val="21"/>
        </w:rPr>
        <w:tab/>
        <w:t>Hurley MN, Smith S, Forrester DL, Smyth AR. Antibiotic adjuvant therapy for pulmonary infection in cystic fibrosis. The Cochrane database of systematic reviews. 2020;7(7):CD008037.</w:t>
      </w:r>
    </w:p>
    <w:p w14:paraId="3206EF0A" w14:textId="68EC9F5D" w:rsidR="00227084" w:rsidRPr="009A26A4" w:rsidRDefault="00227084" w:rsidP="00227084">
      <w:pPr>
        <w:pStyle w:val="EndNoteBibliography"/>
        <w:spacing w:after="0"/>
        <w:rPr>
          <w:rFonts w:ascii="Aptos" w:hAnsi="Aptos"/>
          <w:noProof/>
          <w:sz w:val="21"/>
          <w:szCs w:val="21"/>
        </w:rPr>
      </w:pPr>
      <w:r w:rsidRPr="009A26A4">
        <w:rPr>
          <w:rFonts w:ascii="Aptos" w:hAnsi="Aptos"/>
          <w:noProof/>
          <w:sz w:val="21"/>
          <w:szCs w:val="21"/>
        </w:rPr>
        <w:t>196.</w:t>
      </w:r>
      <w:r w:rsidRPr="009A26A4">
        <w:rPr>
          <w:rFonts w:ascii="Aptos" w:hAnsi="Aptos"/>
          <w:noProof/>
          <w:sz w:val="21"/>
          <w:szCs w:val="21"/>
        </w:rPr>
        <w:tab/>
        <w:t>G</w:t>
      </w:r>
      <w:r w:rsidR="00765702">
        <w:rPr>
          <w:rFonts w:ascii="Aptos" w:hAnsi="Aptos"/>
          <w:noProof/>
          <w:sz w:val="21"/>
          <w:szCs w:val="21"/>
        </w:rPr>
        <w:t>ulani, A</w:t>
      </w:r>
      <w:r w:rsidR="008161E7">
        <w:rPr>
          <w:rFonts w:ascii="Aptos" w:hAnsi="Aptos"/>
          <w:noProof/>
          <w:sz w:val="21"/>
          <w:szCs w:val="21"/>
        </w:rPr>
        <w:t>.</w:t>
      </w:r>
      <w:r w:rsidRPr="009A26A4">
        <w:rPr>
          <w:rFonts w:ascii="Aptos" w:hAnsi="Aptos"/>
          <w:noProof/>
          <w:sz w:val="21"/>
          <w:szCs w:val="21"/>
        </w:rPr>
        <w:t>, S</w:t>
      </w:r>
      <w:r w:rsidR="008161E7">
        <w:rPr>
          <w:rFonts w:ascii="Aptos" w:hAnsi="Aptos"/>
          <w:noProof/>
          <w:sz w:val="21"/>
          <w:szCs w:val="21"/>
        </w:rPr>
        <w:t xml:space="preserve">achdev, </w:t>
      </w:r>
      <w:r w:rsidRPr="009A26A4">
        <w:rPr>
          <w:rFonts w:ascii="Aptos" w:hAnsi="Aptos"/>
          <w:noProof/>
          <w:sz w:val="21"/>
          <w:szCs w:val="21"/>
        </w:rPr>
        <w:t>S.</w:t>
      </w:r>
      <w:r w:rsidR="008161E7">
        <w:rPr>
          <w:rFonts w:ascii="Aptos" w:hAnsi="Aptos"/>
          <w:noProof/>
          <w:sz w:val="21"/>
          <w:szCs w:val="21"/>
        </w:rPr>
        <w:t>H.</w:t>
      </w:r>
      <w:r w:rsidRPr="009A26A4">
        <w:rPr>
          <w:rFonts w:ascii="Aptos" w:hAnsi="Aptos"/>
          <w:noProof/>
          <w:sz w:val="21"/>
          <w:szCs w:val="21"/>
        </w:rPr>
        <w:t xml:space="preserve"> Zinc supplements for preventing otitis media. Cochrane Database of Systematic Reviews. 2014;6(6):CD006639.</w:t>
      </w:r>
    </w:p>
    <w:p w14:paraId="386CD3E7" w14:textId="77777777" w:rsidR="00227084" w:rsidRPr="009A26A4" w:rsidRDefault="00227084" w:rsidP="00227084">
      <w:pPr>
        <w:pStyle w:val="EndNoteBibliography"/>
        <w:spacing w:after="0"/>
        <w:rPr>
          <w:rFonts w:ascii="Aptos" w:hAnsi="Aptos"/>
          <w:noProof/>
          <w:sz w:val="21"/>
          <w:szCs w:val="21"/>
        </w:rPr>
      </w:pPr>
      <w:r w:rsidRPr="009A26A4">
        <w:rPr>
          <w:rFonts w:ascii="Aptos" w:hAnsi="Aptos"/>
          <w:noProof/>
          <w:sz w:val="21"/>
          <w:szCs w:val="21"/>
        </w:rPr>
        <w:lastRenderedPageBreak/>
        <w:t>197.</w:t>
      </w:r>
      <w:r w:rsidRPr="009A26A4">
        <w:rPr>
          <w:rFonts w:ascii="Aptos" w:hAnsi="Aptos"/>
          <w:noProof/>
          <w:sz w:val="21"/>
          <w:szCs w:val="21"/>
        </w:rPr>
        <w:tab/>
        <w:t>Manikam L, Reed K, Venekamp R, Hayward A, Littlejohns P, Schilder A, et al. Limited Evidence on the Management of Respiratory Tract Infections in Down's Syndrome: A Systematic Review. The Pediatric infectious disease journal. 2016;35(10):1075-9.</w:t>
      </w:r>
    </w:p>
    <w:p w14:paraId="1947EA48" w14:textId="77777777" w:rsidR="00227084" w:rsidRPr="009A26A4" w:rsidRDefault="00227084" w:rsidP="00227084">
      <w:pPr>
        <w:pStyle w:val="EndNoteBibliography"/>
        <w:spacing w:after="0"/>
        <w:rPr>
          <w:rFonts w:ascii="Aptos" w:hAnsi="Aptos"/>
          <w:noProof/>
          <w:sz w:val="21"/>
          <w:szCs w:val="21"/>
        </w:rPr>
      </w:pPr>
      <w:r w:rsidRPr="009A26A4">
        <w:rPr>
          <w:rFonts w:ascii="Aptos" w:hAnsi="Aptos"/>
          <w:noProof/>
          <w:sz w:val="21"/>
          <w:szCs w:val="21"/>
        </w:rPr>
        <w:t>198.</w:t>
      </w:r>
      <w:r w:rsidRPr="009A26A4">
        <w:rPr>
          <w:rFonts w:ascii="Aptos" w:hAnsi="Aptos"/>
          <w:noProof/>
          <w:sz w:val="21"/>
          <w:szCs w:val="21"/>
        </w:rPr>
        <w:tab/>
        <w:t>Donohue J. Minimal Clinically Important Differences in COPD Lung Function. COPD. 2005;2:111-24.</w:t>
      </w:r>
    </w:p>
    <w:p w14:paraId="7F96A1C8" w14:textId="77777777" w:rsidR="00227084" w:rsidRPr="009A26A4" w:rsidRDefault="00227084" w:rsidP="00227084">
      <w:pPr>
        <w:pStyle w:val="EndNoteBibliography"/>
        <w:spacing w:after="0"/>
        <w:rPr>
          <w:rFonts w:ascii="Aptos" w:hAnsi="Aptos"/>
          <w:noProof/>
          <w:sz w:val="21"/>
          <w:szCs w:val="21"/>
        </w:rPr>
      </w:pPr>
      <w:r w:rsidRPr="009A26A4">
        <w:rPr>
          <w:rFonts w:ascii="Aptos" w:hAnsi="Aptos"/>
          <w:noProof/>
          <w:sz w:val="21"/>
          <w:szCs w:val="21"/>
        </w:rPr>
        <w:t>199.</w:t>
      </w:r>
      <w:r w:rsidRPr="009A26A4">
        <w:rPr>
          <w:rFonts w:ascii="Aptos" w:hAnsi="Aptos"/>
          <w:noProof/>
          <w:sz w:val="21"/>
          <w:szCs w:val="21"/>
        </w:rPr>
        <w:tab/>
        <w:t>du Bois RM, Weycker D, Albera C, Bradford WZ, Costabel U, Kartashov A, et al. Forced vital capacity in patients with idiopathic pulmonary fibrosis: test properties and minimal clinically important difference. Am J Respir Crit Care Med. 2011;184(12):1382-9.</w:t>
      </w:r>
    </w:p>
    <w:p w14:paraId="7DC87E5C" w14:textId="77777777" w:rsidR="00227084" w:rsidRPr="009A26A4" w:rsidRDefault="00227084" w:rsidP="00227084">
      <w:pPr>
        <w:pStyle w:val="EndNoteBibliography"/>
        <w:spacing w:after="0"/>
        <w:rPr>
          <w:rFonts w:ascii="Aptos" w:hAnsi="Aptos"/>
          <w:noProof/>
          <w:sz w:val="21"/>
          <w:szCs w:val="21"/>
        </w:rPr>
      </w:pPr>
      <w:r w:rsidRPr="009A26A4">
        <w:rPr>
          <w:rFonts w:ascii="Aptos" w:hAnsi="Aptos"/>
          <w:noProof/>
          <w:sz w:val="21"/>
          <w:szCs w:val="21"/>
        </w:rPr>
        <w:t>200.</w:t>
      </w:r>
      <w:r w:rsidRPr="009A26A4">
        <w:rPr>
          <w:rFonts w:ascii="Aptos" w:hAnsi="Aptos"/>
          <w:noProof/>
          <w:sz w:val="21"/>
          <w:szCs w:val="21"/>
        </w:rPr>
        <w:tab/>
        <w:t>ElSayed NA, Aleppo G, Aroda VR, Bannuru RR, Brown FM, Bruemmer D, et al. 2. Classification and Diagnosis of Diabetes: Standards of Care in Diabetes-2023. Diabetes Care. 2023;46(Suppl 1):S19-s40.</w:t>
      </w:r>
    </w:p>
    <w:p w14:paraId="33A0277B" w14:textId="77777777" w:rsidR="00227084" w:rsidRPr="009A26A4" w:rsidRDefault="00227084" w:rsidP="00227084">
      <w:pPr>
        <w:pStyle w:val="EndNoteBibliography"/>
        <w:spacing w:after="0"/>
        <w:rPr>
          <w:rFonts w:ascii="Aptos" w:hAnsi="Aptos"/>
          <w:noProof/>
          <w:sz w:val="21"/>
          <w:szCs w:val="21"/>
        </w:rPr>
      </w:pPr>
      <w:r w:rsidRPr="009A26A4">
        <w:rPr>
          <w:rFonts w:ascii="Aptos" w:hAnsi="Aptos"/>
          <w:noProof/>
          <w:sz w:val="21"/>
          <w:szCs w:val="21"/>
        </w:rPr>
        <w:t>201.</w:t>
      </w:r>
      <w:r w:rsidRPr="009A26A4">
        <w:rPr>
          <w:rFonts w:ascii="Aptos" w:hAnsi="Aptos"/>
          <w:noProof/>
          <w:sz w:val="21"/>
          <w:szCs w:val="21"/>
        </w:rPr>
        <w:tab/>
        <w:t>Health AIo, Welfare. Diabetes: Australian facts. Canberra: AIHW; 2023.</w:t>
      </w:r>
    </w:p>
    <w:p w14:paraId="417B16A9" w14:textId="77777777" w:rsidR="00227084" w:rsidRPr="009A26A4" w:rsidRDefault="00227084" w:rsidP="00227084">
      <w:pPr>
        <w:pStyle w:val="EndNoteBibliography"/>
        <w:spacing w:after="0"/>
        <w:rPr>
          <w:rFonts w:ascii="Aptos" w:hAnsi="Aptos"/>
          <w:noProof/>
          <w:sz w:val="21"/>
          <w:szCs w:val="21"/>
        </w:rPr>
      </w:pPr>
      <w:r w:rsidRPr="009A26A4">
        <w:rPr>
          <w:rFonts w:ascii="Aptos" w:hAnsi="Aptos"/>
          <w:noProof/>
          <w:sz w:val="21"/>
          <w:szCs w:val="21"/>
        </w:rPr>
        <w:t>202.</w:t>
      </w:r>
      <w:r w:rsidRPr="009A26A4">
        <w:rPr>
          <w:rFonts w:ascii="Aptos" w:hAnsi="Aptos"/>
          <w:noProof/>
          <w:sz w:val="21"/>
          <w:szCs w:val="21"/>
        </w:rPr>
        <w:tab/>
        <w:t>Zheng Y, Ley SH, Hu FB. Global aetiology and epidemiology of type 2 diabetes mellitus and its complications. Nature Reviews Endocrinology. 2018;14(2):88-98.</w:t>
      </w:r>
    </w:p>
    <w:p w14:paraId="449CFBD5" w14:textId="77777777" w:rsidR="00227084" w:rsidRPr="009A26A4" w:rsidRDefault="00227084" w:rsidP="00227084">
      <w:pPr>
        <w:pStyle w:val="EndNoteBibliography"/>
        <w:spacing w:after="0"/>
        <w:rPr>
          <w:rFonts w:ascii="Aptos" w:hAnsi="Aptos"/>
          <w:noProof/>
          <w:sz w:val="21"/>
          <w:szCs w:val="21"/>
        </w:rPr>
      </w:pPr>
      <w:r w:rsidRPr="009A26A4">
        <w:rPr>
          <w:rFonts w:ascii="Aptos" w:hAnsi="Aptos"/>
          <w:noProof/>
          <w:sz w:val="21"/>
          <w:szCs w:val="21"/>
        </w:rPr>
        <w:t>203.</w:t>
      </w:r>
      <w:r w:rsidRPr="009A26A4">
        <w:rPr>
          <w:rFonts w:ascii="Aptos" w:hAnsi="Aptos"/>
          <w:noProof/>
          <w:sz w:val="21"/>
          <w:szCs w:val="21"/>
        </w:rPr>
        <w:tab/>
        <w:t>Unuofin JO, Lebelo SL. Antioxidant Effects and Mechanisms of Medicinal Plants and Their Bioactive Compounds for the Prevention and Treatment of Type 2 Diabetes: An Updated Review. Oxidative Medicine and Cellular Longevity. 2020;2020:1356893.</w:t>
      </w:r>
    </w:p>
    <w:p w14:paraId="3157B402" w14:textId="77777777" w:rsidR="00227084" w:rsidRPr="009A26A4" w:rsidRDefault="00227084" w:rsidP="00227084">
      <w:pPr>
        <w:pStyle w:val="EndNoteBibliography"/>
        <w:spacing w:after="0"/>
        <w:rPr>
          <w:rFonts w:ascii="Aptos" w:hAnsi="Aptos"/>
          <w:noProof/>
          <w:sz w:val="21"/>
          <w:szCs w:val="21"/>
        </w:rPr>
      </w:pPr>
      <w:r w:rsidRPr="009A26A4">
        <w:rPr>
          <w:rFonts w:ascii="Aptos" w:hAnsi="Aptos"/>
          <w:noProof/>
          <w:sz w:val="21"/>
          <w:szCs w:val="21"/>
        </w:rPr>
        <w:t>204.</w:t>
      </w:r>
      <w:r w:rsidRPr="009A26A4">
        <w:rPr>
          <w:rFonts w:ascii="Aptos" w:hAnsi="Aptos"/>
          <w:noProof/>
          <w:sz w:val="21"/>
          <w:szCs w:val="21"/>
        </w:rPr>
        <w:tab/>
        <w:t>Wang J, Liao B, Wang C, Zhong O, Lei X, Yang Y. Effects of Antioxidant Supplementation on Metabolic Disorders in Obese Patients from Randomized Clinical Controls: A Meta-Analysis and Systematic Review. Oxidative medicine and cellular longevity. 2022;2022:7255413.</w:t>
      </w:r>
    </w:p>
    <w:p w14:paraId="6A412489" w14:textId="77777777" w:rsidR="00227084" w:rsidRPr="009A26A4" w:rsidRDefault="00227084" w:rsidP="00227084">
      <w:pPr>
        <w:pStyle w:val="EndNoteBibliography"/>
        <w:spacing w:after="0"/>
        <w:rPr>
          <w:rFonts w:ascii="Aptos" w:hAnsi="Aptos"/>
          <w:noProof/>
          <w:sz w:val="21"/>
          <w:szCs w:val="21"/>
        </w:rPr>
      </w:pPr>
      <w:r w:rsidRPr="009A26A4">
        <w:rPr>
          <w:rFonts w:ascii="Aptos" w:hAnsi="Aptos"/>
          <w:noProof/>
          <w:sz w:val="21"/>
          <w:szCs w:val="21"/>
        </w:rPr>
        <w:t>205.</w:t>
      </w:r>
      <w:r w:rsidRPr="009A26A4">
        <w:rPr>
          <w:rFonts w:ascii="Aptos" w:hAnsi="Aptos"/>
          <w:noProof/>
          <w:sz w:val="21"/>
          <w:szCs w:val="21"/>
        </w:rPr>
        <w:tab/>
        <w:t>Dludla PV, Louw J, Muller CJF, Dludla PV, Orlando P, Silvestri S, et al. The impact of coenzyme Q10 on metabolic and cardiovascular disease profiles in diabetic patients: A systematic review and meta-analysis of randomized controlled trials. Endocrinol Diabetes Metab. 2020;3(2):e00118.</w:t>
      </w:r>
    </w:p>
    <w:p w14:paraId="71C7AD62" w14:textId="77777777" w:rsidR="00227084" w:rsidRPr="009A26A4" w:rsidRDefault="00227084" w:rsidP="00227084">
      <w:pPr>
        <w:pStyle w:val="EndNoteBibliography"/>
        <w:spacing w:after="0"/>
        <w:rPr>
          <w:rFonts w:ascii="Aptos" w:hAnsi="Aptos"/>
          <w:noProof/>
          <w:sz w:val="21"/>
          <w:szCs w:val="21"/>
        </w:rPr>
      </w:pPr>
      <w:r w:rsidRPr="009A26A4">
        <w:rPr>
          <w:rFonts w:ascii="Aptos" w:hAnsi="Aptos"/>
          <w:noProof/>
          <w:sz w:val="21"/>
          <w:szCs w:val="21"/>
        </w:rPr>
        <w:t>206.</w:t>
      </w:r>
      <w:r w:rsidRPr="009A26A4">
        <w:rPr>
          <w:rFonts w:ascii="Aptos" w:hAnsi="Aptos"/>
          <w:noProof/>
          <w:sz w:val="21"/>
          <w:szCs w:val="21"/>
        </w:rPr>
        <w:tab/>
        <w:t>Huang H, Chi H, Liao D, Zou Y. Effects of coenzyme Q10 on cardiovascular and metabolic biomarkers in overweight and obese patients with type 2 diabetes mellitus: a pooled analysis. Diabetes, metabolic syndrome and obesity : targets and therapy. 2018;11:875-86.</w:t>
      </w:r>
    </w:p>
    <w:p w14:paraId="66748881" w14:textId="77777777" w:rsidR="00227084" w:rsidRPr="009A26A4" w:rsidRDefault="00227084" w:rsidP="00227084">
      <w:pPr>
        <w:pStyle w:val="EndNoteBibliography"/>
        <w:spacing w:after="0"/>
        <w:rPr>
          <w:rFonts w:ascii="Aptos" w:hAnsi="Aptos"/>
          <w:noProof/>
          <w:sz w:val="21"/>
          <w:szCs w:val="21"/>
        </w:rPr>
      </w:pPr>
      <w:r w:rsidRPr="009A26A4">
        <w:rPr>
          <w:rFonts w:ascii="Aptos" w:hAnsi="Aptos"/>
          <w:noProof/>
          <w:sz w:val="21"/>
          <w:szCs w:val="21"/>
        </w:rPr>
        <w:t>207.</w:t>
      </w:r>
      <w:r w:rsidRPr="009A26A4">
        <w:rPr>
          <w:rFonts w:ascii="Aptos" w:hAnsi="Aptos"/>
          <w:noProof/>
          <w:sz w:val="21"/>
          <w:szCs w:val="21"/>
        </w:rPr>
        <w:tab/>
        <w:t>Zhang SY, Yang KL, Zeng LT, Wu XH, Huang HY. Effectiveness of Coenzyme Q10 Supplementation for Type 2 Diabetes Mellitus: A Systematic Review and Meta-Analysis. International journal of endocrinology. 2018;2018:6484839.</w:t>
      </w:r>
    </w:p>
    <w:p w14:paraId="559A1354" w14:textId="77777777" w:rsidR="00227084" w:rsidRPr="009A26A4" w:rsidRDefault="00227084" w:rsidP="00227084">
      <w:pPr>
        <w:pStyle w:val="EndNoteBibliography"/>
        <w:spacing w:after="0"/>
        <w:rPr>
          <w:rFonts w:ascii="Aptos" w:hAnsi="Aptos"/>
          <w:noProof/>
          <w:sz w:val="21"/>
          <w:szCs w:val="21"/>
        </w:rPr>
      </w:pPr>
      <w:r w:rsidRPr="009A26A4">
        <w:rPr>
          <w:rFonts w:ascii="Aptos" w:hAnsi="Aptos"/>
          <w:noProof/>
          <w:sz w:val="21"/>
          <w:szCs w:val="21"/>
        </w:rPr>
        <w:t>208.</w:t>
      </w:r>
      <w:r w:rsidRPr="009A26A4">
        <w:rPr>
          <w:rFonts w:ascii="Aptos" w:hAnsi="Aptos"/>
          <w:noProof/>
          <w:sz w:val="21"/>
          <w:szCs w:val="21"/>
        </w:rPr>
        <w:tab/>
        <w:t>Ebada MA, Fayed N, Fayed L, Alkanj S, Abdelkarim A, Farwati H, et al. Efficacy of Alpha-lipoic Acid in The Management of Diabetes Mellitus: A Systematic Review and Meta-analysis. Iranian journal of pharmaceutical research : IJPR. 2019;18(4):2144-56.</w:t>
      </w:r>
    </w:p>
    <w:p w14:paraId="29DEC0E6" w14:textId="77777777" w:rsidR="00227084" w:rsidRPr="009A26A4" w:rsidRDefault="00227084" w:rsidP="00227084">
      <w:pPr>
        <w:pStyle w:val="EndNoteBibliography"/>
        <w:spacing w:after="0"/>
        <w:rPr>
          <w:rFonts w:ascii="Aptos" w:hAnsi="Aptos"/>
          <w:noProof/>
          <w:sz w:val="21"/>
          <w:szCs w:val="21"/>
        </w:rPr>
      </w:pPr>
      <w:r w:rsidRPr="009A26A4">
        <w:rPr>
          <w:rFonts w:ascii="Aptos" w:hAnsi="Aptos"/>
          <w:noProof/>
          <w:sz w:val="21"/>
          <w:szCs w:val="21"/>
        </w:rPr>
        <w:t>209.</w:t>
      </w:r>
      <w:r w:rsidRPr="009A26A4">
        <w:rPr>
          <w:rFonts w:ascii="Aptos" w:hAnsi="Aptos"/>
          <w:noProof/>
          <w:sz w:val="21"/>
          <w:szCs w:val="21"/>
        </w:rPr>
        <w:tab/>
        <w:t>Jibril AT, Jayedi A, Shab-Bidar S. Efficacy and safety of oral alpha-lipoic acid supplementation for type 2 diabetes management: a systematic review and dose-response meta-analysis of randomized trials. Endocrine connections. 2022.</w:t>
      </w:r>
    </w:p>
    <w:p w14:paraId="7FD19A02" w14:textId="77777777" w:rsidR="00227084" w:rsidRPr="009A26A4" w:rsidRDefault="00227084" w:rsidP="00227084">
      <w:pPr>
        <w:pStyle w:val="EndNoteBibliography"/>
        <w:spacing w:after="0"/>
        <w:rPr>
          <w:rFonts w:ascii="Aptos" w:hAnsi="Aptos"/>
          <w:noProof/>
          <w:sz w:val="21"/>
          <w:szCs w:val="21"/>
        </w:rPr>
      </w:pPr>
      <w:r w:rsidRPr="009A26A4">
        <w:rPr>
          <w:rFonts w:ascii="Aptos" w:hAnsi="Aptos"/>
          <w:noProof/>
          <w:sz w:val="21"/>
          <w:szCs w:val="21"/>
        </w:rPr>
        <w:t>210.</w:t>
      </w:r>
      <w:r w:rsidRPr="009A26A4">
        <w:rPr>
          <w:rFonts w:ascii="Aptos" w:hAnsi="Aptos"/>
          <w:noProof/>
          <w:sz w:val="21"/>
          <w:szCs w:val="21"/>
        </w:rPr>
        <w:tab/>
        <w:t>Rahimlou MM, N; Mansoori, A. Effect of alpha-lipoic acid supplementation on inflammatory and metabolic factors: a systematic review and meta-analysis. Clinical Nutrition ESPEN. 2019;32:16-28.</w:t>
      </w:r>
    </w:p>
    <w:p w14:paraId="6615BEB6" w14:textId="77777777" w:rsidR="00227084" w:rsidRPr="009A26A4" w:rsidRDefault="00227084" w:rsidP="00227084">
      <w:pPr>
        <w:pStyle w:val="EndNoteBibliography"/>
        <w:spacing w:after="0"/>
        <w:rPr>
          <w:rFonts w:ascii="Aptos" w:hAnsi="Aptos"/>
          <w:noProof/>
          <w:sz w:val="21"/>
          <w:szCs w:val="21"/>
        </w:rPr>
      </w:pPr>
      <w:r w:rsidRPr="009A26A4">
        <w:rPr>
          <w:rFonts w:ascii="Aptos" w:hAnsi="Aptos"/>
          <w:noProof/>
          <w:sz w:val="21"/>
          <w:szCs w:val="21"/>
        </w:rPr>
        <w:t>211.</w:t>
      </w:r>
      <w:r w:rsidRPr="009A26A4">
        <w:rPr>
          <w:rFonts w:ascii="Aptos" w:hAnsi="Aptos"/>
          <w:noProof/>
          <w:sz w:val="21"/>
          <w:szCs w:val="21"/>
        </w:rPr>
        <w:tab/>
        <w:t>Araújo EG, Oliveira D, Martins CC, Stefani CM. Efficacy of Antioxidant Supplementation to Non-Surgical Periodontal Therapy on Metabolic Control in Type 2 Diabetes Patients: A Network Meta-Analysis. Antioxidants (Basel, Switzerland). 2022;11(4).</w:t>
      </w:r>
    </w:p>
    <w:p w14:paraId="2F421CE4" w14:textId="77777777" w:rsidR="00227084" w:rsidRPr="009A26A4" w:rsidRDefault="00227084" w:rsidP="00227084">
      <w:pPr>
        <w:pStyle w:val="EndNoteBibliography"/>
        <w:spacing w:after="0"/>
        <w:rPr>
          <w:rFonts w:ascii="Aptos" w:hAnsi="Aptos"/>
          <w:noProof/>
          <w:sz w:val="21"/>
          <w:szCs w:val="21"/>
        </w:rPr>
      </w:pPr>
      <w:r w:rsidRPr="009A26A4">
        <w:rPr>
          <w:rFonts w:ascii="Aptos" w:hAnsi="Aptos"/>
          <w:noProof/>
          <w:sz w:val="21"/>
          <w:szCs w:val="21"/>
        </w:rPr>
        <w:t>212.</w:t>
      </w:r>
      <w:r w:rsidRPr="009A26A4">
        <w:rPr>
          <w:rFonts w:ascii="Aptos" w:hAnsi="Aptos"/>
          <w:noProof/>
          <w:sz w:val="21"/>
          <w:szCs w:val="21"/>
        </w:rPr>
        <w:tab/>
        <w:t xml:space="preserve">Dludla PV, Ziqubu K, Mabhida SE, Mazibuko-Mbeje SE, Hanser S, Nkambule BB, et al. Dietary Supplements Potentially Target Plasma Glutathione Levels to Improve Cardiometabolic Health in </w:t>
      </w:r>
      <w:r w:rsidRPr="009A26A4">
        <w:rPr>
          <w:rFonts w:ascii="Aptos" w:hAnsi="Aptos"/>
          <w:noProof/>
          <w:sz w:val="21"/>
          <w:szCs w:val="21"/>
        </w:rPr>
        <w:lastRenderedPageBreak/>
        <w:t>Patients with Diabetes Mellitus: A Systematic Review of Randomized Clinical Trials. Nutrients. 2023;15(4).</w:t>
      </w:r>
    </w:p>
    <w:p w14:paraId="34459E27" w14:textId="77777777" w:rsidR="00227084" w:rsidRPr="009A26A4" w:rsidRDefault="00227084" w:rsidP="00227084">
      <w:pPr>
        <w:pStyle w:val="EndNoteBibliography"/>
        <w:spacing w:after="0"/>
        <w:rPr>
          <w:rFonts w:ascii="Aptos" w:hAnsi="Aptos"/>
          <w:noProof/>
          <w:sz w:val="21"/>
          <w:szCs w:val="21"/>
        </w:rPr>
      </w:pPr>
      <w:r w:rsidRPr="009A26A4">
        <w:rPr>
          <w:rFonts w:ascii="Aptos" w:hAnsi="Aptos"/>
          <w:noProof/>
          <w:sz w:val="21"/>
          <w:szCs w:val="21"/>
        </w:rPr>
        <w:t>213.</w:t>
      </w:r>
      <w:r w:rsidRPr="009A26A4">
        <w:rPr>
          <w:rFonts w:ascii="Aptos" w:hAnsi="Aptos"/>
          <w:noProof/>
          <w:sz w:val="21"/>
          <w:szCs w:val="21"/>
        </w:rPr>
        <w:tab/>
        <w:t>Huo J, Xue Y, Dong X, Lv J, Wu L, Gao H, et al. Efficacy of vitamin and antioxidant supplements for treatment of diabetic peripheral neuropathy: systematic review and meta-analysis of randomized controlled trials. Nutritional neuroscience. 2022:1-18.</w:t>
      </w:r>
    </w:p>
    <w:p w14:paraId="048BEFA3" w14:textId="77777777" w:rsidR="00227084" w:rsidRPr="009A26A4" w:rsidRDefault="00227084" w:rsidP="00227084">
      <w:pPr>
        <w:pStyle w:val="EndNoteBibliography"/>
        <w:spacing w:after="0"/>
        <w:rPr>
          <w:rFonts w:ascii="Aptos" w:hAnsi="Aptos"/>
          <w:noProof/>
          <w:sz w:val="21"/>
          <w:szCs w:val="21"/>
        </w:rPr>
      </w:pPr>
      <w:r w:rsidRPr="009A26A4">
        <w:rPr>
          <w:rFonts w:ascii="Aptos" w:hAnsi="Aptos"/>
          <w:noProof/>
          <w:sz w:val="21"/>
          <w:szCs w:val="21"/>
        </w:rPr>
        <w:t>214.</w:t>
      </w:r>
      <w:r w:rsidRPr="009A26A4">
        <w:rPr>
          <w:rFonts w:ascii="Aptos" w:hAnsi="Aptos"/>
          <w:noProof/>
          <w:sz w:val="21"/>
          <w:szCs w:val="21"/>
        </w:rPr>
        <w:tab/>
        <w:t>Kim Y, Oh YK, Lee J, Kim E. Could nutrient supplements provide additional glycemic control in diabetes management? A systematic review and meta-analysis of randomized controlled trials of as an add-on nutritional supplementation therapy. Archives of pharmacal research. 2022.</w:t>
      </w:r>
    </w:p>
    <w:p w14:paraId="3D636E2A" w14:textId="77777777" w:rsidR="00227084" w:rsidRPr="009A26A4" w:rsidRDefault="00227084" w:rsidP="00227084">
      <w:pPr>
        <w:pStyle w:val="EndNoteBibliography"/>
        <w:rPr>
          <w:rFonts w:ascii="Aptos" w:hAnsi="Aptos"/>
          <w:noProof/>
          <w:sz w:val="21"/>
          <w:szCs w:val="21"/>
        </w:rPr>
      </w:pPr>
      <w:r w:rsidRPr="009A26A4">
        <w:rPr>
          <w:rFonts w:ascii="Aptos" w:hAnsi="Aptos"/>
          <w:noProof/>
          <w:sz w:val="21"/>
          <w:szCs w:val="21"/>
        </w:rPr>
        <w:t>215.</w:t>
      </w:r>
      <w:r w:rsidRPr="009A26A4">
        <w:rPr>
          <w:rFonts w:ascii="Aptos" w:hAnsi="Aptos"/>
          <w:noProof/>
          <w:sz w:val="21"/>
          <w:szCs w:val="21"/>
        </w:rPr>
        <w:tab/>
        <w:t>Goldenberg JZ, Day A, Brinkworth GD, Sato J, Yamada S, Jönsson T, et al. Efficacy and safety of low and very low carbohydrate diets for type 2 diabetes remission: systematic review and meta-analysis of published and unpublished randomized trial data. Bmj. 2021;372:m4743.</w:t>
      </w:r>
    </w:p>
    <w:p w14:paraId="1C09EA25" w14:textId="734245A6" w:rsidR="000864B9" w:rsidRPr="009A26A4" w:rsidRDefault="000864B9" w:rsidP="009E6F7F">
      <w:pPr>
        <w:rPr>
          <w:sz w:val="21"/>
          <w:szCs w:val="21"/>
        </w:rPr>
      </w:pPr>
    </w:p>
    <w:sectPr w:rsidR="000864B9" w:rsidRPr="009A26A4" w:rsidSect="006A72DC">
      <w:pgSz w:w="11910" w:h="16840"/>
      <w:pgMar w:top="1356" w:right="1340" w:bottom="280" w:left="13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13B757" w14:textId="77777777" w:rsidR="0097450D" w:rsidRDefault="0097450D" w:rsidP="009E6F7F">
      <w:r>
        <w:separator/>
      </w:r>
    </w:p>
    <w:p w14:paraId="546D3CCD" w14:textId="77777777" w:rsidR="0097450D" w:rsidRDefault="0097450D" w:rsidP="009E6F7F"/>
  </w:endnote>
  <w:endnote w:type="continuationSeparator" w:id="0">
    <w:p w14:paraId="25FC257A" w14:textId="77777777" w:rsidR="0097450D" w:rsidRDefault="0097450D" w:rsidP="009E6F7F">
      <w:r>
        <w:continuationSeparator/>
      </w:r>
    </w:p>
    <w:p w14:paraId="553678C9" w14:textId="77777777" w:rsidR="0097450D" w:rsidRDefault="0097450D" w:rsidP="009E6F7F"/>
  </w:endnote>
  <w:endnote w:type="continuationNotice" w:id="1">
    <w:p w14:paraId="0018C38E" w14:textId="77777777" w:rsidR="0097450D" w:rsidRDefault="0097450D" w:rsidP="009E6F7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Montserrat">
    <w:charset w:val="00"/>
    <w:family w:val="auto"/>
    <w:pitch w:val="variable"/>
    <w:sig w:usb0="2000020F" w:usb1="00000003" w:usb2="00000000" w:usb3="00000000" w:csb0="00000197" w:csb1="00000000"/>
  </w:font>
  <w:font w:name="Aptos SemiBold">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AppleSystemUIFont">
    <w:altName w:val="Calibri"/>
    <w:panose1 w:val="00000000000000000000"/>
    <w:charset w:val="00"/>
    <w:family w:val="auto"/>
    <w:notTrueType/>
    <w:pitch w:val="default"/>
    <w:sig w:usb0="00000003" w:usb1="00000000" w:usb2="00000000" w:usb3="00000000" w:csb0="00000001" w:csb1="00000000"/>
  </w:font>
  <w:font w:name="SourceSansPro">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A890CA" w14:textId="77777777" w:rsidR="00A676A0" w:rsidRDefault="00A676A0" w:rsidP="00A676A0">
    <w:pPr>
      <w:pStyle w:val="2024TABLETEXT"/>
      <w:framePr w:hSpace="0" w:wrap="auto" w:vAnchor="margin" w:yAlign="inline"/>
      <w:suppressOverlap w:val="0"/>
    </w:pPr>
  </w:p>
  <w:p w14:paraId="34B89ECF" w14:textId="725951EB" w:rsidR="00A676A0" w:rsidRDefault="006F63D3" w:rsidP="00A676A0">
    <w:pPr>
      <w:pStyle w:val="2024TABLETEXT"/>
      <w:framePr w:hSpace="0" w:wrap="auto" w:vAnchor="margin" w:yAlign="inline"/>
      <w:suppressOverlap w:val="0"/>
    </w:pPr>
    <w:r>
      <w:t>E</w:t>
    </w:r>
    <w:r w:rsidRPr="00934D30">
      <w:t xml:space="preserve">vidence Evaluation for </w:t>
    </w:r>
    <w:r w:rsidRPr="00B9768C">
      <w:t xml:space="preserve">the Clinical Effectiveness </w:t>
    </w:r>
    <w:r>
      <w:t>o</w:t>
    </w:r>
    <w:r w:rsidRPr="00B9768C">
      <w:t xml:space="preserve">f Selected Nutritional Supplements Prescribed </w:t>
    </w:r>
    <w:r>
      <w:t>i</w:t>
    </w:r>
    <w:r w:rsidRPr="00B9768C">
      <w:t>n Naturopath</w:t>
    </w:r>
    <w:r>
      <w:t>y: Overview of Systematic Reviews</w:t>
    </w:r>
    <w:r w:rsidRPr="007468D4">
      <w:tab/>
    </w:r>
    <w:r w:rsidRPr="007468D4">
      <w:tab/>
    </w:r>
  </w:p>
  <w:p w14:paraId="5BF988B2" w14:textId="102588A5" w:rsidR="00A24D67" w:rsidRDefault="00A676A0" w:rsidP="00A676A0">
    <w:pPr>
      <w:pStyle w:val="2024TABLETEXT"/>
      <w:framePr w:hSpace="0" w:wrap="auto" w:vAnchor="margin" w:yAlign="inline"/>
      <w:suppressOverlap w:val="0"/>
    </w:pPr>
    <w:r>
      <w:tab/>
    </w:r>
    <w:r>
      <w:tab/>
    </w:r>
    <w:r w:rsidR="006F63D3" w:rsidRPr="007468D4">
      <w:fldChar w:fldCharType="begin"/>
    </w:r>
    <w:r w:rsidR="006F63D3" w:rsidRPr="007468D4">
      <w:instrText xml:space="preserve"> PAGE  \* Arabic  \* MERGEFORMAT </w:instrText>
    </w:r>
    <w:r w:rsidR="006F63D3" w:rsidRPr="007468D4">
      <w:fldChar w:fldCharType="separate"/>
    </w:r>
    <w:r w:rsidR="006F63D3" w:rsidRPr="007468D4">
      <w:t>15</w:t>
    </w:r>
    <w:r w:rsidR="006F63D3" w:rsidRPr="007468D4">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8B4162" w14:textId="77777777" w:rsidR="00A24D67" w:rsidRPr="007468D4" w:rsidRDefault="00A24D67" w:rsidP="009E6F7F">
    <w:pPr>
      <w:pStyle w:val="EndNoteBibliography"/>
    </w:pPr>
    <w:r w:rsidRPr="007468D4">
      <w:t>Evidence Evaluation for the Diagnostic Accuracy of Iridology</w:t>
    </w:r>
  </w:p>
  <w:p w14:paraId="075843D1" w14:textId="77777777" w:rsidR="00A24D67" w:rsidRPr="007468D4" w:rsidRDefault="00A24D67" w:rsidP="009E6F7F">
    <w:pPr>
      <w:pStyle w:val="Footer"/>
    </w:pPr>
    <w:r w:rsidRPr="007468D4">
      <w:t>Systematic Review</w:t>
    </w:r>
    <w:r w:rsidRPr="007468D4">
      <w:tab/>
    </w:r>
    <w:r w:rsidRPr="007468D4">
      <w:tab/>
    </w:r>
  </w:p>
  <w:p w14:paraId="602E5C06" w14:textId="77777777" w:rsidR="00A24D67" w:rsidRDefault="00A24D67" w:rsidP="009E6F7F">
    <w:pPr>
      <w:pStyle w:val="EndNoteBibliography"/>
    </w:pPr>
    <w:r w:rsidRPr="007468D4">
      <w:fldChar w:fldCharType="begin"/>
    </w:r>
    <w:r w:rsidRPr="007468D4">
      <w:instrText xml:space="preserve"> PAGE  \* Arabic  \* MERGEFORMAT </w:instrText>
    </w:r>
    <w:r w:rsidRPr="007468D4">
      <w:fldChar w:fldCharType="separate"/>
    </w:r>
    <w:r>
      <w:t>19</w:t>
    </w:r>
    <w:r w:rsidRPr="007468D4">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74BE2E" w14:textId="77777777" w:rsidR="0097450D" w:rsidRDefault="0097450D" w:rsidP="009E6F7F">
      <w:r>
        <w:separator/>
      </w:r>
    </w:p>
    <w:p w14:paraId="13B0B6EB" w14:textId="77777777" w:rsidR="0097450D" w:rsidRDefault="0097450D" w:rsidP="009E6F7F"/>
  </w:footnote>
  <w:footnote w:type="continuationSeparator" w:id="0">
    <w:p w14:paraId="4CDEB07B" w14:textId="77777777" w:rsidR="0097450D" w:rsidRDefault="0097450D" w:rsidP="009E6F7F">
      <w:r>
        <w:continuationSeparator/>
      </w:r>
    </w:p>
    <w:p w14:paraId="16253587" w14:textId="77777777" w:rsidR="0097450D" w:rsidRDefault="0097450D" w:rsidP="009E6F7F"/>
  </w:footnote>
  <w:footnote w:type="continuationNotice" w:id="1">
    <w:p w14:paraId="42C25075" w14:textId="77777777" w:rsidR="0097450D" w:rsidRDefault="0097450D" w:rsidP="009E6F7F"/>
  </w:footnote>
  <w:footnote w:id="2">
    <w:p w14:paraId="10F090AA" w14:textId="5FD8B54F" w:rsidR="00E911A6" w:rsidRPr="003C35DC" w:rsidRDefault="00E911A6">
      <w:pPr>
        <w:pStyle w:val="FootnoteText"/>
        <w:rPr>
          <w:lang w:val="en-US"/>
        </w:rPr>
      </w:pPr>
      <w:r>
        <w:rPr>
          <w:rStyle w:val="FootnoteReference"/>
        </w:rPr>
        <w:footnoteRef/>
      </w:r>
      <w:r>
        <w:t xml:space="preserve"> </w:t>
      </w:r>
      <w:r w:rsidR="002B01D0" w:rsidRPr="008E4157">
        <w:rPr>
          <w:sz w:val="18"/>
          <w:szCs w:val="18"/>
        </w:rPr>
        <w:t>The</w:t>
      </w:r>
      <w:r w:rsidR="00AE494C" w:rsidRPr="008E4157">
        <w:rPr>
          <w:sz w:val="18"/>
          <w:szCs w:val="18"/>
        </w:rPr>
        <w:t xml:space="preserve"> TG</w:t>
      </w:r>
      <w:r w:rsidR="002B01D0" w:rsidRPr="008E4157">
        <w:rPr>
          <w:sz w:val="18"/>
          <w:szCs w:val="18"/>
        </w:rPr>
        <w:t xml:space="preserve">A has recently </w:t>
      </w:r>
      <w:r w:rsidR="00D37DD4" w:rsidRPr="008E4157">
        <w:rPr>
          <w:sz w:val="18"/>
          <w:szCs w:val="18"/>
        </w:rPr>
        <w:t>updat</w:t>
      </w:r>
      <w:r w:rsidR="00D15B35" w:rsidRPr="008E4157">
        <w:rPr>
          <w:sz w:val="18"/>
          <w:szCs w:val="18"/>
        </w:rPr>
        <w:t>ed</w:t>
      </w:r>
      <w:r w:rsidR="00D37DD4" w:rsidRPr="008E4157">
        <w:rPr>
          <w:sz w:val="18"/>
          <w:szCs w:val="18"/>
        </w:rPr>
        <w:t xml:space="preserve"> warning labels for supplements containing B6</w:t>
      </w:r>
      <w:r w:rsidR="00E475C8" w:rsidRPr="008E4157">
        <w:rPr>
          <w:sz w:val="18"/>
          <w:szCs w:val="18"/>
        </w:rPr>
        <w:t xml:space="preserve"> due to </w:t>
      </w:r>
      <w:r w:rsidR="00175FE1" w:rsidRPr="008E4157">
        <w:rPr>
          <w:sz w:val="18"/>
          <w:szCs w:val="18"/>
        </w:rPr>
        <w:t>over 30 reports of peripheral neuropathy (</w:t>
      </w:r>
      <w:r w:rsidR="008F221D" w:rsidRPr="008E4157">
        <w:rPr>
          <w:sz w:val="18"/>
          <w:szCs w:val="18"/>
        </w:rPr>
        <w:t>symptoms of which include tingling, burning and numbness)</w:t>
      </w:r>
      <w:r w:rsidR="000774AD" w:rsidRPr="008E4157">
        <w:rPr>
          <w:sz w:val="18"/>
          <w:szCs w:val="18"/>
        </w:rPr>
        <w:t>. The TGA notes “</w:t>
      </w:r>
      <w:r w:rsidR="00E57A53" w:rsidRPr="008E4157">
        <w:rPr>
          <w:sz w:val="18"/>
          <w:szCs w:val="18"/>
        </w:rPr>
        <w:t xml:space="preserve">In many cases, people reported they were not aware they had consumed vitamin B6, as the product they were taking was a magnesium supplement.” See </w:t>
      </w:r>
      <w:hyperlink r:id="rId1" w:anchor="why-tga-made-these-labelling-and-use-changes" w:history="1">
        <w:r w:rsidR="00BC5BF3" w:rsidRPr="008E4157">
          <w:rPr>
            <w:rStyle w:val="Hyperlink"/>
            <w:sz w:val="18"/>
            <w:szCs w:val="18"/>
          </w:rPr>
          <w:t>Why TGA made these labelling and use changes | Health supplements containing vitamin B6 can cause peripheral neuropathy | Therapeutic Goods Administration (TGA)</w:t>
        </w:r>
      </w:hyperlink>
    </w:p>
  </w:footnote>
  <w:footnote w:id="3">
    <w:p w14:paraId="6E548E63" w14:textId="655B44A9" w:rsidR="00577A9E" w:rsidRPr="00913818" w:rsidRDefault="00577A9E">
      <w:pPr>
        <w:pStyle w:val="FootnoteText"/>
        <w:rPr>
          <w:sz w:val="18"/>
          <w:szCs w:val="18"/>
          <w:lang w:val="en-US"/>
        </w:rPr>
      </w:pPr>
      <w:r>
        <w:rPr>
          <w:rStyle w:val="FootnoteReference"/>
        </w:rPr>
        <w:footnoteRef/>
      </w:r>
      <w:r>
        <w:t xml:space="preserve"> </w:t>
      </w:r>
      <w:r w:rsidRPr="00913818">
        <w:rPr>
          <w:sz w:val="18"/>
          <w:szCs w:val="18"/>
        </w:rPr>
        <w:t xml:space="preserve">The TGA has recently updated warning labels for supplements containing B6 due to over 30 reports of peripheral neuropathy (symptoms of which include tingling, burning and numbness). The TGA notes “In many cases, people reported they were not aware they had consumed vitamin B6, as the product they were taking was a magnesium supplement.” See </w:t>
      </w:r>
      <w:hyperlink r:id="rId2" w:anchor="why-tga-made-these-labelling-and-use-changes" w:history="1">
        <w:r w:rsidRPr="00913818">
          <w:rPr>
            <w:rStyle w:val="Hyperlink"/>
            <w:sz w:val="18"/>
            <w:szCs w:val="18"/>
          </w:rPr>
          <w:t>Why TGA made these labelling and use changes | Health supplements containing vitamin B6 can cause peripheral neuropathy | Therapeutic Goods Administration (TGA)</w:t>
        </w:r>
      </w:hyperlink>
    </w:p>
  </w:footnote>
  <w:footnote w:id="4">
    <w:p w14:paraId="7AD17955" w14:textId="29506766" w:rsidR="00577A9E" w:rsidRPr="00C15CF2" w:rsidRDefault="00577A9E">
      <w:pPr>
        <w:pStyle w:val="FootnoteText"/>
        <w:rPr>
          <w:sz w:val="18"/>
          <w:szCs w:val="18"/>
          <w:lang w:val="en-US"/>
        </w:rPr>
      </w:pPr>
      <w:r>
        <w:rPr>
          <w:rStyle w:val="FootnoteReference"/>
        </w:rPr>
        <w:footnoteRef/>
      </w:r>
      <w:r>
        <w:t xml:space="preserve"> </w:t>
      </w:r>
      <w:r w:rsidRPr="00C15CF2">
        <w:rPr>
          <w:sz w:val="18"/>
          <w:szCs w:val="18"/>
        </w:rPr>
        <w:t xml:space="preserve">The TGA has recently updated warning labels for supplements containing B6 due to over 30 reports of peripheral neuropathy (symptoms of which include tingling, burning and numbness). The TGA notes “In many cases, people reported they were not aware they had consumed vitamin B6, as the product they were taking was a magnesium supplement.” See </w:t>
      </w:r>
      <w:hyperlink r:id="rId3" w:anchor="why-tga-made-these-labelling-and-use-changes" w:history="1">
        <w:r w:rsidRPr="00C15CF2">
          <w:rPr>
            <w:rStyle w:val="Hyperlink"/>
            <w:sz w:val="18"/>
            <w:szCs w:val="18"/>
          </w:rPr>
          <w:t>Why TGA made these labelling and use changes | Health supplements containing vitamin B6 can cause peripheral neuropathy | Therapeutic Goods Administration (TGA)</w:t>
        </w:r>
      </w:hyperlink>
    </w:p>
  </w:footnote>
  <w:footnote w:id="5">
    <w:p w14:paraId="793DE84E" w14:textId="3D13A72D" w:rsidR="00577A9E" w:rsidRPr="00D363B2" w:rsidRDefault="00577A9E">
      <w:pPr>
        <w:pStyle w:val="FootnoteText"/>
        <w:rPr>
          <w:sz w:val="18"/>
          <w:szCs w:val="18"/>
          <w:lang w:val="en-US"/>
        </w:rPr>
      </w:pPr>
      <w:r>
        <w:rPr>
          <w:rStyle w:val="FootnoteReference"/>
        </w:rPr>
        <w:footnoteRef/>
      </w:r>
      <w:r>
        <w:t xml:space="preserve"> </w:t>
      </w:r>
      <w:r w:rsidRPr="00D363B2">
        <w:rPr>
          <w:sz w:val="18"/>
          <w:szCs w:val="18"/>
        </w:rPr>
        <w:t xml:space="preserve">The TGA has recently updated warning labels for supplements containing B6 due to over 30 reports of peripheral neuropathy (symptoms of which include tingling, burning and numbness). The TGA notes “In many cases, people reported they were not aware they had consumed vitamin B6, as the product they were taking was a magnesium supplement.” See </w:t>
      </w:r>
      <w:hyperlink r:id="rId4" w:anchor="why-tga-made-these-labelling-and-use-changes" w:history="1">
        <w:r w:rsidRPr="00D363B2">
          <w:rPr>
            <w:rStyle w:val="Hyperlink"/>
            <w:sz w:val="18"/>
            <w:szCs w:val="18"/>
          </w:rPr>
          <w:t>Why TGA made these labelling and use changes | Health supplements containing vitamin B6 can cause peripheral neuropathy | Therapeutic Goods Administration (TGA)</w:t>
        </w:r>
      </w:hyperlink>
    </w:p>
  </w:footnote>
  <w:footnote w:id="6">
    <w:p w14:paraId="619F7775" w14:textId="370F6586" w:rsidR="00577A9E" w:rsidRPr="002C2CD6" w:rsidRDefault="00577A9E">
      <w:pPr>
        <w:pStyle w:val="FootnoteText"/>
        <w:rPr>
          <w:sz w:val="18"/>
          <w:szCs w:val="18"/>
          <w:lang w:val="en-US"/>
        </w:rPr>
      </w:pPr>
      <w:r w:rsidRPr="002C2CD6">
        <w:rPr>
          <w:rStyle w:val="FootnoteReference"/>
          <w:sz w:val="18"/>
          <w:szCs w:val="18"/>
        </w:rPr>
        <w:footnoteRef/>
      </w:r>
      <w:r w:rsidRPr="002C2CD6">
        <w:rPr>
          <w:sz w:val="18"/>
          <w:szCs w:val="18"/>
        </w:rPr>
        <w:t xml:space="preserve"> The TGA has recently updated warning labels for supplements containing B6 due to over 30 reports of peripheral neuropathy (symptoms of which include tingling, burning and numbness). The TGA notes “In many cases, people reported they were not aware they had consumed vitamin B6, as the product they were taking was a magnesium supplement.” See </w:t>
      </w:r>
      <w:hyperlink r:id="rId5" w:anchor="why-tga-made-these-labelling-and-use-changes" w:history="1">
        <w:r w:rsidRPr="002C2CD6">
          <w:rPr>
            <w:rStyle w:val="Hyperlink"/>
            <w:sz w:val="18"/>
            <w:szCs w:val="18"/>
          </w:rPr>
          <w:t>Why TGA made these labelling and use changes | Health supplements containing vitamin B6 can cause peripheral neuropathy | Therapeutic Goods Administration (TGA)</w:t>
        </w:r>
      </w:hyperlink>
    </w:p>
  </w:footnote>
  <w:footnote w:id="7">
    <w:p w14:paraId="6C4FA763" w14:textId="6F65E7BA" w:rsidR="00BE6BEA" w:rsidRPr="00493017" w:rsidRDefault="00BE6BEA">
      <w:pPr>
        <w:pStyle w:val="FootnoteText"/>
        <w:rPr>
          <w:sz w:val="18"/>
          <w:szCs w:val="18"/>
          <w:lang w:val="en-US"/>
        </w:rPr>
      </w:pPr>
      <w:r w:rsidRPr="00493017">
        <w:rPr>
          <w:rStyle w:val="FootnoteReference"/>
          <w:sz w:val="18"/>
          <w:szCs w:val="18"/>
        </w:rPr>
        <w:footnoteRef/>
      </w:r>
      <w:r w:rsidRPr="00493017">
        <w:rPr>
          <w:sz w:val="18"/>
          <w:szCs w:val="18"/>
        </w:rPr>
        <w:t xml:space="preserve"> The TGA has recently updated warning labels for supplements containing B6 due to over 30 reports of peripheral neuropathy (symptoms of which include tingling, burning and numbness). The TGA notes “In many cases, people reported they were not aware they had consumed vitamin B6, as the product they were taking was a magnesium supplement.” See </w:t>
      </w:r>
      <w:hyperlink r:id="rId6" w:anchor="why-tga-made-these-labelling-and-use-changes" w:history="1">
        <w:r w:rsidRPr="00493017">
          <w:rPr>
            <w:rStyle w:val="Hyperlink"/>
            <w:sz w:val="18"/>
            <w:szCs w:val="18"/>
          </w:rPr>
          <w:t>Why TGA made these labelling and use changes | Health supplements containing vitamin B6 can cause peripheral neuropathy | Therapeutic Goods Administration (TGA)</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DDDA02" w14:textId="17DBA5FA" w:rsidR="00020E93" w:rsidRDefault="00C605F9">
    <w:pPr>
      <w:pStyle w:val="Header"/>
    </w:pPr>
    <w:r>
      <w:rPr>
        <w:noProof/>
      </w:rPr>
      <mc:AlternateContent>
        <mc:Choice Requires="wps">
          <w:drawing>
            <wp:anchor distT="0" distB="0" distL="114300" distR="114300" simplePos="0" relativeHeight="251658241" behindDoc="1" locked="0" layoutInCell="0" allowOverlap="1" wp14:anchorId="5C205206" wp14:editId="68B32838">
              <wp:simplePos x="0" y="0"/>
              <wp:positionH relativeFrom="margin">
                <wp:align>center</wp:align>
              </wp:positionH>
              <wp:positionV relativeFrom="margin">
                <wp:align>center</wp:align>
              </wp:positionV>
              <wp:extent cx="5746115" cy="2513965"/>
              <wp:effectExtent l="0" t="0" r="0" b="0"/>
              <wp:wrapNone/>
              <wp:docPr id="1502714148" name="PowerPlusWaterMarkObject741540223"/>
              <wp:cNvGraphicFramePr>
                <a:graphicFrameLocks xmlns:a="http://schemas.openxmlformats.org/drawingml/2006/main" noGrp="1" noChangeAspect="1" noResize="1"/>
              </wp:cNvGraphicFramePr>
              <a:graphic xmlns:a="http://schemas.openxmlformats.org/drawingml/2006/main">
                <a:graphicData uri="http://schemas.microsoft.com/office/word/2010/wordprocessingShape">
                  <wps:wsp>
                    <wps:cNvSpPr txBox="1">
                      <a:spLocks noGrp="1" noRot="1" noChangeAspect="1" noResize="1" noEditPoints="1" noAdjustHandles="1" noChangeArrowheads="1" noChangeShapeType="1" noTextEdit="1"/>
                    </wps:cNvSpPr>
                    <wps:spPr bwMode="auto">
                      <a:xfrm rot="18900000">
                        <a:off x="0" y="0"/>
                        <a:ext cx="5746115" cy="25139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A3A2649" w14:textId="77777777" w:rsidR="00C605F9" w:rsidRDefault="00C605F9" w:rsidP="00C605F9">
                          <w:pPr>
                            <w:jc w:val="center"/>
                            <w:rPr>
                              <w:rFonts w:ascii="Calibri" w:hAnsi="Calibri" w:cs="Calibri"/>
                              <w:color w:val="C0C0C0"/>
                              <w:sz w:val="72"/>
                              <w:szCs w:val="72"/>
                              <w:lang w:val="en-GB"/>
                              <w14:textFill>
                                <w14:solidFill>
                                  <w14:srgbClr w14:val="C0C0C0">
                                    <w14:alpha w14:val="27000"/>
                                  </w14:srgbClr>
                                </w14:solidFill>
                              </w14:textFill>
                            </w:rPr>
                          </w:pPr>
                          <w:r>
                            <w:rPr>
                              <w:rFonts w:ascii="Calibri" w:hAnsi="Calibri" w:cs="Calibri"/>
                              <w:color w:val="C0C0C0"/>
                              <w:sz w:val="72"/>
                              <w:szCs w:val="72"/>
                              <w:lang w:val="en-GB"/>
                              <w14:textFill>
                                <w14:solidFill>
                                  <w14:srgbClr w14:val="C0C0C0">
                                    <w14:alpha w14:val="27000"/>
                                  </w14:srgbClr>
                                </w14:solidFill>
                              </w14:textFill>
                            </w:rPr>
                            <w:t>DRAFT</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5C205206" id="_x0000_t202" coordsize="21600,21600" o:spt="202" path="m,l,21600r21600,l21600,xe">
              <v:stroke joinstyle="miter"/>
              <v:path gradientshapeok="t" o:connecttype="rect"/>
            </v:shapetype>
            <v:shape id="PowerPlusWaterMarkObject741540223" o:spid="_x0000_s1356" type="#_x0000_t202" style="position:absolute;margin-left:0;margin-top:0;width:452.45pt;height:197.95pt;rotation:-45;z-index:-251658239;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" o:allowincell="f" filled="f" stroked="f">
              <v:stroke joinstyle="round"/>
              <o:lock v:ext="edit" rotation="t" aspectratio="t" verticies="t" adjusthandles="t" grouping="t" shapetype="t"/>
              <v:textbox>
                <w:txbxContent>
                  <w:p w14:paraId="6A3A2649" w14:textId="77777777" w:rsidR="00C605F9" w:rsidRDefault="00C605F9" w:rsidP="00C605F9">
                    <w:pPr>
                      <w:jc w:val="center"/>
                      <w:rPr>
                        <w:rFonts w:ascii="Calibri" w:hAnsi="Calibri" w:cs="Calibri"/>
                        <w:color w:val="C0C0C0"/>
                        <w:sz w:val="72"/>
                        <w:szCs w:val="72"/>
                        <w:lang w:val="en-GB"/>
                        <w14:textFill>
                          <w14:solidFill>
                            <w14:srgbClr w14:val="C0C0C0">
                              <w14:alpha w14:val="27000"/>
                            </w14:srgbClr>
                          </w14:solidFill>
                        </w14:textFill>
                      </w:rPr>
                    </w:pPr>
                    <w:r>
                      <w:rPr>
                        <w:rFonts w:ascii="Calibri" w:hAnsi="Calibri" w:cs="Calibri"/>
                        <w:color w:val="C0C0C0"/>
                        <w:sz w:val="72"/>
                        <w:szCs w:val="72"/>
                        <w:lang w:val="en-GB"/>
                        <w14:textFill>
                          <w14:solidFill>
                            <w14:srgbClr w14:val="C0C0C0">
                              <w14:alpha w14:val="27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C9B500" w14:textId="0BF54AAF" w:rsidR="00020E93" w:rsidRDefault="00C605F9">
    <w:pPr>
      <w:pStyle w:val="Header"/>
    </w:pPr>
    <w:r>
      <w:rPr>
        <w:noProof/>
      </w:rPr>
      <mc:AlternateContent>
        <mc:Choice Requires="wps">
          <w:drawing>
            <wp:anchor distT="0" distB="0" distL="114300" distR="114300" simplePos="0" relativeHeight="251658240" behindDoc="1" locked="0" layoutInCell="0" allowOverlap="1" wp14:anchorId="57EA8AAA" wp14:editId="0FD49FF6">
              <wp:simplePos x="0" y="0"/>
              <wp:positionH relativeFrom="margin">
                <wp:align>center</wp:align>
              </wp:positionH>
              <wp:positionV relativeFrom="margin">
                <wp:align>center</wp:align>
              </wp:positionV>
              <wp:extent cx="5746115" cy="2513965"/>
              <wp:effectExtent l="0" t="0" r="0" b="0"/>
              <wp:wrapNone/>
              <wp:docPr id="483904964" name="PowerPlusWaterMarkObject741540222"/>
              <wp:cNvGraphicFramePr>
                <a:graphicFrameLocks xmlns:a="http://schemas.openxmlformats.org/drawingml/2006/main" noGrp="1" noChangeAspect="1" noResize="1"/>
              </wp:cNvGraphicFramePr>
              <a:graphic xmlns:a="http://schemas.openxmlformats.org/drawingml/2006/main">
                <a:graphicData uri="http://schemas.microsoft.com/office/word/2010/wordprocessingShape">
                  <wps:wsp>
                    <wps:cNvSpPr txBox="1">
                      <a:spLocks noGrp="1" noRot="1" noChangeAspect="1" noResize="1" noEditPoints="1" noAdjustHandles="1" noChangeArrowheads="1" noChangeShapeType="1" noTextEdit="1"/>
                    </wps:cNvSpPr>
                    <wps:spPr bwMode="auto">
                      <a:xfrm rot="18900000">
                        <a:off x="0" y="0"/>
                        <a:ext cx="5746115" cy="25139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FFEF96C" w14:textId="77777777" w:rsidR="00C605F9" w:rsidRDefault="00C605F9" w:rsidP="00C605F9">
                          <w:pPr>
                            <w:jc w:val="center"/>
                            <w:rPr>
                              <w:rFonts w:ascii="Calibri" w:hAnsi="Calibri" w:cs="Calibri"/>
                              <w:color w:val="C0C0C0"/>
                              <w:sz w:val="72"/>
                              <w:szCs w:val="72"/>
                              <w:lang w:val="en-GB"/>
                              <w14:textFill>
                                <w14:solidFill>
                                  <w14:srgbClr w14:val="C0C0C0">
                                    <w14:alpha w14:val="27000"/>
                                  </w14:srgbClr>
                                </w14:solidFill>
                              </w14:textFill>
                            </w:rPr>
                          </w:pPr>
                          <w:r>
                            <w:rPr>
                              <w:rFonts w:ascii="Calibri" w:hAnsi="Calibri" w:cs="Calibri"/>
                              <w:color w:val="C0C0C0"/>
                              <w:sz w:val="72"/>
                              <w:szCs w:val="72"/>
                              <w:lang w:val="en-GB"/>
                              <w14:textFill>
                                <w14:solidFill>
                                  <w14:srgbClr w14:val="C0C0C0">
                                    <w14:alpha w14:val="27000"/>
                                  </w14:srgbClr>
                                </w14:solidFill>
                              </w14:textFill>
                            </w:rPr>
                            <w:t>DRAFT</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57EA8AAA" id="_x0000_t202" coordsize="21600,21600" o:spt="202" path="m,l,21600r21600,l21600,xe">
              <v:stroke joinstyle="miter"/>
              <v:path gradientshapeok="t" o:connecttype="rect"/>
            </v:shapetype>
            <v:shape id="PowerPlusWaterMarkObject741540222" o:spid="_x0000_s1357" type="#_x0000_t202" style="position:absolute;margin-left:0;margin-top:0;width:452.45pt;height:197.95pt;rotation:-45;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" o:allowincell="f" filled="f" stroked="f">
              <v:stroke joinstyle="round"/>
              <o:lock v:ext="edit" rotation="t" aspectratio="t" verticies="t" adjusthandles="t" grouping="t" shapetype="t"/>
              <v:textbox>
                <w:txbxContent>
                  <w:p w14:paraId="4FFEF96C" w14:textId="77777777" w:rsidR="00C605F9" w:rsidRDefault="00C605F9" w:rsidP="00C605F9">
                    <w:pPr>
                      <w:jc w:val="center"/>
                      <w:rPr>
                        <w:rFonts w:ascii="Calibri" w:hAnsi="Calibri" w:cs="Calibri"/>
                        <w:color w:val="C0C0C0"/>
                        <w:sz w:val="72"/>
                        <w:szCs w:val="72"/>
                        <w:lang w:val="en-GB"/>
                        <w14:textFill>
                          <w14:solidFill>
                            <w14:srgbClr w14:val="C0C0C0">
                              <w14:alpha w14:val="27000"/>
                            </w14:srgbClr>
                          </w14:solidFill>
                        </w14:textFill>
                      </w:rPr>
                    </w:pPr>
                    <w:r>
                      <w:rPr>
                        <w:rFonts w:ascii="Calibri" w:hAnsi="Calibri" w:cs="Calibri"/>
                        <w:color w:val="C0C0C0"/>
                        <w:sz w:val="72"/>
                        <w:szCs w:val="72"/>
                        <w:lang w:val="en-GB"/>
                        <w14:textFill>
                          <w14:solidFill>
                            <w14:srgbClr w14:val="C0C0C0">
                              <w14:alpha w14:val="27000"/>
                            </w14:srgbClr>
                          </w14:solidFill>
                        </w14:textFill>
                      </w:rPr>
                      <w:t>DRAFT</w:t>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91FCF"/>
    <w:multiLevelType w:val="hybridMultilevel"/>
    <w:tmpl w:val="E0D83EF2"/>
    <w:lvl w:ilvl="0" w:tplc="5A6A2DB0">
      <w:start w:val="1"/>
      <w:numFmt w:val="lowerLetter"/>
      <w:lvlText w:val="%1)"/>
      <w:lvlJc w:val="left"/>
      <w:pPr>
        <w:ind w:left="1020" w:hanging="360"/>
      </w:pPr>
    </w:lvl>
    <w:lvl w:ilvl="1" w:tplc="0D20068E">
      <w:start w:val="1"/>
      <w:numFmt w:val="lowerLetter"/>
      <w:lvlText w:val="%2)"/>
      <w:lvlJc w:val="left"/>
      <w:pPr>
        <w:ind w:left="1020" w:hanging="360"/>
      </w:pPr>
    </w:lvl>
    <w:lvl w:ilvl="2" w:tplc="C6763C74">
      <w:start w:val="1"/>
      <w:numFmt w:val="lowerLetter"/>
      <w:lvlText w:val="%3)"/>
      <w:lvlJc w:val="left"/>
      <w:pPr>
        <w:ind w:left="1020" w:hanging="360"/>
      </w:pPr>
    </w:lvl>
    <w:lvl w:ilvl="3" w:tplc="77BA7714">
      <w:start w:val="1"/>
      <w:numFmt w:val="lowerLetter"/>
      <w:lvlText w:val="%4)"/>
      <w:lvlJc w:val="left"/>
      <w:pPr>
        <w:ind w:left="1020" w:hanging="360"/>
      </w:pPr>
    </w:lvl>
    <w:lvl w:ilvl="4" w:tplc="9612C832">
      <w:start w:val="1"/>
      <w:numFmt w:val="lowerLetter"/>
      <w:lvlText w:val="%5)"/>
      <w:lvlJc w:val="left"/>
      <w:pPr>
        <w:ind w:left="1020" w:hanging="360"/>
      </w:pPr>
    </w:lvl>
    <w:lvl w:ilvl="5" w:tplc="A088F6B0">
      <w:start w:val="1"/>
      <w:numFmt w:val="lowerLetter"/>
      <w:lvlText w:val="%6)"/>
      <w:lvlJc w:val="left"/>
      <w:pPr>
        <w:ind w:left="1020" w:hanging="360"/>
      </w:pPr>
    </w:lvl>
    <w:lvl w:ilvl="6" w:tplc="5942CC08">
      <w:start w:val="1"/>
      <w:numFmt w:val="lowerLetter"/>
      <w:lvlText w:val="%7)"/>
      <w:lvlJc w:val="left"/>
      <w:pPr>
        <w:ind w:left="1020" w:hanging="360"/>
      </w:pPr>
    </w:lvl>
    <w:lvl w:ilvl="7" w:tplc="DD628D40">
      <w:start w:val="1"/>
      <w:numFmt w:val="lowerLetter"/>
      <w:lvlText w:val="%8)"/>
      <w:lvlJc w:val="left"/>
      <w:pPr>
        <w:ind w:left="1020" w:hanging="360"/>
      </w:pPr>
    </w:lvl>
    <w:lvl w:ilvl="8" w:tplc="5EB83272">
      <w:start w:val="1"/>
      <w:numFmt w:val="lowerLetter"/>
      <w:lvlText w:val="%9)"/>
      <w:lvlJc w:val="left"/>
      <w:pPr>
        <w:ind w:left="1020" w:hanging="360"/>
      </w:pPr>
    </w:lvl>
  </w:abstractNum>
  <w:abstractNum w:abstractNumId="1" w15:restartNumberingAfterBreak="0">
    <w:nsid w:val="0A534A25"/>
    <w:multiLevelType w:val="hybridMultilevel"/>
    <w:tmpl w:val="32DC72B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CDF05C0"/>
    <w:multiLevelType w:val="hybridMultilevel"/>
    <w:tmpl w:val="7AAECD34"/>
    <w:lvl w:ilvl="0" w:tplc="02303BDA">
      <w:start w:val="1"/>
      <w:numFmt w:val="bullet"/>
      <w:lvlText w:val=""/>
      <w:lvlJc w:val="left"/>
      <w:pPr>
        <w:ind w:left="720" w:hanging="360"/>
      </w:pPr>
      <w:rPr>
        <w:rFonts w:ascii="Symbol" w:hAnsi="Symbol"/>
      </w:rPr>
    </w:lvl>
    <w:lvl w:ilvl="1" w:tplc="6CA67E58">
      <w:start w:val="1"/>
      <w:numFmt w:val="bullet"/>
      <w:lvlText w:val=""/>
      <w:lvlJc w:val="left"/>
      <w:pPr>
        <w:ind w:left="720" w:hanging="360"/>
      </w:pPr>
      <w:rPr>
        <w:rFonts w:ascii="Symbol" w:hAnsi="Symbol"/>
      </w:rPr>
    </w:lvl>
    <w:lvl w:ilvl="2" w:tplc="9808EDA8">
      <w:start w:val="1"/>
      <w:numFmt w:val="bullet"/>
      <w:lvlText w:val=""/>
      <w:lvlJc w:val="left"/>
      <w:pPr>
        <w:ind w:left="720" w:hanging="360"/>
      </w:pPr>
      <w:rPr>
        <w:rFonts w:ascii="Symbol" w:hAnsi="Symbol"/>
      </w:rPr>
    </w:lvl>
    <w:lvl w:ilvl="3" w:tplc="C7A45B94">
      <w:start w:val="1"/>
      <w:numFmt w:val="bullet"/>
      <w:lvlText w:val=""/>
      <w:lvlJc w:val="left"/>
      <w:pPr>
        <w:ind w:left="720" w:hanging="360"/>
      </w:pPr>
      <w:rPr>
        <w:rFonts w:ascii="Symbol" w:hAnsi="Symbol"/>
      </w:rPr>
    </w:lvl>
    <w:lvl w:ilvl="4" w:tplc="A496BE54">
      <w:start w:val="1"/>
      <w:numFmt w:val="bullet"/>
      <w:lvlText w:val=""/>
      <w:lvlJc w:val="left"/>
      <w:pPr>
        <w:ind w:left="720" w:hanging="360"/>
      </w:pPr>
      <w:rPr>
        <w:rFonts w:ascii="Symbol" w:hAnsi="Symbol"/>
      </w:rPr>
    </w:lvl>
    <w:lvl w:ilvl="5" w:tplc="0D523F46">
      <w:start w:val="1"/>
      <w:numFmt w:val="bullet"/>
      <w:lvlText w:val=""/>
      <w:lvlJc w:val="left"/>
      <w:pPr>
        <w:ind w:left="720" w:hanging="360"/>
      </w:pPr>
      <w:rPr>
        <w:rFonts w:ascii="Symbol" w:hAnsi="Symbol"/>
      </w:rPr>
    </w:lvl>
    <w:lvl w:ilvl="6" w:tplc="F3C445F6">
      <w:start w:val="1"/>
      <w:numFmt w:val="bullet"/>
      <w:lvlText w:val=""/>
      <w:lvlJc w:val="left"/>
      <w:pPr>
        <w:ind w:left="720" w:hanging="360"/>
      </w:pPr>
      <w:rPr>
        <w:rFonts w:ascii="Symbol" w:hAnsi="Symbol"/>
      </w:rPr>
    </w:lvl>
    <w:lvl w:ilvl="7" w:tplc="645ECB98">
      <w:start w:val="1"/>
      <w:numFmt w:val="bullet"/>
      <w:lvlText w:val=""/>
      <w:lvlJc w:val="left"/>
      <w:pPr>
        <w:ind w:left="720" w:hanging="360"/>
      </w:pPr>
      <w:rPr>
        <w:rFonts w:ascii="Symbol" w:hAnsi="Symbol"/>
      </w:rPr>
    </w:lvl>
    <w:lvl w:ilvl="8" w:tplc="06E4DABE">
      <w:start w:val="1"/>
      <w:numFmt w:val="bullet"/>
      <w:lvlText w:val=""/>
      <w:lvlJc w:val="left"/>
      <w:pPr>
        <w:ind w:left="720" w:hanging="360"/>
      </w:pPr>
      <w:rPr>
        <w:rFonts w:ascii="Symbol" w:hAnsi="Symbol"/>
      </w:rPr>
    </w:lvl>
  </w:abstractNum>
  <w:abstractNum w:abstractNumId="3" w15:restartNumberingAfterBreak="0">
    <w:nsid w:val="14890A77"/>
    <w:multiLevelType w:val="hybridMultilevel"/>
    <w:tmpl w:val="B3960888"/>
    <w:lvl w:ilvl="0" w:tplc="CBA64F44">
      <w:numFmt w:val="bullet"/>
      <w:pStyle w:val="Intabledots"/>
      <w:lvlText w:val="•"/>
      <w:lvlJc w:val="left"/>
      <w:pPr>
        <w:ind w:left="360" w:hanging="360"/>
      </w:pPr>
      <w:rPr>
        <w:rFonts w:hint="default"/>
        <w:lang w:val="en-AU"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436E36"/>
    <w:multiLevelType w:val="hybridMultilevel"/>
    <w:tmpl w:val="A7F040A2"/>
    <w:lvl w:ilvl="0" w:tplc="5C3CFAB0">
      <w:start w:val="1"/>
      <w:numFmt w:val="bullet"/>
      <w:pStyle w:val="Bullet0"/>
      <w:lvlText w:val=""/>
      <w:lvlJc w:val="left"/>
      <w:pPr>
        <w:ind w:left="360" w:hanging="360"/>
      </w:pPr>
      <w:rPr>
        <w:rFonts w:ascii="Symbol" w:hAnsi="Symbol" w:hint="default"/>
        <w:sz w:val="22"/>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177648A2"/>
    <w:multiLevelType w:val="multilevel"/>
    <w:tmpl w:val="B50647EE"/>
    <w:lvl w:ilvl="0">
      <w:start w:val="1"/>
      <w:numFmt w:val="decimal"/>
      <w:pStyle w:val="ListNumber2"/>
      <w:lvlText w:val="(%1)"/>
      <w:lvlJc w:val="left"/>
      <w:pPr>
        <w:ind w:left="454" w:hanging="454"/>
      </w:pPr>
      <w:rPr>
        <w:rFonts w:hint="default"/>
        <w:color w:val="ED7D31" w:themeColor="accent2"/>
      </w:rPr>
    </w:lvl>
    <w:lvl w:ilvl="1">
      <w:start w:val="1"/>
      <w:numFmt w:val="lowerLetter"/>
      <w:pStyle w:val="ListNumberIndent2"/>
      <w:lvlText w:val="(%2)"/>
      <w:lvlJc w:val="left"/>
      <w:pPr>
        <w:ind w:left="907" w:hanging="453"/>
      </w:pPr>
      <w:rPr>
        <w:rFonts w:hint="default"/>
      </w:rPr>
    </w:lvl>
    <w:lvl w:ilvl="2">
      <w:start w:val="1"/>
      <w:numFmt w:val="lowerRoman"/>
      <w:pStyle w:val="ListNumberIndent3"/>
      <w:lvlText w:val="(%3)"/>
      <w:lvlJc w:val="left"/>
      <w:pPr>
        <w:ind w:left="1361" w:hanging="454"/>
      </w:pPr>
      <w:rPr>
        <w:rFonts w:hint="default"/>
      </w:rPr>
    </w:lvl>
    <w:lvl w:ilvl="3">
      <w:start w:val="1"/>
      <w:numFmt w:val="bullet"/>
      <w:pStyle w:val="ListNumberIndent4"/>
      <w:lvlText w:val=""/>
      <w:lvlJc w:val="left"/>
      <w:pPr>
        <w:ind w:left="1815" w:hanging="454"/>
      </w:pPr>
      <w:rPr>
        <w:rFonts w:ascii="Symbol" w:hAnsi="Symbol" w:hint="default"/>
        <w:color w:val="7F7F7F" w:themeColor="text1" w:themeTint="80"/>
      </w:rPr>
    </w:lvl>
    <w:lvl w:ilvl="4">
      <w:start w:val="1"/>
      <w:numFmt w:val="bullet"/>
      <w:pStyle w:val="ListNumberIndent5"/>
      <w:lvlText w:val="‒"/>
      <w:lvlJc w:val="left"/>
      <w:pPr>
        <w:ind w:left="2268" w:hanging="453"/>
      </w:pPr>
      <w:rPr>
        <w:rFonts w:ascii="Verdana" w:hAnsi="Verdana" w:hint="default"/>
      </w:rPr>
    </w:lvl>
    <w:lvl w:ilvl="5">
      <w:start w:val="1"/>
      <w:numFmt w:val="none"/>
      <w:suff w:val="nothing"/>
      <w:lvlText w:val=""/>
      <w:lvlJc w:val="left"/>
      <w:pPr>
        <w:ind w:left="-907" w:firstLine="0"/>
      </w:pPr>
      <w:rPr>
        <w:rFonts w:hint="default"/>
      </w:rPr>
    </w:lvl>
    <w:lvl w:ilvl="6">
      <w:start w:val="1"/>
      <w:numFmt w:val="none"/>
      <w:suff w:val="nothing"/>
      <w:lvlText w:val=""/>
      <w:lvlJc w:val="left"/>
      <w:pPr>
        <w:ind w:left="-907" w:firstLine="0"/>
      </w:pPr>
      <w:rPr>
        <w:rFonts w:hint="default"/>
      </w:rPr>
    </w:lvl>
    <w:lvl w:ilvl="7">
      <w:start w:val="1"/>
      <w:numFmt w:val="none"/>
      <w:suff w:val="nothing"/>
      <w:lvlText w:val=""/>
      <w:lvlJc w:val="left"/>
      <w:pPr>
        <w:ind w:left="-907" w:firstLine="0"/>
      </w:pPr>
      <w:rPr>
        <w:rFonts w:hint="default"/>
      </w:rPr>
    </w:lvl>
    <w:lvl w:ilvl="8">
      <w:start w:val="1"/>
      <w:numFmt w:val="none"/>
      <w:suff w:val="nothing"/>
      <w:lvlText w:val=""/>
      <w:lvlJc w:val="left"/>
      <w:pPr>
        <w:ind w:left="-907" w:firstLine="0"/>
      </w:pPr>
      <w:rPr>
        <w:rFonts w:hint="default"/>
      </w:rPr>
    </w:lvl>
  </w:abstractNum>
  <w:abstractNum w:abstractNumId="6" w15:restartNumberingAfterBreak="0">
    <w:nsid w:val="1A270192"/>
    <w:multiLevelType w:val="multilevel"/>
    <w:tmpl w:val="8B780BE6"/>
    <w:styleLink w:val="CurrentList1"/>
    <w:lvl w:ilvl="0">
      <w:start w:val="1"/>
      <w:numFmt w:val="decimal"/>
      <w:lvlText w:val="%1."/>
      <w:lvlJc w:val="left"/>
      <w:pPr>
        <w:ind w:left="460" w:hanging="460"/>
      </w:pPr>
      <w:rPr>
        <w:rFonts w:ascii="Arial" w:eastAsiaTheme="minorHAnsi" w:hAnsi="Arial" w:cs="Arial"/>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1A7A77C9"/>
    <w:multiLevelType w:val="hybridMultilevel"/>
    <w:tmpl w:val="3794766E"/>
    <w:lvl w:ilvl="0" w:tplc="01BE4110">
      <w:numFmt w:val="bullet"/>
      <w:pStyle w:val="Dotpoints"/>
      <w:lvlText w:val="•"/>
      <w:lvlJc w:val="left"/>
      <w:pPr>
        <w:ind w:left="1080" w:hanging="720"/>
      </w:pPr>
      <w:rPr>
        <w:rFonts w:ascii="Arial" w:eastAsiaTheme="minorHAnsi" w:hAnsi="Arial" w:cs="Arial" w:hint="default"/>
        <w:color w:val="000000" w:themeColor="text1"/>
      </w:rPr>
    </w:lvl>
    <w:lvl w:ilvl="1" w:tplc="F3328D78">
      <w:start w:val="1"/>
      <w:numFmt w:val="bullet"/>
      <w:lvlText w:val="o"/>
      <w:lvlJc w:val="left"/>
      <w:pPr>
        <w:ind w:left="1440" w:hanging="360"/>
      </w:pPr>
      <w:rPr>
        <w:rFonts w:ascii="Courier New" w:hAnsi="Courier New" w:cs="Courier New" w:hint="default"/>
        <w:color w:val="000000" w:themeColor="text1"/>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D9C2169"/>
    <w:multiLevelType w:val="hybridMultilevel"/>
    <w:tmpl w:val="D6B44C56"/>
    <w:lvl w:ilvl="0" w:tplc="177688B2">
      <w:start w:val="1"/>
      <w:numFmt w:val="bullet"/>
      <w:lvlText w:val=""/>
      <w:lvlJc w:val="left"/>
      <w:pPr>
        <w:ind w:left="720" w:hanging="360"/>
      </w:pPr>
      <w:rPr>
        <w:rFonts w:ascii="Symbol" w:hAnsi="Symbol"/>
      </w:rPr>
    </w:lvl>
    <w:lvl w:ilvl="1" w:tplc="A6F20B0C">
      <w:start w:val="1"/>
      <w:numFmt w:val="bullet"/>
      <w:lvlText w:val=""/>
      <w:lvlJc w:val="left"/>
      <w:pPr>
        <w:ind w:left="720" w:hanging="360"/>
      </w:pPr>
      <w:rPr>
        <w:rFonts w:ascii="Symbol" w:hAnsi="Symbol"/>
      </w:rPr>
    </w:lvl>
    <w:lvl w:ilvl="2" w:tplc="419C5A82">
      <w:start w:val="1"/>
      <w:numFmt w:val="bullet"/>
      <w:lvlText w:val=""/>
      <w:lvlJc w:val="left"/>
      <w:pPr>
        <w:ind w:left="720" w:hanging="360"/>
      </w:pPr>
      <w:rPr>
        <w:rFonts w:ascii="Symbol" w:hAnsi="Symbol"/>
      </w:rPr>
    </w:lvl>
    <w:lvl w:ilvl="3" w:tplc="B73E645E">
      <w:start w:val="1"/>
      <w:numFmt w:val="bullet"/>
      <w:lvlText w:val=""/>
      <w:lvlJc w:val="left"/>
      <w:pPr>
        <w:ind w:left="720" w:hanging="360"/>
      </w:pPr>
      <w:rPr>
        <w:rFonts w:ascii="Symbol" w:hAnsi="Symbol"/>
      </w:rPr>
    </w:lvl>
    <w:lvl w:ilvl="4" w:tplc="CD942D56">
      <w:start w:val="1"/>
      <w:numFmt w:val="bullet"/>
      <w:lvlText w:val=""/>
      <w:lvlJc w:val="left"/>
      <w:pPr>
        <w:ind w:left="720" w:hanging="360"/>
      </w:pPr>
      <w:rPr>
        <w:rFonts w:ascii="Symbol" w:hAnsi="Symbol"/>
      </w:rPr>
    </w:lvl>
    <w:lvl w:ilvl="5" w:tplc="9EAA8816">
      <w:start w:val="1"/>
      <w:numFmt w:val="bullet"/>
      <w:lvlText w:val=""/>
      <w:lvlJc w:val="left"/>
      <w:pPr>
        <w:ind w:left="720" w:hanging="360"/>
      </w:pPr>
      <w:rPr>
        <w:rFonts w:ascii="Symbol" w:hAnsi="Symbol"/>
      </w:rPr>
    </w:lvl>
    <w:lvl w:ilvl="6" w:tplc="47D2CDEA">
      <w:start w:val="1"/>
      <w:numFmt w:val="bullet"/>
      <w:lvlText w:val=""/>
      <w:lvlJc w:val="left"/>
      <w:pPr>
        <w:ind w:left="720" w:hanging="360"/>
      </w:pPr>
      <w:rPr>
        <w:rFonts w:ascii="Symbol" w:hAnsi="Symbol"/>
      </w:rPr>
    </w:lvl>
    <w:lvl w:ilvl="7" w:tplc="2F02CB82">
      <w:start w:val="1"/>
      <w:numFmt w:val="bullet"/>
      <w:lvlText w:val=""/>
      <w:lvlJc w:val="left"/>
      <w:pPr>
        <w:ind w:left="720" w:hanging="360"/>
      </w:pPr>
      <w:rPr>
        <w:rFonts w:ascii="Symbol" w:hAnsi="Symbol"/>
      </w:rPr>
    </w:lvl>
    <w:lvl w:ilvl="8" w:tplc="C8AE4C54">
      <w:start w:val="1"/>
      <w:numFmt w:val="bullet"/>
      <w:lvlText w:val=""/>
      <w:lvlJc w:val="left"/>
      <w:pPr>
        <w:ind w:left="720" w:hanging="360"/>
      </w:pPr>
      <w:rPr>
        <w:rFonts w:ascii="Symbol" w:hAnsi="Symbol"/>
      </w:rPr>
    </w:lvl>
  </w:abstractNum>
  <w:abstractNum w:abstractNumId="9" w15:restartNumberingAfterBreak="0">
    <w:nsid w:val="21223F43"/>
    <w:multiLevelType w:val="hybridMultilevel"/>
    <w:tmpl w:val="3F26FB82"/>
    <w:lvl w:ilvl="0" w:tplc="6FAC7612">
      <w:start w:val="3"/>
      <w:numFmt w:val="bullet"/>
      <w:lvlText w:val="-"/>
      <w:lvlJc w:val="left"/>
      <w:pPr>
        <w:ind w:left="720" w:hanging="360"/>
      </w:pPr>
      <w:rPr>
        <w:rFonts w:ascii="Aptos" w:eastAsia="Times New Roman" w:hAnsi="Aptos"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3E417D4"/>
    <w:multiLevelType w:val="hybridMultilevel"/>
    <w:tmpl w:val="96026AA0"/>
    <w:lvl w:ilvl="0" w:tplc="D298AD6E">
      <w:start w:val="1"/>
      <w:numFmt w:val="bullet"/>
      <w:lvlText w:val=""/>
      <w:lvlJc w:val="left"/>
      <w:pPr>
        <w:ind w:left="720" w:hanging="360"/>
      </w:pPr>
      <w:rPr>
        <w:rFonts w:ascii="Symbol" w:hAnsi="Symbol"/>
      </w:rPr>
    </w:lvl>
    <w:lvl w:ilvl="1" w:tplc="FF727D46">
      <w:start w:val="1"/>
      <w:numFmt w:val="bullet"/>
      <w:lvlText w:val=""/>
      <w:lvlJc w:val="left"/>
      <w:pPr>
        <w:ind w:left="720" w:hanging="360"/>
      </w:pPr>
      <w:rPr>
        <w:rFonts w:ascii="Symbol" w:hAnsi="Symbol"/>
      </w:rPr>
    </w:lvl>
    <w:lvl w:ilvl="2" w:tplc="692E981E">
      <w:start w:val="1"/>
      <w:numFmt w:val="bullet"/>
      <w:lvlText w:val=""/>
      <w:lvlJc w:val="left"/>
      <w:pPr>
        <w:ind w:left="720" w:hanging="360"/>
      </w:pPr>
      <w:rPr>
        <w:rFonts w:ascii="Symbol" w:hAnsi="Symbol"/>
      </w:rPr>
    </w:lvl>
    <w:lvl w:ilvl="3" w:tplc="575A6E0A">
      <w:start w:val="1"/>
      <w:numFmt w:val="bullet"/>
      <w:lvlText w:val=""/>
      <w:lvlJc w:val="left"/>
      <w:pPr>
        <w:ind w:left="720" w:hanging="360"/>
      </w:pPr>
      <w:rPr>
        <w:rFonts w:ascii="Symbol" w:hAnsi="Symbol"/>
      </w:rPr>
    </w:lvl>
    <w:lvl w:ilvl="4" w:tplc="04FA37C0">
      <w:start w:val="1"/>
      <w:numFmt w:val="bullet"/>
      <w:lvlText w:val=""/>
      <w:lvlJc w:val="left"/>
      <w:pPr>
        <w:ind w:left="720" w:hanging="360"/>
      </w:pPr>
      <w:rPr>
        <w:rFonts w:ascii="Symbol" w:hAnsi="Symbol"/>
      </w:rPr>
    </w:lvl>
    <w:lvl w:ilvl="5" w:tplc="47C4B190">
      <w:start w:val="1"/>
      <w:numFmt w:val="bullet"/>
      <w:lvlText w:val=""/>
      <w:lvlJc w:val="left"/>
      <w:pPr>
        <w:ind w:left="720" w:hanging="360"/>
      </w:pPr>
      <w:rPr>
        <w:rFonts w:ascii="Symbol" w:hAnsi="Symbol"/>
      </w:rPr>
    </w:lvl>
    <w:lvl w:ilvl="6" w:tplc="89D07078">
      <w:start w:val="1"/>
      <w:numFmt w:val="bullet"/>
      <w:lvlText w:val=""/>
      <w:lvlJc w:val="left"/>
      <w:pPr>
        <w:ind w:left="720" w:hanging="360"/>
      </w:pPr>
      <w:rPr>
        <w:rFonts w:ascii="Symbol" w:hAnsi="Symbol"/>
      </w:rPr>
    </w:lvl>
    <w:lvl w:ilvl="7" w:tplc="213A0726">
      <w:start w:val="1"/>
      <w:numFmt w:val="bullet"/>
      <w:lvlText w:val=""/>
      <w:lvlJc w:val="left"/>
      <w:pPr>
        <w:ind w:left="720" w:hanging="360"/>
      </w:pPr>
      <w:rPr>
        <w:rFonts w:ascii="Symbol" w:hAnsi="Symbol"/>
      </w:rPr>
    </w:lvl>
    <w:lvl w:ilvl="8" w:tplc="9222AF16">
      <w:start w:val="1"/>
      <w:numFmt w:val="bullet"/>
      <w:lvlText w:val=""/>
      <w:lvlJc w:val="left"/>
      <w:pPr>
        <w:ind w:left="720" w:hanging="360"/>
      </w:pPr>
      <w:rPr>
        <w:rFonts w:ascii="Symbol" w:hAnsi="Symbol"/>
      </w:rPr>
    </w:lvl>
  </w:abstractNum>
  <w:abstractNum w:abstractNumId="11" w15:restartNumberingAfterBreak="0">
    <w:nsid w:val="29A55ABA"/>
    <w:multiLevelType w:val="multilevel"/>
    <w:tmpl w:val="1012C652"/>
    <w:lvl w:ilvl="0">
      <w:start w:val="1"/>
      <w:numFmt w:val="decimal"/>
      <w:pStyle w:val="2024HEADER1"/>
      <w:lvlText w:val="%1."/>
      <w:lvlJc w:val="left"/>
      <w:pPr>
        <w:ind w:left="720" w:hanging="360"/>
      </w:pPr>
      <w:rPr>
        <w:rFonts w:hint="default"/>
      </w:rPr>
    </w:lvl>
    <w:lvl w:ilvl="1">
      <w:start w:val="1"/>
      <w:numFmt w:val="decimal"/>
      <w:pStyle w:val="2024HEADER2"/>
      <w:isLgl/>
      <w:lvlText w:val="%1.%2."/>
      <w:lvlJc w:val="left"/>
      <w:pPr>
        <w:ind w:left="1080" w:hanging="720"/>
      </w:pPr>
      <w:rPr>
        <w:rFonts w:hint="default"/>
      </w:rPr>
    </w:lvl>
    <w:lvl w:ilvl="2">
      <w:start w:val="1"/>
      <w:numFmt w:val="decimal"/>
      <w:pStyle w:val="2024HEADER3"/>
      <w:isLgl/>
      <w:lvlText w:val="%1.%2.%3."/>
      <w:lvlJc w:val="left"/>
      <w:pPr>
        <w:ind w:left="179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12" w15:restartNumberingAfterBreak="0">
    <w:nsid w:val="2B3C6825"/>
    <w:multiLevelType w:val="hybridMultilevel"/>
    <w:tmpl w:val="24DA1D2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DD16CD1"/>
    <w:multiLevelType w:val="hybridMultilevel"/>
    <w:tmpl w:val="CC30D3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1137577"/>
    <w:multiLevelType w:val="hybridMultilevel"/>
    <w:tmpl w:val="65B65BD4"/>
    <w:lvl w:ilvl="0" w:tplc="294EFB3E">
      <w:start w:val="1"/>
      <w:numFmt w:val="lowerLetter"/>
      <w:lvlText w:val="%1)"/>
      <w:lvlJc w:val="left"/>
      <w:pPr>
        <w:ind w:left="1020" w:hanging="360"/>
      </w:pPr>
    </w:lvl>
    <w:lvl w:ilvl="1" w:tplc="FB80F69A">
      <w:start w:val="1"/>
      <w:numFmt w:val="lowerLetter"/>
      <w:lvlText w:val="%2)"/>
      <w:lvlJc w:val="left"/>
      <w:pPr>
        <w:ind w:left="1020" w:hanging="360"/>
      </w:pPr>
    </w:lvl>
    <w:lvl w:ilvl="2" w:tplc="395C03AA">
      <w:start w:val="1"/>
      <w:numFmt w:val="lowerLetter"/>
      <w:lvlText w:val="%3)"/>
      <w:lvlJc w:val="left"/>
      <w:pPr>
        <w:ind w:left="1020" w:hanging="360"/>
      </w:pPr>
    </w:lvl>
    <w:lvl w:ilvl="3" w:tplc="DF66E060">
      <w:start w:val="1"/>
      <w:numFmt w:val="lowerLetter"/>
      <w:lvlText w:val="%4)"/>
      <w:lvlJc w:val="left"/>
      <w:pPr>
        <w:ind w:left="1020" w:hanging="360"/>
      </w:pPr>
    </w:lvl>
    <w:lvl w:ilvl="4" w:tplc="5A2CE0F2">
      <w:start w:val="1"/>
      <w:numFmt w:val="lowerLetter"/>
      <w:lvlText w:val="%5)"/>
      <w:lvlJc w:val="left"/>
      <w:pPr>
        <w:ind w:left="1020" w:hanging="360"/>
      </w:pPr>
    </w:lvl>
    <w:lvl w:ilvl="5" w:tplc="6622883E">
      <w:start w:val="1"/>
      <w:numFmt w:val="lowerLetter"/>
      <w:lvlText w:val="%6)"/>
      <w:lvlJc w:val="left"/>
      <w:pPr>
        <w:ind w:left="1020" w:hanging="360"/>
      </w:pPr>
    </w:lvl>
    <w:lvl w:ilvl="6" w:tplc="5DCAA62C">
      <w:start w:val="1"/>
      <w:numFmt w:val="lowerLetter"/>
      <w:lvlText w:val="%7)"/>
      <w:lvlJc w:val="left"/>
      <w:pPr>
        <w:ind w:left="1020" w:hanging="360"/>
      </w:pPr>
    </w:lvl>
    <w:lvl w:ilvl="7" w:tplc="58948E3C">
      <w:start w:val="1"/>
      <w:numFmt w:val="lowerLetter"/>
      <w:lvlText w:val="%8)"/>
      <w:lvlJc w:val="left"/>
      <w:pPr>
        <w:ind w:left="1020" w:hanging="360"/>
      </w:pPr>
    </w:lvl>
    <w:lvl w:ilvl="8" w:tplc="148C96DA">
      <w:start w:val="1"/>
      <w:numFmt w:val="lowerLetter"/>
      <w:lvlText w:val="%9)"/>
      <w:lvlJc w:val="left"/>
      <w:pPr>
        <w:ind w:left="1020" w:hanging="360"/>
      </w:pPr>
    </w:lvl>
  </w:abstractNum>
  <w:abstractNum w:abstractNumId="15" w15:restartNumberingAfterBreak="0">
    <w:nsid w:val="34E151EE"/>
    <w:multiLevelType w:val="hybridMultilevel"/>
    <w:tmpl w:val="2ECA5CE8"/>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52A3BE7"/>
    <w:multiLevelType w:val="hybridMultilevel"/>
    <w:tmpl w:val="8AC2BE5E"/>
    <w:lvl w:ilvl="0" w:tplc="CBC61A30">
      <w:start w:val="1"/>
      <w:numFmt w:val="bullet"/>
      <w:lvlText w:val=""/>
      <w:lvlJc w:val="left"/>
      <w:pPr>
        <w:ind w:left="720" w:hanging="360"/>
      </w:pPr>
      <w:rPr>
        <w:rFonts w:ascii="Symbol" w:hAnsi="Symbol"/>
      </w:rPr>
    </w:lvl>
    <w:lvl w:ilvl="1" w:tplc="0BCE3A0A">
      <w:start w:val="1"/>
      <w:numFmt w:val="bullet"/>
      <w:lvlText w:val=""/>
      <w:lvlJc w:val="left"/>
      <w:pPr>
        <w:ind w:left="720" w:hanging="360"/>
      </w:pPr>
      <w:rPr>
        <w:rFonts w:ascii="Symbol" w:hAnsi="Symbol"/>
      </w:rPr>
    </w:lvl>
    <w:lvl w:ilvl="2" w:tplc="1A580436">
      <w:start w:val="1"/>
      <w:numFmt w:val="bullet"/>
      <w:lvlText w:val=""/>
      <w:lvlJc w:val="left"/>
      <w:pPr>
        <w:ind w:left="720" w:hanging="360"/>
      </w:pPr>
      <w:rPr>
        <w:rFonts w:ascii="Symbol" w:hAnsi="Symbol"/>
      </w:rPr>
    </w:lvl>
    <w:lvl w:ilvl="3" w:tplc="C71E4294">
      <w:start w:val="1"/>
      <w:numFmt w:val="bullet"/>
      <w:lvlText w:val=""/>
      <w:lvlJc w:val="left"/>
      <w:pPr>
        <w:ind w:left="720" w:hanging="360"/>
      </w:pPr>
      <w:rPr>
        <w:rFonts w:ascii="Symbol" w:hAnsi="Symbol"/>
      </w:rPr>
    </w:lvl>
    <w:lvl w:ilvl="4" w:tplc="76FAE76A">
      <w:start w:val="1"/>
      <w:numFmt w:val="bullet"/>
      <w:lvlText w:val=""/>
      <w:lvlJc w:val="left"/>
      <w:pPr>
        <w:ind w:left="720" w:hanging="360"/>
      </w:pPr>
      <w:rPr>
        <w:rFonts w:ascii="Symbol" w:hAnsi="Symbol"/>
      </w:rPr>
    </w:lvl>
    <w:lvl w:ilvl="5" w:tplc="718ED406">
      <w:start w:val="1"/>
      <w:numFmt w:val="bullet"/>
      <w:lvlText w:val=""/>
      <w:lvlJc w:val="left"/>
      <w:pPr>
        <w:ind w:left="720" w:hanging="360"/>
      </w:pPr>
      <w:rPr>
        <w:rFonts w:ascii="Symbol" w:hAnsi="Symbol"/>
      </w:rPr>
    </w:lvl>
    <w:lvl w:ilvl="6" w:tplc="6F64F1FC">
      <w:start w:val="1"/>
      <w:numFmt w:val="bullet"/>
      <w:lvlText w:val=""/>
      <w:lvlJc w:val="left"/>
      <w:pPr>
        <w:ind w:left="720" w:hanging="360"/>
      </w:pPr>
      <w:rPr>
        <w:rFonts w:ascii="Symbol" w:hAnsi="Symbol"/>
      </w:rPr>
    </w:lvl>
    <w:lvl w:ilvl="7" w:tplc="15E449B4">
      <w:start w:val="1"/>
      <w:numFmt w:val="bullet"/>
      <w:lvlText w:val=""/>
      <w:lvlJc w:val="left"/>
      <w:pPr>
        <w:ind w:left="720" w:hanging="360"/>
      </w:pPr>
      <w:rPr>
        <w:rFonts w:ascii="Symbol" w:hAnsi="Symbol"/>
      </w:rPr>
    </w:lvl>
    <w:lvl w:ilvl="8" w:tplc="EDF45A94">
      <w:start w:val="1"/>
      <w:numFmt w:val="bullet"/>
      <w:lvlText w:val=""/>
      <w:lvlJc w:val="left"/>
      <w:pPr>
        <w:ind w:left="720" w:hanging="360"/>
      </w:pPr>
      <w:rPr>
        <w:rFonts w:ascii="Symbol" w:hAnsi="Symbol"/>
      </w:rPr>
    </w:lvl>
  </w:abstractNum>
  <w:abstractNum w:abstractNumId="17" w15:restartNumberingAfterBreak="0">
    <w:nsid w:val="364C2E78"/>
    <w:multiLevelType w:val="hybridMultilevel"/>
    <w:tmpl w:val="CEB806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7A31CBD"/>
    <w:multiLevelType w:val="hybridMultilevel"/>
    <w:tmpl w:val="5574ABE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A0B7787"/>
    <w:multiLevelType w:val="hybridMultilevel"/>
    <w:tmpl w:val="B03C714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AE40FDA"/>
    <w:multiLevelType w:val="multilevel"/>
    <w:tmpl w:val="B6F0B0A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3F4C0A34"/>
    <w:multiLevelType w:val="hybridMultilevel"/>
    <w:tmpl w:val="5A84EF9C"/>
    <w:lvl w:ilvl="0" w:tplc="6FAC7612">
      <w:start w:val="3"/>
      <w:numFmt w:val="bullet"/>
      <w:lvlText w:val="-"/>
      <w:lvlJc w:val="left"/>
      <w:pPr>
        <w:ind w:left="720" w:hanging="360"/>
      </w:pPr>
      <w:rPr>
        <w:rFonts w:ascii="Aptos" w:eastAsia="Times New Roman" w:hAnsi="Aptos"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9602B8D"/>
    <w:multiLevelType w:val="hybridMultilevel"/>
    <w:tmpl w:val="D48A58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B107911"/>
    <w:multiLevelType w:val="hybridMultilevel"/>
    <w:tmpl w:val="B4B4E748"/>
    <w:lvl w:ilvl="0" w:tplc="7AFA2B6C">
      <w:start w:val="1"/>
      <w:numFmt w:val="lowerLetter"/>
      <w:lvlText w:val="%1)"/>
      <w:lvlJc w:val="left"/>
      <w:pPr>
        <w:ind w:left="1020" w:hanging="360"/>
      </w:pPr>
    </w:lvl>
    <w:lvl w:ilvl="1" w:tplc="1D76A9AC">
      <w:start w:val="1"/>
      <w:numFmt w:val="lowerLetter"/>
      <w:lvlText w:val="%2)"/>
      <w:lvlJc w:val="left"/>
      <w:pPr>
        <w:ind w:left="1020" w:hanging="360"/>
      </w:pPr>
    </w:lvl>
    <w:lvl w:ilvl="2" w:tplc="B57E45BE">
      <w:start w:val="1"/>
      <w:numFmt w:val="lowerLetter"/>
      <w:lvlText w:val="%3)"/>
      <w:lvlJc w:val="left"/>
      <w:pPr>
        <w:ind w:left="1020" w:hanging="360"/>
      </w:pPr>
    </w:lvl>
    <w:lvl w:ilvl="3" w:tplc="DAE6671E">
      <w:start w:val="1"/>
      <w:numFmt w:val="lowerLetter"/>
      <w:lvlText w:val="%4)"/>
      <w:lvlJc w:val="left"/>
      <w:pPr>
        <w:ind w:left="1020" w:hanging="360"/>
      </w:pPr>
    </w:lvl>
    <w:lvl w:ilvl="4" w:tplc="560EBC50">
      <w:start w:val="1"/>
      <w:numFmt w:val="lowerLetter"/>
      <w:lvlText w:val="%5)"/>
      <w:lvlJc w:val="left"/>
      <w:pPr>
        <w:ind w:left="1020" w:hanging="360"/>
      </w:pPr>
    </w:lvl>
    <w:lvl w:ilvl="5" w:tplc="D6B22C00">
      <w:start w:val="1"/>
      <w:numFmt w:val="lowerLetter"/>
      <w:lvlText w:val="%6)"/>
      <w:lvlJc w:val="left"/>
      <w:pPr>
        <w:ind w:left="1020" w:hanging="360"/>
      </w:pPr>
    </w:lvl>
    <w:lvl w:ilvl="6" w:tplc="7960FCF0">
      <w:start w:val="1"/>
      <w:numFmt w:val="lowerLetter"/>
      <w:lvlText w:val="%7)"/>
      <w:lvlJc w:val="left"/>
      <w:pPr>
        <w:ind w:left="1020" w:hanging="360"/>
      </w:pPr>
    </w:lvl>
    <w:lvl w:ilvl="7" w:tplc="4816E0DE">
      <w:start w:val="1"/>
      <w:numFmt w:val="lowerLetter"/>
      <w:lvlText w:val="%8)"/>
      <w:lvlJc w:val="left"/>
      <w:pPr>
        <w:ind w:left="1020" w:hanging="360"/>
      </w:pPr>
    </w:lvl>
    <w:lvl w:ilvl="8" w:tplc="4546EBE8">
      <w:start w:val="1"/>
      <w:numFmt w:val="lowerLetter"/>
      <w:lvlText w:val="%9)"/>
      <w:lvlJc w:val="left"/>
      <w:pPr>
        <w:ind w:left="1020" w:hanging="360"/>
      </w:pPr>
    </w:lvl>
  </w:abstractNum>
  <w:abstractNum w:abstractNumId="24" w15:restartNumberingAfterBreak="0">
    <w:nsid w:val="4BFB2065"/>
    <w:multiLevelType w:val="hybridMultilevel"/>
    <w:tmpl w:val="06D8D434"/>
    <w:lvl w:ilvl="0" w:tplc="793C8CBC">
      <w:start w:val="1"/>
      <w:numFmt w:val="bullet"/>
      <w:lvlText w:val=""/>
      <w:lvlJc w:val="left"/>
      <w:pPr>
        <w:ind w:left="720" w:hanging="360"/>
      </w:pPr>
      <w:rPr>
        <w:rFonts w:ascii="Symbol" w:hAnsi="Symbol"/>
      </w:rPr>
    </w:lvl>
    <w:lvl w:ilvl="1" w:tplc="A0CA10E2">
      <w:start w:val="1"/>
      <w:numFmt w:val="bullet"/>
      <w:lvlText w:val=""/>
      <w:lvlJc w:val="left"/>
      <w:pPr>
        <w:ind w:left="720" w:hanging="360"/>
      </w:pPr>
      <w:rPr>
        <w:rFonts w:ascii="Symbol" w:hAnsi="Symbol"/>
      </w:rPr>
    </w:lvl>
    <w:lvl w:ilvl="2" w:tplc="0D641410">
      <w:start w:val="1"/>
      <w:numFmt w:val="bullet"/>
      <w:lvlText w:val=""/>
      <w:lvlJc w:val="left"/>
      <w:pPr>
        <w:ind w:left="720" w:hanging="360"/>
      </w:pPr>
      <w:rPr>
        <w:rFonts w:ascii="Symbol" w:hAnsi="Symbol"/>
      </w:rPr>
    </w:lvl>
    <w:lvl w:ilvl="3" w:tplc="199008CA">
      <w:start w:val="1"/>
      <w:numFmt w:val="bullet"/>
      <w:lvlText w:val=""/>
      <w:lvlJc w:val="left"/>
      <w:pPr>
        <w:ind w:left="720" w:hanging="360"/>
      </w:pPr>
      <w:rPr>
        <w:rFonts w:ascii="Symbol" w:hAnsi="Symbol"/>
      </w:rPr>
    </w:lvl>
    <w:lvl w:ilvl="4" w:tplc="A1D2888C">
      <w:start w:val="1"/>
      <w:numFmt w:val="bullet"/>
      <w:lvlText w:val=""/>
      <w:lvlJc w:val="left"/>
      <w:pPr>
        <w:ind w:left="720" w:hanging="360"/>
      </w:pPr>
      <w:rPr>
        <w:rFonts w:ascii="Symbol" w:hAnsi="Symbol"/>
      </w:rPr>
    </w:lvl>
    <w:lvl w:ilvl="5" w:tplc="D660AA72">
      <w:start w:val="1"/>
      <w:numFmt w:val="bullet"/>
      <w:lvlText w:val=""/>
      <w:lvlJc w:val="left"/>
      <w:pPr>
        <w:ind w:left="720" w:hanging="360"/>
      </w:pPr>
      <w:rPr>
        <w:rFonts w:ascii="Symbol" w:hAnsi="Symbol"/>
      </w:rPr>
    </w:lvl>
    <w:lvl w:ilvl="6" w:tplc="7BACF670">
      <w:start w:val="1"/>
      <w:numFmt w:val="bullet"/>
      <w:lvlText w:val=""/>
      <w:lvlJc w:val="left"/>
      <w:pPr>
        <w:ind w:left="720" w:hanging="360"/>
      </w:pPr>
      <w:rPr>
        <w:rFonts w:ascii="Symbol" w:hAnsi="Symbol"/>
      </w:rPr>
    </w:lvl>
    <w:lvl w:ilvl="7" w:tplc="EE282D8E">
      <w:start w:val="1"/>
      <w:numFmt w:val="bullet"/>
      <w:lvlText w:val=""/>
      <w:lvlJc w:val="left"/>
      <w:pPr>
        <w:ind w:left="720" w:hanging="360"/>
      </w:pPr>
      <w:rPr>
        <w:rFonts w:ascii="Symbol" w:hAnsi="Symbol"/>
      </w:rPr>
    </w:lvl>
    <w:lvl w:ilvl="8" w:tplc="EF787D9A">
      <w:start w:val="1"/>
      <w:numFmt w:val="bullet"/>
      <w:lvlText w:val=""/>
      <w:lvlJc w:val="left"/>
      <w:pPr>
        <w:ind w:left="720" w:hanging="360"/>
      </w:pPr>
      <w:rPr>
        <w:rFonts w:ascii="Symbol" w:hAnsi="Symbol"/>
      </w:rPr>
    </w:lvl>
  </w:abstractNum>
  <w:abstractNum w:abstractNumId="25" w15:restartNumberingAfterBreak="0">
    <w:nsid w:val="54D82721"/>
    <w:multiLevelType w:val="hybridMultilevel"/>
    <w:tmpl w:val="508A373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93F220A"/>
    <w:multiLevelType w:val="hybridMultilevel"/>
    <w:tmpl w:val="25D8440C"/>
    <w:lvl w:ilvl="0" w:tplc="FBB4ACCA">
      <w:start w:val="1"/>
      <w:numFmt w:val="bullet"/>
      <w:lvlText w:val=""/>
      <w:lvlJc w:val="left"/>
      <w:pPr>
        <w:ind w:left="720" w:hanging="360"/>
      </w:pPr>
      <w:rPr>
        <w:rFonts w:ascii="Symbol" w:hAnsi="Symbol"/>
      </w:rPr>
    </w:lvl>
    <w:lvl w:ilvl="1" w:tplc="2F7C255C">
      <w:start w:val="1"/>
      <w:numFmt w:val="bullet"/>
      <w:lvlText w:val=""/>
      <w:lvlJc w:val="left"/>
      <w:pPr>
        <w:ind w:left="720" w:hanging="360"/>
      </w:pPr>
      <w:rPr>
        <w:rFonts w:ascii="Symbol" w:hAnsi="Symbol"/>
      </w:rPr>
    </w:lvl>
    <w:lvl w:ilvl="2" w:tplc="C31A3A1C">
      <w:start w:val="1"/>
      <w:numFmt w:val="bullet"/>
      <w:lvlText w:val=""/>
      <w:lvlJc w:val="left"/>
      <w:pPr>
        <w:ind w:left="720" w:hanging="360"/>
      </w:pPr>
      <w:rPr>
        <w:rFonts w:ascii="Symbol" w:hAnsi="Symbol"/>
      </w:rPr>
    </w:lvl>
    <w:lvl w:ilvl="3" w:tplc="C5A4B4D6">
      <w:start w:val="1"/>
      <w:numFmt w:val="bullet"/>
      <w:lvlText w:val=""/>
      <w:lvlJc w:val="left"/>
      <w:pPr>
        <w:ind w:left="720" w:hanging="360"/>
      </w:pPr>
      <w:rPr>
        <w:rFonts w:ascii="Symbol" w:hAnsi="Symbol"/>
      </w:rPr>
    </w:lvl>
    <w:lvl w:ilvl="4" w:tplc="17DA5504">
      <w:start w:val="1"/>
      <w:numFmt w:val="bullet"/>
      <w:lvlText w:val=""/>
      <w:lvlJc w:val="left"/>
      <w:pPr>
        <w:ind w:left="720" w:hanging="360"/>
      </w:pPr>
      <w:rPr>
        <w:rFonts w:ascii="Symbol" w:hAnsi="Symbol"/>
      </w:rPr>
    </w:lvl>
    <w:lvl w:ilvl="5" w:tplc="D0E2277E">
      <w:start w:val="1"/>
      <w:numFmt w:val="bullet"/>
      <w:lvlText w:val=""/>
      <w:lvlJc w:val="left"/>
      <w:pPr>
        <w:ind w:left="720" w:hanging="360"/>
      </w:pPr>
      <w:rPr>
        <w:rFonts w:ascii="Symbol" w:hAnsi="Symbol"/>
      </w:rPr>
    </w:lvl>
    <w:lvl w:ilvl="6" w:tplc="68866288">
      <w:start w:val="1"/>
      <w:numFmt w:val="bullet"/>
      <w:lvlText w:val=""/>
      <w:lvlJc w:val="left"/>
      <w:pPr>
        <w:ind w:left="720" w:hanging="360"/>
      </w:pPr>
      <w:rPr>
        <w:rFonts w:ascii="Symbol" w:hAnsi="Symbol"/>
      </w:rPr>
    </w:lvl>
    <w:lvl w:ilvl="7" w:tplc="7E04F9C8">
      <w:start w:val="1"/>
      <w:numFmt w:val="bullet"/>
      <w:lvlText w:val=""/>
      <w:lvlJc w:val="left"/>
      <w:pPr>
        <w:ind w:left="720" w:hanging="360"/>
      </w:pPr>
      <w:rPr>
        <w:rFonts w:ascii="Symbol" w:hAnsi="Symbol"/>
      </w:rPr>
    </w:lvl>
    <w:lvl w:ilvl="8" w:tplc="FEBC39F4">
      <w:start w:val="1"/>
      <w:numFmt w:val="bullet"/>
      <w:lvlText w:val=""/>
      <w:lvlJc w:val="left"/>
      <w:pPr>
        <w:ind w:left="720" w:hanging="360"/>
      </w:pPr>
      <w:rPr>
        <w:rFonts w:ascii="Symbol" w:hAnsi="Symbol"/>
      </w:rPr>
    </w:lvl>
  </w:abstractNum>
  <w:abstractNum w:abstractNumId="27" w15:restartNumberingAfterBreak="0">
    <w:nsid w:val="66B91779"/>
    <w:multiLevelType w:val="hybridMultilevel"/>
    <w:tmpl w:val="D382D806"/>
    <w:lvl w:ilvl="0" w:tplc="FFFFFFFF">
      <w:start w:val="1"/>
      <w:numFmt w:val="lowerLetter"/>
      <w:lvlText w:val="%1."/>
      <w:lvlJc w:val="left"/>
      <w:pPr>
        <w:ind w:left="720" w:hanging="360"/>
      </w:pPr>
      <w:rPr>
        <w:rFonts w:ascii="Aptos" w:eastAsia="Calibri" w:hAnsi="Aptos" w:cs="Times New Roman"/>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6B3643C5"/>
    <w:multiLevelType w:val="hybridMultilevel"/>
    <w:tmpl w:val="885A8B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BA3175D"/>
    <w:multiLevelType w:val="multilevel"/>
    <w:tmpl w:val="1B5CEC74"/>
    <w:lvl w:ilvl="0">
      <w:start w:val="1"/>
      <w:numFmt w:val="decimal"/>
      <w:pStyle w:val="ListNumber3"/>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0" w15:restartNumberingAfterBreak="0">
    <w:nsid w:val="6EBD27B9"/>
    <w:multiLevelType w:val="hybridMultilevel"/>
    <w:tmpl w:val="3D36A872"/>
    <w:lvl w:ilvl="0" w:tplc="D0B0A95C">
      <w:start w:val="1"/>
      <w:numFmt w:val="lowerLetter"/>
      <w:lvlText w:val="%1)"/>
      <w:lvlJc w:val="left"/>
      <w:pPr>
        <w:ind w:left="1020" w:hanging="360"/>
      </w:pPr>
    </w:lvl>
    <w:lvl w:ilvl="1" w:tplc="9EF6ACB6">
      <w:start w:val="1"/>
      <w:numFmt w:val="lowerLetter"/>
      <w:lvlText w:val="%2)"/>
      <w:lvlJc w:val="left"/>
      <w:pPr>
        <w:ind w:left="1020" w:hanging="360"/>
      </w:pPr>
    </w:lvl>
    <w:lvl w:ilvl="2" w:tplc="32EAB366">
      <w:start w:val="1"/>
      <w:numFmt w:val="lowerLetter"/>
      <w:lvlText w:val="%3)"/>
      <w:lvlJc w:val="left"/>
      <w:pPr>
        <w:ind w:left="1020" w:hanging="360"/>
      </w:pPr>
    </w:lvl>
    <w:lvl w:ilvl="3" w:tplc="E3A6056C">
      <w:start w:val="1"/>
      <w:numFmt w:val="lowerLetter"/>
      <w:lvlText w:val="%4)"/>
      <w:lvlJc w:val="left"/>
      <w:pPr>
        <w:ind w:left="1020" w:hanging="360"/>
      </w:pPr>
    </w:lvl>
    <w:lvl w:ilvl="4" w:tplc="43EC0CC2">
      <w:start w:val="1"/>
      <w:numFmt w:val="lowerLetter"/>
      <w:lvlText w:val="%5)"/>
      <w:lvlJc w:val="left"/>
      <w:pPr>
        <w:ind w:left="1020" w:hanging="360"/>
      </w:pPr>
    </w:lvl>
    <w:lvl w:ilvl="5" w:tplc="BEF43CF4">
      <w:start w:val="1"/>
      <w:numFmt w:val="lowerLetter"/>
      <w:lvlText w:val="%6)"/>
      <w:lvlJc w:val="left"/>
      <w:pPr>
        <w:ind w:left="1020" w:hanging="360"/>
      </w:pPr>
    </w:lvl>
    <w:lvl w:ilvl="6" w:tplc="B95C6FDA">
      <w:start w:val="1"/>
      <w:numFmt w:val="lowerLetter"/>
      <w:lvlText w:val="%7)"/>
      <w:lvlJc w:val="left"/>
      <w:pPr>
        <w:ind w:left="1020" w:hanging="360"/>
      </w:pPr>
    </w:lvl>
    <w:lvl w:ilvl="7" w:tplc="724EB10E">
      <w:start w:val="1"/>
      <w:numFmt w:val="lowerLetter"/>
      <w:lvlText w:val="%8)"/>
      <w:lvlJc w:val="left"/>
      <w:pPr>
        <w:ind w:left="1020" w:hanging="360"/>
      </w:pPr>
    </w:lvl>
    <w:lvl w:ilvl="8" w:tplc="EFC4CFC2">
      <w:start w:val="1"/>
      <w:numFmt w:val="lowerLetter"/>
      <w:lvlText w:val="%9)"/>
      <w:lvlJc w:val="left"/>
      <w:pPr>
        <w:ind w:left="1020" w:hanging="360"/>
      </w:pPr>
    </w:lvl>
  </w:abstractNum>
  <w:abstractNum w:abstractNumId="31" w15:restartNumberingAfterBreak="0">
    <w:nsid w:val="6F8F0D8A"/>
    <w:multiLevelType w:val="hybridMultilevel"/>
    <w:tmpl w:val="B03C7144"/>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6F9610EB"/>
    <w:multiLevelType w:val="hybridMultilevel"/>
    <w:tmpl w:val="2ECA5CE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3C06807"/>
    <w:multiLevelType w:val="hybridMultilevel"/>
    <w:tmpl w:val="E386405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86A43FC"/>
    <w:multiLevelType w:val="hybridMultilevel"/>
    <w:tmpl w:val="BFF46D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8884507"/>
    <w:multiLevelType w:val="hybridMultilevel"/>
    <w:tmpl w:val="3A0C5ED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98E218A"/>
    <w:multiLevelType w:val="hybridMultilevel"/>
    <w:tmpl w:val="E25C889A"/>
    <w:lvl w:ilvl="0" w:tplc="052EF89C">
      <w:start w:val="1"/>
      <w:numFmt w:val="bullet"/>
      <w:lvlText w:val=""/>
      <w:lvlJc w:val="left"/>
      <w:pPr>
        <w:ind w:left="720" w:hanging="360"/>
      </w:pPr>
      <w:rPr>
        <w:rFonts w:ascii="Symbol" w:hAnsi="Symbol"/>
      </w:rPr>
    </w:lvl>
    <w:lvl w:ilvl="1" w:tplc="2284A13A">
      <w:start w:val="1"/>
      <w:numFmt w:val="bullet"/>
      <w:lvlText w:val=""/>
      <w:lvlJc w:val="left"/>
      <w:pPr>
        <w:ind w:left="720" w:hanging="360"/>
      </w:pPr>
      <w:rPr>
        <w:rFonts w:ascii="Symbol" w:hAnsi="Symbol"/>
      </w:rPr>
    </w:lvl>
    <w:lvl w:ilvl="2" w:tplc="98CC60A0">
      <w:start w:val="1"/>
      <w:numFmt w:val="bullet"/>
      <w:lvlText w:val=""/>
      <w:lvlJc w:val="left"/>
      <w:pPr>
        <w:ind w:left="720" w:hanging="360"/>
      </w:pPr>
      <w:rPr>
        <w:rFonts w:ascii="Symbol" w:hAnsi="Symbol"/>
      </w:rPr>
    </w:lvl>
    <w:lvl w:ilvl="3" w:tplc="713A4E20">
      <w:start w:val="1"/>
      <w:numFmt w:val="bullet"/>
      <w:lvlText w:val=""/>
      <w:lvlJc w:val="left"/>
      <w:pPr>
        <w:ind w:left="720" w:hanging="360"/>
      </w:pPr>
      <w:rPr>
        <w:rFonts w:ascii="Symbol" w:hAnsi="Symbol"/>
      </w:rPr>
    </w:lvl>
    <w:lvl w:ilvl="4" w:tplc="7E945A1A">
      <w:start w:val="1"/>
      <w:numFmt w:val="bullet"/>
      <w:lvlText w:val=""/>
      <w:lvlJc w:val="left"/>
      <w:pPr>
        <w:ind w:left="720" w:hanging="360"/>
      </w:pPr>
      <w:rPr>
        <w:rFonts w:ascii="Symbol" w:hAnsi="Symbol"/>
      </w:rPr>
    </w:lvl>
    <w:lvl w:ilvl="5" w:tplc="093CB084">
      <w:start w:val="1"/>
      <w:numFmt w:val="bullet"/>
      <w:lvlText w:val=""/>
      <w:lvlJc w:val="left"/>
      <w:pPr>
        <w:ind w:left="720" w:hanging="360"/>
      </w:pPr>
      <w:rPr>
        <w:rFonts w:ascii="Symbol" w:hAnsi="Symbol"/>
      </w:rPr>
    </w:lvl>
    <w:lvl w:ilvl="6" w:tplc="44EED1C4">
      <w:start w:val="1"/>
      <w:numFmt w:val="bullet"/>
      <w:lvlText w:val=""/>
      <w:lvlJc w:val="left"/>
      <w:pPr>
        <w:ind w:left="720" w:hanging="360"/>
      </w:pPr>
      <w:rPr>
        <w:rFonts w:ascii="Symbol" w:hAnsi="Symbol"/>
      </w:rPr>
    </w:lvl>
    <w:lvl w:ilvl="7" w:tplc="E580F06E">
      <w:start w:val="1"/>
      <w:numFmt w:val="bullet"/>
      <w:lvlText w:val=""/>
      <w:lvlJc w:val="left"/>
      <w:pPr>
        <w:ind w:left="720" w:hanging="360"/>
      </w:pPr>
      <w:rPr>
        <w:rFonts w:ascii="Symbol" w:hAnsi="Symbol"/>
      </w:rPr>
    </w:lvl>
    <w:lvl w:ilvl="8" w:tplc="53C2A034">
      <w:start w:val="1"/>
      <w:numFmt w:val="bullet"/>
      <w:lvlText w:val=""/>
      <w:lvlJc w:val="left"/>
      <w:pPr>
        <w:ind w:left="720" w:hanging="360"/>
      </w:pPr>
      <w:rPr>
        <w:rFonts w:ascii="Symbol" w:hAnsi="Symbol"/>
      </w:rPr>
    </w:lvl>
  </w:abstractNum>
  <w:abstractNum w:abstractNumId="37" w15:restartNumberingAfterBreak="0">
    <w:nsid w:val="7CC43382"/>
    <w:multiLevelType w:val="hybridMultilevel"/>
    <w:tmpl w:val="86609D64"/>
    <w:lvl w:ilvl="0" w:tplc="7F44FB28">
      <w:start w:val="1"/>
      <w:numFmt w:val="bullet"/>
      <w:lvlText w:val=""/>
      <w:lvlJc w:val="left"/>
      <w:pPr>
        <w:ind w:left="720" w:hanging="360"/>
      </w:pPr>
      <w:rPr>
        <w:rFonts w:ascii="Symbol" w:hAnsi="Symbol"/>
      </w:rPr>
    </w:lvl>
    <w:lvl w:ilvl="1" w:tplc="B002B07A">
      <w:start w:val="1"/>
      <w:numFmt w:val="bullet"/>
      <w:lvlText w:val=""/>
      <w:lvlJc w:val="left"/>
      <w:pPr>
        <w:ind w:left="720" w:hanging="360"/>
      </w:pPr>
      <w:rPr>
        <w:rFonts w:ascii="Symbol" w:hAnsi="Symbol"/>
      </w:rPr>
    </w:lvl>
    <w:lvl w:ilvl="2" w:tplc="D9843C82">
      <w:start w:val="1"/>
      <w:numFmt w:val="bullet"/>
      <w:lvlText w:val=""/>
      <w:lvlJc w:val="left"/>
      <w:pPr>
        <w:ind w:left="720" w:hanging="360"/>
      </w:pPr>
      <w:rPr>
        <w:rFonts w:ascii="Symbol" w:hAnsi="Symbol"/>
      </w:rPr>
    </w:lvl>
    <w:lvl w:ilvl="3" w:tplc="C40A4C84">
      <w:start w:val="1"/>
      <w:numFmt w:val="bullet"/>
      <w:lvlText w:val=""/>
      <w:lvlJc w:val="left"/>
      <w:pPr>
        <w:ind w:left="720" w:hanging="360"/>
      </w:pPr>
      <w:rPr>
        <w:rFonts w:ascii="Symbol" w:hAnsi="Symbol"/>
      </w:rPr>
    </w:lvl>
    <w:lvl w:ilvl="4" w:tplc="CC7643A4">
      <w:start w:val="1"/>
      <w:numFmt w:val="bullet"/>
      <w:lvlText w:val=""/>
      <w:lvlJc w:val="left"/>
      <w:pPr>
        <w:ind w:left="720" w:hanging="360"/>
      </w:pPr>
      <w:rPr>
        <w:rFonts w:ascii="Symbol" w:hAnsi="Symbol"/>
      </w:rPr>
    </w:lvl>
    <w:lvl w:ilvl="5" w:tplc="6CB848B4">
      <w:start w:val="1"/>
      <w:numFmt w:val="bullet"/>
      <w:lvlText w:val=""/>
      <w:lvlJc w:val="left"/>
      <w:pPr>
        <w:ind w:left="720" w:hanging="360"/>
      </w:pPr>
      <w:rPr>
        <w:rFonts w:ascii="Symbol" w:hAnsi="Symbol"/>
      </w:rPr>
    </w:lvl>
    <w:lvl w:ilvl="6" w:tplc="8F320196">
      <w:start w:val="1"/>
      <w:numFmt w:val="bullet"/>
      <w:lvlText w:val=""/>
      <w:lvlJc w:val="left"/>
      <w:pPr>
        <w:ind w:left="720" w:hanging="360"/>
      </w:pPr>
      <w:rPr>
        <w:rFonts w:ascii="Symbol" w:hAnsi="Symbol"/>
      </w:rPr>
    </w:lvl>
    <w:lvl w:ilvl="7" w:tplc="45EE5096">
      <w:start w:val="1"/>
      <w:numFmt w:val="bullet"/>
      <w:lvlText w:val=""/>
      <w:lvlJc w:val="left"/>
      <w:pPr>
        <w:ind w:left="720" w:hanging="360"/>
      </w:pPr>
      <w:rPr>
        <w:rFonts w:ascii="Symbol" w:hAnsi="Symbol"/>
      </w:rPr>
    </w:lvl>
    <w:lvl w:ilvl="8" w:tplc="EC8C4DD8">
      <w:start w:val="1"/>
      <w:numFmt w:val="bullet"/>
      <w:lvlText w:val=""/>
      <w:lvlJc w:val="left"/>
      <w:pPr>
        <w:ind w:left="720" w:hanging="360"/>
      </w:pPr>
      <w:rPr>
        <w:rFonts w:ascii="Symbol" w:hAnsi="Symbol"/>
      </w:rPr>
    </w:lvl>
  </w:abstractNum>
  <w:abstractNum w:abstractNumId="38" w15:restartNumberingAfterBreak="0">
    <w:nsid w:val="7EBC44E5"/>
    <w:multiLevelType w:val="hybridMultilevel"/>
    <w:tmpl w:val="AA529976"/>
    <w:lvl w:ilvl="0" w:tplc="B9F8FE06">
      <w:start w:val="1"/>
      <w:numFmt w:val="bullet"/>
      <w:lvlText w:val=""/>
      <w:lvlJc w:val="left"/>
      <w:pPr>
        <w:ind w:left="720" w:hanging="360"/>
      </w:pPr>
      <w:rPr>
        <w:rFonts w:ascii="Symbol" w:hAnsi="Symbol"/>
      </w:rPr>
    </w:lvl>
    <w:lvl w:ilvl="1" w:tplc="F41C8358">
      <w:start w:val="1"/>
      <w:numFmt w:val="bullet"/>
      <w:lvlText w:val=""/>
      <w:lvlJc w:val="left"/>
      <w:pPr>
        <w:ind w:left="720" w:hanging="360"/>
      </w:pPr>
      <w:rPr>
        <w:rFonts w:ascii="Symbol" w:hAnsi="Symbol"/>
      </w:rPr>
    </w:lvl>
    <w:lvl w:ilvl="2" w:tplc="5D6C6BC8">
      <w:start w:val="1"/>
      <w:numFmt w:val="bullet"/>
      <w:lvlText w:val=""/>
      <w:lvlJc w:val="left"/>
      <w:pPr>
        <w:ind w:left="720" w:hanging="360"/>
      </w:pPr>
      <w:rPr>
        <w:rFonts w:ascii="Symbol" w:hAnsi="Symbol"/>
      </w:rPr>
    </w:lvl>
    <w:lvl w:ilvl="3" w:tplc="6FFA3F3A">
      <w:start w:val="1"/>
      <w:numFmt w:val="bullet"/>
      <w:lvlText w:val=""/>
      <w:lvlJc w:val="left"/>
      <w:pPr>
        <w:ind w:left="720" w:hanging="360"/>
      </w:pPr>
      <w:rPr>
        <w:rFonts w:ascii="Symbol" w:hAnsi="Symbol"/>
      </w:rPr>
    </w:lvl>
    <w:lvl w:ilvl="4" w:tplc="EEA8336E">
      <w:start w:val="1"/>
      <w:numFmt w:val="bullet"/>
      <w:lvlText w:val=""/>
      <w:lvlJc w:val="left"/>
      <w:pPr>
        <w:ind w:left="720" w:hanging="360"/>
      </w:pPr>
      <w:rPr>
        <w:rFonts w:ascii="Symbol" w:hAnsi="Symbol"/>
      </w:rPr>
    </w:lvl>
    <w:lvl w:ilvl="5" w:tplc="5A5019CA">
      <w:start w:val="1"/>
      <w:numFmt w:val="bullet"/>
      <w:lvlText w:val=""/>
      <w:lvlJc w:val="left"/>
      <w:pPr>
        <w:ind w:left="720" w:hanging="360"/>
      </w:pPr>
      <w:rPr>
        <w:rFonts w:ascii="Symbol" w:hAnsi="Symbol"/>
      </w:rPr>
    </w:lvl>
    <w:lvl w:ilvl="6" w:tplc="BDF84F04">
      <w:start w:val="1"/>
      <w:numFmt w:val="bullet"/>
      <w:lvlText w:val=""/>
      <w:lvlJc w:val="left"/>
      <w:pPr>
        <w:ind w:left="720" w:hanging="360"/>
      </w:pPr>
      <w:rPr>
        <w:rFonts w:ascii="Symbol" w:hAnsi="Symbol"/>
      </w:rPr>
    </w:lvl>
    <w:lvl w:ilvl="7" w:tplc="D2E88E0A">
      <w:start w:val="1"/>
      <w:numFmt w:val="bullet"/>
      <w:lvlText w:val=""/>
      <w:lvlJc w:val="left"/>
      <w:pPr>
        <w:ind w:left="720" w:hanging="360"/>
      </w:pPr>
      <w:rPr>
        <w:rFonts w:ascii="Symbol" w:hAnsi="Symbol"/>
      </w:rPr>
    </w:lvl>
    <w:lvl w:ilvl="8" w:tplc="794E2A5E">
      <w:start w:val="1"/>
      <w:numFmt w:val="bullet"/>
      <w:lvlText w:val=""/>
      <w:lvlJc w:val="left"/>
      <w:pPr>
        <w:ind w:left="720" w:hanging="360"/>
      </w:pPr>
      <w:rPr>
        <w:rFonts w:ascii="Symbol" w:hAnsi="Symbol"/>
      </w:rPr>
    </w:lvl>
  </w:abstractNum>
  <w:abstractNum w:abstractNumId="39" w15:restartNumberingAfterBreak="0">
    <w:nsid w:val="7FC57A68"/>
    <w:multiLevelType w:val="hybridMultilevel"/>
    <w:tmpl w:val="5EC05584"/>
    <w:lvl w:ilvl="0" w:tplc="261EA9E8">
      <w:start w:val="1"/>
      <w:numFmt w:val="lowerLetter"/>
      <w:lvlText w:val="%1)"/>
      <w:lvlJc w:val="left"/>
      <w:pPr>
        <w:ind w:left="1020" w:hanging="360"/>
      </w:pPr>
    </w:lvl>
    <w:lvl w:ilvl="1" w:tplc="BC244C68">
      <w:start w:val="1"/>
      <w:numFmt w:val="lowerLetter"/>
      <w:lvlText w:val="%2)"/>
      <w:lvlJc w:val="left"/>
      <w:pPr>
        <w:ind w:left="1020" w:hanging="360"/>
      </w:pPr>
    </w:lvl>
    <w:lvl w:ilvl="2" w:tplc="8BCEE70C">
      <w:start w:val="1"/>
      <w:numFmt w:val="lowerLetter"/>
      <w:lvlText w:val="%3)"/>
      <w:lvlJc w:val="left"/>
      <w:pPr>
        <w:ind w:left="1020" w:hanging="360"/>
      </w:pPr>
    </w:lvl>
    <w:lvl w:ilvl="3" w:tplc="4CB8B7EE">
      <w:start w:val="1"/>
      <w:numFmt w:val="lowerLetter"/>
      <w:lvlText w:val="%4)"/>
      <w:lvlJc w:val="left"/>
      <w:pPr>
        <w:ind w:left="1020" w:hanging="360"/>
      </w:pPr>
    </w:lvl>
    <w:lvl w:ilvl="4" w:tplc="ACE41750">
      <w:start w:val="1"/>
      <w:numFmt w:val="lowerLetter"/>
      <w:lvlText w:val="%5)"/>
      <w:lvlJc w:val="left"/>
      <w:pPr>
        <w:ind w:left="1020" w:hanging="360"/>
      </w:pPr>
    </w:lvl>
    <w:lvl w:ilvl="5" w:tplc="CC8CA112">
      <w:start w:val="1"/>
      <w:numFmt w:val="lowerLetter"/>
      <w:lvlText w:val="%6)"/>
      <w:lvlJc w:val="left"/>
      <w:pPr>
        <w:ind w:left="1020" w:hanging="360"/>
      </w:pPr>
    </w:lvl>
    <w:lvl w:ilvl="6" w:tplc="DA7C43A2">
      <w:start w:val="1"/>
      <w:numFmt w:val="lowerLetter"/>
      <w:lvlText w:val="%7)"/>
      <w:lvlJc w:val="left"/>
      <w:pPr>
        <w:ind w:left="1020" w:hanging="360"/>
      </w:pPr>
    </w:lvl>
    <w:lvl w:ilvl="7" w:tplc="07128962">
      <w:start w:val="1"/>
      <w:numFmt w:val="lowerLetter"/>
      <w:lvlText w:val="%8)"/>
      <w:lvlJc w:val="left"/>
      <w:pPr>
        <w:ind w:left="1020" w:hanging="360"/>
      </w:pPr>
    </w:lvl>
    <w:lvl w:ilvl="8" w:tplc="05B69998">
      <w:start w:val="1"/>
      <w:numFmt w:val="lowerLetter"/>
      <w:lvlText w:val="%9)"/>
      <w:lvlJc w:val="left"/>
      <w:pPr>
        <w:ind w:left="1020" w:hanging="360"/>
      </w:pPr>
    </w:lvl>
  </w:abstractNum>
  <w:num w:numId="1" w16cid:durableId="451901938">
    <w:abstractNumId w:val="20"/>
  </w:num>
  <w:num w:numId="2" w16cid:durableId="95256374">
    <w:abstractNumId w:val="7"/>
  </w:num>
  <w:num w:numId="3" w16cid:durableId="334263029">
    <w:abstractNumId w:val="6"/>
  </w:num>
  <w:num w:numId="4" w16cid:durableId="1932883867">
    <w:abstractNumId w:val="3"/>
  </w:num>
  <w:num w:numId="5" w16cid:durableId="669135592">
    <w:abstractNumId w:val="11"/>
  </w:num>
  <w:num w:numId="6" w16cid:durableId="1460764175">
    <w:abstractNumId w:val="28"/>
  </w:num>
  <w:num w:numId="7" w16cid:durableId="1822379432">
    <w:abstractNumId w:val="11"/>
  </w:num>
  <w:num w:numId="8" w16cid:durableId="158232940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896964674">
    <w:abstractNumId w:val="22"/>
  </w:num>
  <w:num w:numId="10" w16cid:durableId="1343243231">
    <w:abstractNumId w:val="34"/>
  </w:num>
  <w:num w:numId="11" w16cid:durableId="1299727168">
    <w:abstractNumId w:val="17"/>
  </w:num>
  <w:num w:numId="12" w16cid:durableId="1302734500">
    <w:abstractNumId w:val="12"/>
  </w:num>
  <w:num w:numId="13" w16cid:durableId="178278438">
    <w:abstractNumId w:val="32"/>
  </w:num>
  <w:num w:numId="14" w16cid:durableId="5349721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40792005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907446783">
    <w:abstractNumId w:val="1"/>
  </w:num>
  <w:num w:numId="17" w16cid:durableId="22552825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539168112">
    <w:abstractNumId w:val="27"/>
  </w:num>
  <w:num w:numId="19" w16cid:durableId="188227701">
    <w:abstractNumId w:val="19"/>
  </w:num>
  <w:num w:numId="20" w16cid:durableId="541096717">
    <w:abstractNumId w:val="31"/>
  </w:num>
  <w:num w:numId="21" w16cid:durableId="993408341">
    <w:abstractNumId w:val="13"/>
  </w:num>
  <w:num w:numId="22" w16cid:durableId="296228538">
    <w:abstractNumId w:val="4"/>
  </w:num>
  <w:num w:numId="23" w16cid:durableId="1946300351">
    <w:abstractNumId w:val="33"/>
  </w:num>
  <w:num w:numId="24" w16cid:durableId="1723138621">
    <w:abstractNumId w:val="21"/>
  </w:num>
  <w:num w:numId="25" w16cid:durableId="14483511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648700686">
    <w:abstractNumId w:val="9"/>
  </w:num>
  <w:num w:numId="27" w16cid:durableId="1556768887">
    <w:abstractNumId w:val="5"/>
  </w:num>
  <w:num w:numId="28" w16cid:durableId="1374159464">
    <w:abstractNumId w:val="29"/>
  </w:num>
  <w:num w:numId="29" w16cid:durableId="40636494">
    <w:abstractNumId w:val="18"/>
  </w:num>
  <w:num w:numId="30" w16cid:durableId="1848711002">
    <w:abstractNumId w:val="15"/>
  </w:num>
  <w:num w:numId="31" w16cid:durableId="633485185">
    <w:abstractNumId w:val="35"/>
  </w:num>
  <w:num w:numId="32" w16cid:durableId="233929003">
    <w:abstractNumId w:val="25"/>
  </w:num>
  <w:num w:numId="33" w16cid:durableId="561209548">
    <w:abstractNumId w:val="11"/>
    <w:lvlOverride w:ilvl="0">
      <w:startOverride w:val="4"/>
    </w:lvlOverride>
    <w:lvlOverride w:ilvl="1">
      <w:startOverride w:val="3"/>
    </w:lvlOverride>
    <w:lvlOverride w:ilvl="2">
      <w:startOverride w:val="8"/>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81942496">
    <w:abstractNumId w:val="24"/>
  </w:num>
  <w:num w:numId="35" w16cid:durableId="1816993779">
    <w:abstractNumId w:val="30"/>
  </w:num>
  <w:num w:numId="36" w16cid:durableId="1704090163">
    <w:abstractNumId w:val="8"/>
  </w:num>
  <w:num w:numId="37" w16cid:durableId="1312444853">
    <w:abstractNumId w:val="36"/>
  </w:num>
  <w:num w:numId="38" w16cid:durableId="1700934671">
    <w:abstractNumId w:val="0"/>
  </w:num>
  <w:num w:numId="39" w16cid:durableId="1278290356">
    <w:abstractNumId w:val="26"/>
  </w:num>
  <w:num w:numId="40" w16cid:durableId="811287837">
    <w:abstractNumId w:val="10"/>
  </w:num>
  <w:num w:numId="41" w16cid:durableId="1726297717">
    <w:abstractNumId w:val="39"/>
  </w:num>
  <w:num w:numId="42" w16cid:durableId="2021731867">
    <w:abstractNumId w:val="37"/>
  </w:num>
  <w:num w:numId="43" w16cid:durableId="684751981">
    <w:abstractNumId w:val="16"/>
  </w:num>
  <w:num w:numId="44" w16cid:durableId="1815372964">
    <w:abstractNumId w:val="23"/>
  </w:num>
  <w:num w:numId="45" w16cid:durableId="1422721874">
    <w:abstractNumId w:val="38"/>
  </w:num>
  <w:num w:numId="46" w16cid:durableId="566038476">
    <w:abstractNumId w:val="2"/>
  </w:num>
  <w:num w:numId="47" w16cid:durableId="1179197192">
    <w:abstractNumId w:val="14"/>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83"/>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0&lt;/Enabled&gt;&lt;ScanUnformatted&gt;1&lt;/ScanUnformatted&gt;&lt;ScanChanges&gt;1&lt;/ScanChanges&gt;&lt;Suspended&gt;1&lt;/Suspended&gt;&lt;/ENInstantFormat&gt;"/>
    <w:docVar w:name="EN.Layout" w:val="&lt;ENLayout&gt;&lt;Style&gt;Vancouver&lt;/Style&gt;&lt;LeftDelim&gt;{&lt;/LeftDelim&gt;&lt;RightDelim&gt;}&lt;/RightDelim&gt;&lt;FontName&gt;Arial&lt;/FontName&gt;&lt;FontSize&gt;10&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wwdz5rt27s29tnepzr95srp02rdre5s0aapt&quot;&gt;Naturopathy&lt;record-ids&gt;&lt;item&gt;1&lt;/item&gt;&lt;item&gt;2&lt;/item&gt;&lt;item&gt;3&lt;/item&gt;&lt;item&gt;4&lt;/item&gt;&lt;item&gt;6&lt;/item&gt;&lt;item&gt;7&lt;/item&gt;&lt;item&gt;8&lt;/item&gt;&lt;item&gt;14&lt;/item&gt;&lt;item&gt;29&lt;/item&gt;&lt;item&gt;30&lt;/item&gt;&lt;item&gt;31&lt;/item&gt;&lt;item&gt;32&lt;/item&gt;&lt;item&gt;33&lt;/item&gt;&lt;item&gt;34&lt;/item&gt;&lt;item&gt;36&lt;/item&gt;&lt;item&gt;38&lt;/item&gt;&lt;item&gt;39&lt;/item&gt;&lt;item&gt;40&lt;/item&gt;&lt;item&gt;41&lt;/item&gt;&lt;item&gt;42&lt;/item&gt;&lt;item&gt;44&lt;/item&gt;&lt;item&gt;45&lt;/item&gt;&lt;item&gt;46&lt;/item&gt;&lt;item&gt;47&lt;/item&gt;&lt;item&gt;48&lt;/item&gt;&lt;item&gt;50&lt;/item&gt;&lt;item&gt;51&lt;/item&gt;&lt;item&gt;52&lt;/item&gt;&lt;item&gt;53&lt;/item&gt;&lt;item&gt;54&lt;/item&gt;&lt;item&gt;55&lt;/item&gt;&lt;item&gt;56&lt;/item&gt;&lt;item&gt;57&lt;/item&gt;&lt;item&gt;58&lt;/item&gt;&lt;item&gt;59&lt;/item&gt;&lt;item&gt;60&lt;/item&gt;&lt;item&gt;61&lt;/item&gt;&lt;item&gt;62&lt;/item&gt;&lt;item&gt;63&lt;/item&gt;&lt;item&gt;64&lt;/item&gt;&lt;item&gt;65&lt;/item&gt;&lt;item&gt;66&lt;/item&gt;&lt;item&gt;67&lt;/item&gt;&lt;item&gt;68&lt;/item&gt;&lt;item&gt;69&lt;/item&gt;&lt;item&gt;70&lt;/item&gt;&lt;item&gt;71&lt;/item&gt;&lt;item&gt;72&lt;/item&gt;&lt;item&gt;73&lt;/item&gt;&lt;item&gt;74&lt;/item&gt;&lt;item&gt;76&lt;/item&gt;&lt;item&gt;77&lt;/item&gt;&lt;item&gt;78&lt;/item&gt;&lt;item&gt;79&lt;/item&gt;&lt;item&gt;83&lt;/item&gt;&lt;item&gt;84&lt;/item&gt;&lt;item&gt;85&lt;/item&gt;&lt;item&gt;86&lt;/item&gt;&lt;item&gt;87&lt;/item&gt;&lt;item&gt;88&lt;/item&gt;&lt;item&gt;89&lt;/item&gt;&lt;item&gt;90&lt;/item&gt;&lt;item&gt;91&lt;/item&gt;&lt;item&gt;92&lt;/item&gt;&lt;item&gt;93&lt;/item&gt;&lt;item&gt;94&lt;/item&gt;&lt;item&gt;95&lt;/item&gt;&lt;item&gt;96&lt;/item&gt;&lt;item&gt;98&lt;/item&gt;&lt;item&gt;99&lt;/item&gt;&lt;item&gt;101&lt;/item&gt;&lt;item&gt;102&lt;/item&gt;&lt;item&gt;104&lt;/item&gt;&lt;item&gt;105&lt;/item&gt;&lt;item&gt;106&lt;/item&gt;&lt;item&gt;107&lt;/item&gt;&lt;item&gt;108&lt;/item&gt;&lt;item&gt;109&lt;/item&gt;&lt;item&gt;110&lt;/item&gt;&lt;item&gt;111&lt;/item&gt;&lt;item&gt;112&lt;/item&gt;&lt;item&gt;113&lt;/item&gt;&lt;item&gt;114&lt;/item&gt;&lt;item&gt;115&lt;/item&gt;&lt;item&gt;116&lt;/item&gt;&lt;item&gt;117&lt;/item&gt;&lt;item&gt;118&lt;/item&gt;&lt;item&gt;119&lt;/item&gt;&lt;item&gt;120&lt;/item&gt;&lt;item&gt;121&lt;/item&gt;&lt;item&gt;122&lt;/item&gt;&lt;item&gt;123&lt;/item&gt;&lt;item&gt;125&lt;/item&gt;&lt;item&gt;126&lt;/item&gt;&lt;item&gt;127&lt;/item&gt;&lt;item&gt;128&lt;/item&gt;&lt;item&gt;129&lt;/item&gt;&lt;item&gt;130&lt;/item&gt;&lt;item&gt;131&lt;/item&gt;&lt;item&gt;132&lt;/item&gt;&lt;item&gt;133&lt;/item&gt;&lt;item&gt;134&lt;/item&gt;&lt;item&gt;135&lt;/item&gt;&lt;item&gt;136&lt;/item&gt;&lt;item&gt;137&lt;/item&gt;&lt;item&gt;138&lt;/item&gt;&lt;item&gt;139&lt;/item&gt;&lt;item&gt;140&lt;/item&gt;&lt;item&gt;141&lt;/item&gt;&lt;item&gt;142&lt;/item&gt;&lt;item&gt;143&lt;/item&gt;&lt;item&gt;146&lt;/item&gt;&lt;item&gt;147&lt;/item&gt;&lt;item&gt;148&lt;/item&gt;&lt;item&gt;149&lt;/item&gt;&lt;item&gt;150&lt;/item&gt;&lt;item&gt;151&lt;/item&gt;&lt;item&gt;152&lt;/item&gt;&lt;item&gt;153&lt;/item&gt;&lt;item&gt;154&lt;/item&gt;&lt;item&gt;155&lt;/item&gt;&lt;item&gt;157&lt;/item&gt;&lt;item&gt;158&lt;/item&gt;&lt;item&gt;159&lt;/item&gt;&lt;item&gt;160&lt;/item&gt;&lt;item&gt;161&lt;/item&gt;&lt;item&gt;162&lt;/item&gt;&lt;item&gt;163&lt;/item&gt;&lt;item&gt;164&lt;/item&gt;&lt;item&gt;165&lt;/item&gt;&lt;item&gt;166&lt;/item&gt;&lt;item&gt;167&lt;/item&gt;&lt;item&gt;196&lt;/item&gt;&lt;item&gt;197&lt;/item&gt;&lt;item&gt;198&lt;/item&gt;&lt;item&gt;200&lt;/item&gt;&lt;item&gt;201&lt;/item&gt;&lt;item&gt;202&lt;/item&gt;&lt;item&gt;203&lt;/item&gt;&lt;item&gt;204&lt;/item&gt;&lt;item&gt;205&lt;/item&gt;&lt;item&gt;206&lt;/item&gt;&lt;item&gt;207&lt;/item&gt;&lt;item&gt;208&lt;/item&gt;&lt;item&gt;209&lt;/item&gt;&lt;item&gt;210&lt;/item&gt;&lt;item&gt;212&lt;/item&gt;&lt;item&gt;213&lt;/item&gt;&lt;item&gt;214&lt;/item&gt;&lt;item&gt;216&lt;/item&gt;&lt;item&gt;217&lt;/item&gt;&lt;item&gt;219&lt;/item&gt;&lt;item&gt;220&lt;/item&gt;&lt;item&gt;221&lt;/item&gt;&lt;item&gt;222&lt;/item&gt;&lt;item&gt;223&lt;/item&gt;&lt;item&gt;224&lt;/item&gt;&lt;item&gt;225&lt;/item&gt;&lt;item&gt;226&lt;/item&gt;&lt;item&gt;227&lt;/item&gt;&lt;item&gt;228&lt;/item&gt;&lt;item&gt;229&lt;/item&gt;&lt;item&gt;230&lt;/item&gt;&lt;item&gt;231&lt;/item&gt;&lt;item&gt;232&lt;/item&gt;&lt;item&gt;233&lt;/item&gt;&lt;item&gt;234&lt;/item&gt;&lt;item&gt;236&lt;/item&gt;&lt;item&gt;237&lt;/item&gt;&lt;item&gt;238&lt;/item&gt;&lt;item&gt;239&lt;/item&gt;&lt;item&gt;240&lt;/item&gt;&lt;item&gt;241&lt;/item&gt;&lt;item&gt;242&lt;/item&gt;&lt;item&gt;251&lt;/item&gt;&lt;item&gt;253&lt;/item&gt;&lt;item&gt;254&lt;/item&gt;&lt;item&gt;255&lt;/item&gt;&lt;item&gt;257&lt;/item&gt;&lt;item&gt;258&lt;/item&gt;&lt;item&gt;259&lt;/item&gt;&lt;item&gt;260&lt;/item&gt;&lt;item&gt;261&lt;/item&gt;&lt;item&gt;262&lt;/item&gt;&lt;item&gt;263&lt;/item&gt;&lt;item&gt;264&lt;/item&gt;&lt;item&gt;265&lt;/item&gt;&lt;item&gt;266&lt;/item&gt;&lt;item&gt;267&lt;/item&gt;&lt;/record-ids&gt;&lt;/item&gt;&lt;/Libraries&gt;"/>
  </w:docVars>
  <w:rsids>
    <w:rsidRoot w:val="00A24D67"/>
    <w:rsid w:val="000003FD"/>
    <w:rsid w:val="00000AFE"/>
    <w:rsid w:val="00000B43"/>
    <w:rsid w:val="00000B62"/>
    <w:rsid w:val="00000C12"/>
    <w:rsid w:val="00000EC3"/>
    <w:rsid w:val="00000F4A"/>
    <w:rsid w:val="00001600"/>
    <w:rsid w:val="00001964"/>
    <w:rsid w:val="00001E23"/>
    <w:rsid w:val="00001F49"/>
    <w:rsid w:val="0000233F"/>
    <w:rsid w:val="0000279B"/>
    <w:rsid w:val="00002D32"/>
    <w:rsid w:val="00003233"/>
    <w:rsid w:val="0000324A"/>
    <w:rsid w:val="00003319"/>
    <w:rsid w:val="0000333D"/>
    <w:rsid w:val="0000348B"/>
    <w:rsid w:val="00003BA7"/>
    <w:rsid w:val="00003EA4"/>
    <w:rsid w:val="00003EDA"/>
    <w:rsid w:val="00004084"/>
    <w:rsid w:val="00004CB9"/>
    <w:rsid w:val="00004E19"/>
    <w:rsid w:val="00005560"/>
    <w:rsid w:val="00005743"/>
    <w:rsid w:val="000059A5"/>
    <w:rsid w:val="00005A47"/>
    <w:rsid w:val="00005CB9"/>
    <w:rsid w:val="00005DF6"/>
    <w:rsid w:val="00005F45"/>
    <w:rsid w:val="00006013"/>
    <w:rsid w:val="0000607C"/>
    <w:rsid w:val="00006696"/>
    <w:rsid w:val="0000674D"/>
    <w:rsid w:val="00006848"/>
    <w:rsid w:val="0000718A"/>
    <w:rsid w:val="000071E8"/>
    <w:rsid w:val="00007460"/>
    <w:rsid w:val="000074A2"/>
    <w:rsid w:val="000074F6"/>
    <w:rsid w:val="000077F7"/>
    <w:rsid w:val="00010225"/>
    <w:rsid w:val="0001047D"/>
    <w:rsid w:val="00010E3B"/>
    <w:rsid w:val="000115C9"/>
    <w:rsid w:val="000117BE"/>
    <w:rsid w:val="000117C5"/>
    <w:rsid w:val="000127D2"/>
    <w:rsid w:val="00012BB5"/>
    <w:rsid w:val="0001301C"/>
    <w:rsid w:val="00013613"/>
    <w:rsid w:val="0001369D"/>
    <w:rsid w:val="000139BA"/>
    <w:rsid w:val="000143E6"/>
    <w:rsid w:val="0001463D"/>
    <w:rsid w:val="000146E2"/>
    <w:rsid w:val="0001498E"/>
    <w:rsid w:val="00014CBE"/>
    <w:rsid w:val="00014DD4"/>
    <w:rsid w:val="000150BF"/>
    <w:rsid w:val="00015367"/>
    <w:rsid w:val="00015529"/>
    <w:rsid w:val="00015A47"/>
    <w:rsid w:val="00015C54"/>
    <w:rsid w:val="00015D59"/>
    <w:rsid w:val="00015E4D"/>
    <w:rsid w:val="000161DB"/>
    <w:rsid w:val="000165AD"/>
    <w:rsid w:val="00016FDC"/>
    <w:rsid w:val="0001706D"/>
    <w:rsid w:val="00017206"/>
    <w:rsid w:val="000175F6"/>
    <w:rsid w:val="00017787"/>
    <w:rsid w:val="00017B07"/>
    <w:rsid w:val="00017BF0"/>
    <w:rsid w:val="0002001A"/>
    <w:rsid w:val="00020298"/>
    <w:rsid w:val="0002055C"/>
    <w:rsid w:val="00020640"/>
    <w:rsid w:val="00020787"/>
    <w:rsid w:val="00020827"/>
    <w:rsid w:val="00020A38"/>
    <w:rsid w:val="00020ADD"/>
    <w:rsid w:val="00020B8C"/>
    <w:rsid w:val="00020E65"/>
    <w:rsid w:val="00020E93"/>
    <w:rsid w:val="00020EE4"/>
    <w:rsid w:val="00020F7B"/>
    <w:rsid w:val="00021449"/>
    <w:rsid w:val="00021706"/>
    <w:rsid w:val="00021790"/>
    <w:rsid w:val="00022048"/>
    <w:rsid w:val="000220A1"/>
    <w:rsid w:val="00022243"/>
    <w:rsid w:val="00022300"/>
    <w:rsid w:val="0002247E"/>
    <w:rsid w:val="000227FA"/>
    <w:rsid w:val="000227FE"/>
    <w:rsid w:val="00022920"/>
    <w:rsid w:val="00022C3A"/>
    <w:rsid w:val="00022D02"/>
    <w:rsid w:val="00022F4C"/>
    <w:rsid w:val="00023443"/>
    <w:rsid w:val="00023617"/>
    <w:rsid w:val="000237EB"/>
    <w:rsid w:val="00023979"/>
    <w:rsid w:val="00023E20"/>
    <w:rsid w:val="00024238"/>
    <w:rsid w:val="0002437E"/>
    <w:rsid w:val="0002441B"/>
    <w:rsid w:val="000245AA"/>
    <w:rsid w:val="0002467F"/>
    <w:rsid w:val="00024CE2"/>
    <w:rsid w:val="00024CF3"/>
    <w:rsid w:val="000250C5"/>
    <w:rsid w:val="00025278"/>
    <w:rsid w:val="0002557D"/>
    <w:rsid w:val="000258B1"/>
    <w:rsid w:val="000258FE"/>
    <w:rsid w:val="0002628B"/>
    <w:rsid w:val="00027026"/>
    <w:rsid w:val="0002710E"/>
    <w:rsid w:val="00027286"/>
    <w:rsid w:val="00027854"/>
    <w:rsid w:val="00027F0E"/>
    <w:rsid w:val="00027F6D"/>
    <w:rsid w:val="00027FA8"/>
    <w:rsid w:val="00030223"/>
    <w:rsid w:val="000302CE"/>
    <w:rsid w:val="00030A71"/>
    <w:rsid w:val="00030C81"/>
    <w:rsid w:val="00030CE7"/>
    <w:rsid w:val="00030FC3"/>
    <w:rsid w:val="000310D7"/>
    <w:rsid w:val="000313D8"/>
    <w:rsid w:val="00031636"/>
    <w:rsid w:val="00031681"/>
    <w:rsid w:val="000317F9"/>
    <w:rsid w:val="00031952"/>
    <w:rsid w:val="000319C2"/>
    <w:rsid w:val="0003251D"/>
    <w:rsid w:val="00032587"/>
    <w:rsid w:val="00032E77"/>
    <w:rsid w:val="00032FE9"/>
    <w:rsid w:val="00033152"/>
    <w:rsid w:val="00033234"/>
    <w:rsid w:val="0003344D"/>
    <w:rsid w:val="000337D3"/>
    <w:rsid w:val="00033AD2"/>
    <w:rsid w:val="00033C41"/>
    <w:rsid w:val="00034460"/>
    <w:rsid w:val="00034544"/>
    <w:rsid w:val="00034635"/>
    <w:rsid w:val="0003484B"/>
    <w:rsid w:val="00034A2B"/>
    <w:rsid w:val="00034B03"/>
    <w:rsid w:val="00034D67"/>
    <w:rsid w:val="000354A4"/>
    <w:rsid w:val="000356E6"/>
    <w:rsid w:val="000356F6"/>
    <w:rsid w:val="00035A3D"/>
    <w:rsid w:val="00036003"/>
    <w:rsid w:val="000362BA"/>
    <w:rsid w:val="00036857"/>
    <w:rsid w:val="000368A4"/>
    <w:rsid w:val="0003698F"/>
    <w:rsid w:val="00036F55"/>
    <w:rsid w:val="0003700D"/>
    <w:rsid w:val="0003711E"/>
    <w:rsid w:val="0003714E"/>
    <w:rsid w:val="00037390"/>
    <w:rsid w:val="000373BE"/>
    <w:rsid w:val="00037885"/>
    <w:rsid w:val="00037891"/>
    <w:rsid w:val="00037A0A"/>
    <w:rsid w:val="00037C3F"/>
    <w:rsid w:val="00037D60"/>
    <w:rsid w:val="0004004B"/>
    <w:rsid w:val="000402AB"/>
    <w:rsid w:val="000404C3"/>
    <w:rsid w:val="00041144"/>
    <w:rsid w:val="00041588"/>
    <w:rsid w:val="000415C3"/>
    <w:rsid w:val="0004163D"/>
    <w:rsid w:val="00041845"/>
    <w:rsid w:val="000418C7"/>
    <w:rsid w:val="00041965"/>
    <w:rsid w:val="00041C48"/>
    <w:rsid w:val="00041D11"/>
    <w:rsid w:val="00041F2D"/>
    <w:rsid w:val="00041F3A"/>
    <w:rsid w:val="00042487"/>
    <w:rsid w:val="000427A9"/>
    <w:rsid w:val="00042B73"/>
    <w:rsid w:val="00042FAF"/>
    <w:rsid w:val="000430F9"/>
    <w:rsid w:val="00043129"/>
    <w:rsid w:val="000434A9"/>
    <w:rsid w:val="00043824"/>
    <w:rsid w:val="00043946"/>
    <w:rsid w:val="00044185"/>
    <w:rsid w:val="000441FF"/>
    <w:rsid w:val="00044291"/>
    <w:rsid w:val="000445A5"/>
    <w:rsid w:val="00044E87"/>
    <w:rsid w:val="00044ECB"/>
    <w:rsid w:val="00045118"/>
    <w:rsid w:val="00045154"/>
    <w:rsid w:val="0004585D"/>
    <w:rsid w:val="00045875"/>
    <w:rsid w:val="00045EC6"/>
    <w:rsid w:val="000467FE"/>
    <w:rsid w:val="00046DBC"/>
    <w:rsid w:val="00046DF7"/>
    <w:rsid w:val="00046E47"/>
    <w:rsid w:val="00046FE8"/>
    <w:rsid w:val="0004713C"/>
    <w:rsid w:val="0004717B"/>
    <w:rsid w:val="0004725D"/>
    <w:rsid w:val="000473A4"/>
    <w:rsid w:val="0004743F"/>
    <w:rsid w:val="0004751C"/>
    <w:rsid w:val="00047777"/>
    <w:rsid w:val="00047C41"/>
    <w:rsid w:val="00047E41"/>
    <w:rsid w:val="00050027"/>
    <w:rsid w:val="00050A47"/>
    <w:rsid w:val="00051143"/>
    <w:rsid w:val="0005128C"/>
    <w:rsid w:val="00051689"/>
    <w:rsid w:val="00052580"/>
    <w:rsid w:val="00052604"/>
    <w:rsid w:val="000528B8"/>
    <w:rsid w:val="00052925"/>
    <w:rsid w:val="00052C8F"/>
    <w:rsid w:val="00052CBE"/>
    <w:rsid w:val="00052CC7"/>
    <w:rsid w:val="0005320D"/>
    <w:rsid w:val="000535E3"/>
    <w:rsid w:val="000543E9"/>
    <w:rsid w:val="0005472B"/>
    <w:rsid w:val="00054CAD"/>
    <w:rsid w:val="00054D5D"/>
    <w:rsid w:val="000551CE"/>
    <w:rsid w:val="000553CC"/>
    <w:rsid w:val="0005557F"/>
    <w:rsid w:val="0005559C"/>
    <w:rsid w:val="000556D1"/>
    <w:rsid w:val="000559C8"/>
    <w:rsid w:val="00055A69"/>
    <w:rsid w:val="00055A8E"/>
    <w:rsid w:val="00055BF4"/>
    <w:rsid w:val="00055E89"/>
    <w:rsid w:val="0005605E"/>
    <w:rsid w:val="0005608D"/>
    <w:rsid w:val="0005633D"/>
    <w:rsid w:val="0005689C"/>
    <w:rsid w:val="00056987"/>
    <w:rsid w:val="00057393"/>
    <w:rsid w:val="0005797D"/>
    <w:rsid w:val="00060CF5"/>
    <w:rsid w:val="00060F2B"/>
    <w:rsid w:val="00060F69"/>
    <w:rsid w:val="000613D0"/>
    <w:rsid w:val="00061781"/>
    <w:rsid w:val="00061863"/>
    <w:rsid w:val="00061A99"/>
    <w:rsid w:val="00062042"/>
    <w:rsid w:val="000626FA"/>
    <w:rsid w:val="00062FE4"/>
    <w:rsid w:val="000632DF"/>
    <w:rsid w:val="000636E3"/>
    <w:rsid w:val="00063A76"/>
    <w:rsid w:val="00063A84"/>
    <w:rsid w:val="0006407B"/>
    <w:rsid w:val="000642AA"/>
    <w:rsid w:val="0006450C"/>
    <w:rsid w:val="000648C9"/>
    <w:rsid w:val="000649CF"/>
    <w:rsid w:val="00064DD7"/>
    <w:rsid w:val="00064F6A"/>
    <w:rsid w:val="0006508D"/>
    <w:rsid w:val="000653B6"/>
    <w:rsid w:val="00065880"/>
    <w:rsid w:val="00065976"/>
    <w:rsid w:val="00065C6D"/>
    <w:rsid w:val="00065F46"/>
    <w:rsid w:val="0006608D"/>
    <w:rsid w:val="000662E7"/>
    <w:rsid w:val="00066591"/>
    <w:rsid w:val="00066B3C"/>
    <w:rsid w:val="00066D39"/>
    <w:rsid w:val="00066FDA"/>
    <w:rsid w:val="00067149"/>
    <w:rsid w:val="0006719A"/>
    <w:rsid w:val="0006760A"/>
    <w:rsid w:val="0006797F"/>
    <w:rsid w:val="00067A53"/>
    <w:rsid w:val="00067C11"/>
    <w:rsid w:val="00067E15"/>
    <w:rsid w:val="00067EAB"/>
    <w:rsid w:val="000702EC"/>
    <w:rsid w:val="000704C0"/>
    <w:rsid w:val="00070524"/>
    <w:rsid w:val="000705E9"/>
    <w:rsid w:val="00070618"/>
    <w:rsid w:val="00070840"/>
    <w:rsid w:val="00071248"/>
    <w:rsid w:val="00071890"/>
    <w:rsid w:val="000718C4"/>
    <w:rsid w:val="00071AB4"/>
    <w:rsid w:val="00072621"/>
    <w:rsid w:val="000728E5"/>
    <w:rsid w:val="00072C8E"/>
    <w:rsid w:val="00072F49"/>
    <w:rsid w:val="00072F89"/>
    <w:rsid w:val="00072FDF"/>
    <w:rsid w:val="00073004"/>
    <w:rsid w:val="0007309B"/>
    <w:rsid w:val="0007325E"/>
    <w:rsid w:val="000737FA"/>
    <w:rsid w:val="000738EA"/>
    <w:rsid w:val="00073912"/>
    <w:rsid w:val="0007423A"/>
    <w:rsid w:val="000743EC"/>
    <w:rsid w:val="00074572"/>
    <w:rsid w:val="0007491B"/>
    <w:rsid w:val="00074B1D"/>
    <w:rsid w:val="00074FF3"/>
    <w:rsid w:val="00075279"/>
    <w:rsid w:val="000758AC"/>
    <w:rsid w:val="00075BCF"/>
    <w:rsid w:val="00076240"/>
    <w:rsid w:val="00076339"/>
    <w:rsid w:val="000765EC"/>
    <w:rsid w:val="00076703"/>
    <w:rsid w:val="00076AB1"/>
    <w:rsid w:val="00076B79"/>
    <w:rsid w:val="00076EF8"/>
    <w:rsid w:val="00077013"/>
    <w:rsid w:val="000772A7"/>
    <w:rsid w:val="000774AD"/>
    <w:rsid w:val="00077B4E"/>
    <w:rsid w:val="00080275"/>
    <w:rsid w:val="00080382"/>
    <w:rsid w:val="00080E12"/>
    <w:rsid w:val="00080F7A"/>
    <w:rsid w:val="00081481"/>
    <w:rsid w:val="000820D1"/>
    <w:rsid w:val="00082973"/>
    <w:rsid w:val="00082E47"/>
    <w:rsid w:val="000830B3"/>
    <w:rsid w:val="000833A5"/>
    <w:rsid w:val="00083A03"/>
    <w:rsid w:val="00083BC1"/>
    <w:rsid w:val="000840F3"/>
    <w:rsid w:val="000840FA"/>
    <w:rsid w:val="00084439"/>
    <w:rsid w:val="00084DA3"/>
    <w:rsid w:val="00084F22"/>
    <w:rsid w:val="000850CF"/>
    <w:rsid w:val="0008512E"/>
    <w:rsid w:val="0008525F"/>
    <w:rsid w:val="00085412"/>
    <w:rsid w:val="00085794"/>
    <w:rsid w:val="00085B78"/>
    <w:rsid w:val="00085BF6"/>
    <w:rsid w:val="00085FAA"/>
    <w:rsid w:val="000860B9"/>
    <w:rsid w:val="0008627C"/>
    <w:rsid w:val="000864B9"/>
    <w:rsid w:val="00087129"/>
    <w:rsid w:val="00087163"/>
    <w:rsid w:val="00087405"/>
    <w:rsid w:val="00087823"/>
    <w:rsid w:val="00087A23"/>
    <w:rsid w:val="00087C88"/>
    <w:rsid w:val="00087CF1"/>
    <w:rsid w:val="00090146"/>
    <w:rsid w:val="00090162"/>
    <w:rsid w:val="00090551"/>
    <w:rsid w:val="00090947"/>
    <w:rsid w:val="00090A80"/>
    <w:rsid w:val="00090E63"/>
    <w:rsid w:val="00090ED1"/>
    <w:rsid w:val="00090EE0"/>
    <w:rsid w:val="00090FD7"/>
    <w:rsid w:val="000910E9"/>
    <w:rsid w:val="00091494"/>
    <w:rsid w:val="00091861"/>
    <w:rsid w:val="000919F2"/>
    <w:rsid w:val="00091E10"/>
    <w:rsid w:val="00091F0B"/>
    <w:rsid w:val="00091F0D"/>
    <w:rsid w:val="0009211D"/>
    <w:rsid w:val="00092305"/>
    <w:rsid w:val="0009288B"/>
    <w:rsid w:val="00092CDE"/>
    <w:rsid w:val="00092D27"/>
    <w:rsid w:val="00092FEF"/>
    <w:rsid w:val="0009302A"/>
    <w:rsid w:val="000930B5"/>
    <w:rsid w:val="0009318A"/>
    <w:rsid w:val="000932D1"/>
    <w:rsid w:val="00093304"/>
    <w:rsid w:val="0009372E"/>
    <w:rsid w:val="0009379C"/>
    <w:rsid w:val="00093C2E"/>
    <w:rsid w:val="00093D49"/>
    <w:rsid w:val="00094517"/>
    <w:rsid w:val="0009455D"/>
    <w:rsid w:val="000945EE"/>
    <w:rsid w:val="00094989"/>
    <w:rsid w:val="00094E25"/>
    <w:rsid w:val="00094E28"/>
    <w:rsid w:val="00094EF8"/>
    <w:rsid w:val="00095366"/>
    <w:rsid w:val="000956B2"/>
    <w:rsid w:val="000956E1"/>
    <w:rsid w:val="0009575D"/>
    <w:rsid w:val="00095BF9"/>
    <w:rsid w:val="00095CD0"/>
    <w:rsid w:val="00095D4D"/>
    <w:rsid w:val="00096118"/>
    <w:rsid w:val="00096207"/>
    <w:rsid w:val="00096E49"/>
    <w:rsid w:val="000971B1"/>
    <w:rsid w:val="00097C5C"/>
    <w:rsid w:val="00097C9B"/>
    <w:rsid w:val="00097D91"/>
    <w:rsid w:val="00097DC8"/>
    <w:rsid w:val="00097EF5"/>
    <w:rsid w:val="00097FC1"/>
    <w:rsid w:val="000A017A"/>
    <w:rsid w:val="000A03FC"/>
    <w:rsid w:val="000A1067"/>
    <w:rsid w:val="000A1534"/>
    <w:rsid w:val="000A1B53"/>
    <w:rsid w:val="000A2179"/>
    <w:rsid w:val="000A2F64"/>
    <w:rsid w:val="000A2F94"/>
    <w:rsid w:val="000A3115"/>
    <w:rsid w:val="000A3212"/>
    <w:rsid w:val="000A3321"/>
    <w:rsid w:val="000A3360"/>
    <w:rsid w:val="000A34C3"/>
    <w:rsid w:val="000A34EA"/>
    <w:rsid w:val="000A35D0"/>
    <w:rsid w:val="000A37D3"/>
    <w:rsid w:val="000A3A45"/>
    <w:rsid w:val="000A3B1B"/>
    <w:rsid w:val="000A42A8"/>
    <w:rsid w:val="000A4627"/>
    <w:rsid w:val="000A46FE"/>
    <w:rsid w:val="000A4ACA"/>
    <w:rsid w:val="000A5143"/>
    <w:rsid w:val="000A52F6"/>
    <w:rsid w:val="000A5328"/>
    <w:rsid w:val="000A54AD"/>
    <w:rsid w:val="000A58E3"/>
    <w:rsid w:val="000A5A4E"/>
    <w:rsid w:val="000A5EE5"/>
    <w:rsid w:val="000A6172"/>
    <w:rsid w:val="000A6500"/>
    <w:rsid w:val="000A66AA"/>
    <w:rsid w:val="000A6B22"/>
    <w:rsid w:val="000A70ED"/>
    <w:rsid w:val="000A755C"/>
    <w:rsid w:val="000A7855"/>
    <w:rsid w:val="000A7D2D"/>
    <w:rsid w:val="000B009A"/>
    <w:rsid w:val="000B00F3"/>
    <w:rsid w:val="000B0269"/>
    <w:rsid w:val="000B0362"/>
    <w:rsid w:val="000B04BD"/>
    <w:rsid w:val="000B0A17"/>
    <w:rsid w:val="000B0A34"/>
    <w:rsid w:val="000B0AED"/>
    <w:rsid w:val="000B10D0"/>
    <w:rsid w:val="000B1219"/>
    <w:rsid w:val="000B12F6"/>
    <w:rsid w:val="000B14D7"/>
    <w:rsid w:val="000B1606"/>
    <w:rsid w:val="000B1709"/>
    <w:rsid w:val="000B1DAE"/>
    <w:rsid w:val="000B1E0D"/>
    <w:rsid w:val="000B1EAE"/>
    <w:rsid w:val="000B1FBB"/>
    <w:rsid w:val="000B21EC"/>
    <w:rsid w:val="000B29A8"/>
    <w:rsid w:val="000B2E00"/>
    <w:rsid w:val="000B3AD9"/>
    <w:rsid w:val="000B3BB1"/>
    <w:rsid w:val="000B3E58"/>
    <w:rsid w:val="000B4266"/>
    <w:rsid w:val="000B44C9"/>
    <w:rsid w:val="000B44D9"/>
    <w:rsid w:val="000B459D"/>
    <w:rsid w:val="000B476D"/>
    <w:rsid w:val="000B4772"/>
    <w:rsid w:val="000B4C40"/>
    <w:rsid w:val="000B4EE3"/>
    <w:rsid w:val="000B4FB0"/>
    <w:rsid w:val="000B5025"/>
    <w:rsid w:val="000B512A"/>
    <w:rsid w:val="000B5507"/>
    <w:rsid w:val="000B5A61"/>
    <w:rsid w:val="000B5B79"/>
    <w:rsid w:val="000B5DE1"/>
    <w:rsid w:val="000B5ECC"/>
    <w:rsid w:val="000B694A"/>
    <w:rsid w:val="000B7096"/>
    <w:rsid w:val="000B7135"/>
    <w:rsid w:val="000B750A"/>
    <w:rsid w:val="000B76FE"/>
    <w:rsid w:val="000B7B7B"/>
    <w:rsid w:val="000B7B7F"/>
    <w:rsid w:val="000B7CBD"/>
    <w:rsid w:val="000B7D17"/>
    <w:rsid w:val="000C0373"/>
    <w:rsid w:val="000C055C"/>
    <w:rsid w:val="000C06C0"/>
    <w:rsid w:val="000C06EA"/>
    <w:rsid w:val="000C0868"/>
    <w:rsid w:val="000C0AE0"/>
    <w:rsid w:val="000C0D15"/>
    <w:rsid w:val="000C0E60"/>
    <w:rsid w:val="000C1C07"/>
    <w:rsid w:val="000C1C67"/>
    <w:rsid w:val="000C1DBF"/>
    <w:rsid w:val="000C1F12"/>
    <w:rsid w:val="000C2148"/>
    <w:rsid w:val="000C231B"/>
    <w:rsid w:val="000C23FC"/>
    <w:rsid w:val="000C275F"/>
    <w:rsid w:val="000C2B7A"/>
    <w:rsid w:val="000C2E0C"/>
    <w:rsid w:val="000C3493"/>
    <w:rsid w:val="000C3774"/>
    <w:rsid w:val="000C392A"/>
    <w:rsid w:val="000C39D5"/>
    <w:rsid w:val="000C3AF4"/>
    <w:rsid w:val="000C3DB1"/>
    <w:rsid w:val="000C4004"/>
    <w:rsid w:val="000C435F"/>
    <w:rsid w:val="000C4581"/>
    <w:rsid w:val="000C45B5"/>
    <w:rsid w:val="000C4B58"/>
    <w:rsid w:val="000C4B73"/>
    <w:rsid w:val="000C4C14"/>
    <w:rsid w:val="000C4E32"/>
    <w:rsid w:val="000C4EE3"/>
    <w:rsid w:val="000C5397"/>
    <w:rsid w:val="000C53A3"/>
    <w:rsid w:val="000C5933"/>
    <w:rsid w:val="000C59BD"/>
    <w:rsid w:val="000C5E8A"/>
    <w:rsid w:val="000C6239"/>
    <w:rsid w:val="000C68F8"/>
    <w:rsid w:val="000C6AE4"/>
    <w:rsid w:val="000C6B0E"/>
    <w:rsid w:val="000C73CD"/>
    <w:rsid w:val="000C7942"/>
    <w:rsid w:val="000C79CB"/>
    <w:rsid w:val="000C79E0"/>
    <w:rsid w:val="000C7C4A"/>
    <w:rsid w:val="000D0087"/>
    <w:rsid w:val="000D0B5D"/>
    <w:rsid w:val="000D11FE"/>
    <w:rsid w:val="000D12B1"/>
    <w:rsid w:val="000D1372"/>
    <w:rsid w:val="000D151A"/>
    <w:rsid w:val="000D1B45"/>
    <w:rsid w:val="000D1C22"/>
    <w:rsid w:val="000D1E64"/>
    <w:rsid w:val="000D25B5"/>
    <w:rsid w:val="000D26B1"/>
    <w:rsid w:val="000D28E5"/>
    <w:rsid w:val="000D2F56"/>
    <w:rsid w:val="000D304E"/>
    <w:rsid w:val="000D3090"/>
    <w:rsid w:val="000D358F"/>
    <w:rsid w:val="000D37F1"/>
    <w:rsid w:val="000D3AE0"/>
    <w:rsid w:val="000D3BED"/>
    <w:rsid w:val="000D3C72"/>
    <w:rsid w:val="000D496A"/>
    <w:rsid w:val="000D49A2"/>
    <w:rsid w:val="000D4B3C"/>
    <w:rsid w:val="000D4CD6"/>
    <w:rsid w:val="000D4D17"/>
    <w:rsid w:val="000D4D1D"/>
    <w:rsid w:val="000D4DEA"/>
    <w:rsid w:val="000D5444"/>
    <w:rsid w:val="000D5675"/>
    <w:rsid w:val="000D57FB"/>
    <w:rsid w:val="000D59A1"/>
    <w:rsid w:val="000D5B11"/>
    <w:rsid w:val="000D5DFB"/>
    <w:rsid w:val="000D657D"/>
    <w:rsid w:val="000D689E"/>
    <w:rsid w:val="000D6A24"/>
    <w:rsid w:val="000D6C93"/>
    <w:rsid w:val="000D6DFE"/>
    <w:rsid w:val="000D702A"/>
    <w:rsid w:val="000D72C1"/>
    <w:rsid w:val="000D798D"/>
    <w:rsid w:val="000D7B16"/>
    <w:rsid w:val="000D7CAE"/>
    <w:rsid w:val="000D7DB4"/>
    <w:rsid w:val="000D7E4F"/>
    <w:rsid w:val="000E052E"/>
    <w:rsid w:val="000E088A"/>
    <w:rsid w:val="000E0A73"/>
    <w:rsid w:val="000E1EB3"/>
    <w:rsid w:val="000E1F10"/>
    <w:rsid w:val="000E1FB7"/>
    <w:rsid w:val="000E1FDE"/>
    <w:rsid w:val="000E209D"/>
    <w:rsid w:val="000E21DD"/>
    <w:rsid w:val="000E22F2"/>
    <w:rsid w:val="000E2309"/>
    <w:rsid w:val="000E2371"/>
    <w:rsid w:val="000E23C1"/>
    <w:rsid w:val="000E25AB"/>
    <w:rsid w:val="000E25B2"/>
    <w:rsid w:val="000E261F"/>
    <w:rsid w:val="000E27C8"/>
    <w:rsid w:val="000E28F2"/>
    <w:rsid w:val="000E297C"/>
    <w:rsid w:val="000E29A4"/>
    <w:rsid w:val="000E2ABC"/>
    <w:rsid w:val="000E2AE7"/>
    <w:rsid w:val="000E2DA0"/>
    <w:rsid w:val="000E2E3B"/>
    <w:rsid w:val="000E3179"/>
    <w:rsid w:val="000E31E1"/>
    <w:rsid w:val="000E33E4"/>
    <w:rsid w:val="000E3718"/>
    <w:rsid w:val="000E3A08"/>
    <w:rsid w:val="000E3B50"/>
    <w:rsid w:val="000E3CC2"/>
    <w:rsid w:val="000E4402"/>
    <w:rsid w:val="000E4824"/>
    <w:rsid w:val="000E4ABF"/>
    <w:rsid w:val="000E4AF3"/>
    <w:rsid w:val="000E4D27"/>
    <w:rsid w:val="000E535C"/>
    <w:rsid w:val="000E5585"/>
    <w:rsid w:val="000E55E8"/>
    <w:rsid w:val="000E6392"/>
    <w:rsid w:val="000E6445"/>
    <w:rsid w:val="000E6455"/>
    <w:rsid w:val="000E645C"/>
    <w:rsid w:val="000E65D3"/>
    <w:rsid w:val="000E67C9"/>
    <w:rsid w:val="000E6BBE"/>
    <w:rsid w:val="000E6BD5"/>
    <w:rsid w:val="000E6C74"/>
    <w:rsid w:val="000E71A6"/>
    <w:rsid w:val="000E7969"/>
    <w:rsid w:val="000E7D13"/>
    <w:rsid w:val="000F062E"/>
    <w:rsid w:val="000F0E54"/>
    <w:rsid w:val="000F0EDA"/>
    <w:rsid w:val="000F159D"/>
    <w:rsid w:val="000F162D"/>
    <w:rsid w:val="000F1694"/>
    <w:rsid w:val="000F1C8E"/>
    <w:rsid w:val="000F1CAA"/>
    <w:rsid w:val="000F200F"/>
    <w:rsid w:val="000F21C6"/>
    <w:rsid w:val="000F2272"/>
    <w:rsid w:val="000F23E1"/>
    <w:rsid w:val="000F2483"/>
    <w:rsid w:val="000F2623"/>
    <w:rsid w:val="000F30FD"/>
    <w:rsid w:val="000F3568"/>
    <w:rsid w:val="000F3815"/>
    <w:rsid w:val="000F3BA4"/>
    <w:rsid w:val="000F3DCF"/>
    <w:rsid w:val="000F43F8"/>
    <w:rsid w:val="000F4559"/>
    <w:rsid w:val="000F4713"/>
    <w:rsid w:val="000F48F2"/>
    <w:rsid w:val="000F4A6D"/>
    <w:rsid w:val="000F4B46"/>
    <w:rsid w:val="000F4FBB"/>
    <w:rsid w:val="000F55BA"/>
    <w:rsid w:val="000F563B"/>
    <w:rsid w:val="000F5D64"/>
    <w:rsid w:val="000F5E0E"/>
    <w:rsid w:val="000F608B"/>
    <w:rsid w:val="000F6C90"/>
    <w:rsid w:val="000F70D4"/>
    <w:rsid w:val="000F7479"/>
    <w:rsid w:val="000F76A2"/>
    <w:rsid w:val="000F7F86"/>
    <w:rsid w:val="00100110"/>
    <w:rsid w:val="0010057D"/>
    <w:rsid w:val="0010089B"/>
    <w:rsid w:val="00100942"/>
    <w:rsid w:val="00100B3D"/>
    <w:rsid w:val="00100BB9"/>
    <w:rsid w:val="00100CC7"/>
    <w:rsid w:val="00100FA4"/>
    <w:rsid w:val="0010106E"/>
    <w:rsid w:val="00101137"/>
    <w:rsid w:val="0010130B"/>
    <w:rsid w:val="00101389"/>
    <w:rsid w:val="00101677"/>
    <w:rsid w:val="00101703"/>
    <w:rsid w:val="00101A2A"/>
    <w:rsid w:val="00102095"/>
    <w:rsid w:val="001022C6"/>
    <w:rsid w:val="00102AF1"/>
    <w:rsid w:val="00102E33"/>
    <w:rsid w:val="00102E6E"/>
    <w:rsid w:val="00102E8C"/>
    <w:rsid w:val="001031CE"/>
    <w:rsid w:val="00103320"/>
    <w:rsid w:val="00103861"/>
    <w:rsid w:val="00103920"/>
    <w:rsid w:val="00103BF2"/>
    <w:rsid w:val="0010406D"/>
    <w:rsid w:val="001042D4"/>
    <w:rsid w:val="00104480"/>
    <w:rsid w:val="0010486C"/>
    <w:rsid w:val="00104C57"/>
    <w:rsid w:val="00104FC1"/>
    <w:rsid w:val="0010530F"/>
    <w:rsid w:val="00105317"/>
    <w:rsid w:val="0010579F"/>
    <w:rsid w:val="001057D1"/>
    <w:rsid w:val="00105BCA"/>
    <w:rsid w:val="00105E39"/>
    <w:rsid w:val="001060B0"/>
    <w:rsid w:val="0010619B"/>
    <w:rsid w:val="00106264"/>
    <w:rsid w:val="0010639C"/>
    <w:rsid w:val="001064C3"/>
    <w:rsid w:val="001064D9"/>
    <w:rsid w:val="001065A8"/>
    <w:rsid w:val="001065EB"/>
    <w:rsid w:val="00106780"/>
    <w:rsid w:val="00106CED"/>
    <w:rsid w:val="00106E55"/>
    <w:rsid w:val="00107303"/>
    <w:rsid w:val="00107817"/>
    <w:rsid w:val="00107BEE"/>
    <w:rsid w:val="00107FC0"/>
    <w:rsid w:val="00110806"/>
    <w:rsid w:val="00110FC8"/>
    <w:rsid w:val="00111345"/>
    <w:rsid w:val="00111443"/>
    <w:rsid w:val="00111630"/>
    <w:rsid w:val="0011167F"/>
    <w:rsid w:val="00111778"/>
    <w:rsid w:val="001119B1"/>
    <w:rsid w:val="00111D3C"/>
    <w:rsid w:val="00111D85"/>
    <w:rsid w:val="00111DD3"/>
    <w:rsid w:val="00111EB7"/>
    <w:rsid w:val="00111EE4"/>
    <w:rsid w:val="001127CB"/>
    <w:rsid w:val="001130E9"/>
    <w:rsid w:val="001135DC"/>
    <w:rsid w:val="00113E80"/>
    <w:rsid w:val="00113EC0"/>
    <w:rsid w:val="00114042"/>
    <w:rsid w:val="0011448D"/>
    <w:rsid w:val="0011487B"/>
    <w:rsid w:val="00114A83"/>
    <w:rsid w:val="00114D83"/>
    <w:rsid w:val="00114ED2"/>
    <w:rsid w:val="00114F32"/>
    <w:rsid w:val="00115304"/>
    <w:rsid w:val="00115852"/>
    <w:rsid w:val="0011598A"/>
    <w:rsid w:val="00115E33"/>
    <w:rsid w:val="00115FF1"/>
    <w:rsid w:val="0011627C"/>
    <w:rsid w:val="001164E4"/>
    <w:rsid w:val="0011659D"/>
    <w:rsid w:val="00116C2D"/>
    <w:rsid w:val="00116E08"/>
    <w:rsid w:val="00116E6D"/>
    <w:rsid w:val="00117506"/>
    <w:rsid w:val="0011762B"/>
    <w:rsid w:val="001177E9"/>
    <w:rsid w:val="00117DB3"/>
    <w:rsid w:val="00117EC0"/>
    <w:rsid w:val="001201DA"/>
    <w:rsid w:val="00120A58"/>
    <w:rsid w:val="00120C01"/>
    <w:rsid w:val="00120D2A"/>
    <w:rsid w:val="00120DE5"/>
    <w:rsid w:val="00121212"/>
    <w:rsid w:val="00121312"/>
    <w:rsid w:val="00121412"/>
    <w:rsid w:val="001214C9"/>
    <w:rsid w:val="00121D06"/>
    <w:rsid w:val="00121F41"/>
    <w:rsid w:val="001220F8"/>
    <w:rsid w:val="001222DD"/>
    <w:rsid w:val="00122690"/>
    <w:rsid w:val="00122710"/>
    <w:rsid w:val="00122938"/>
    <w:rsid w:val="001229C7"/>
    <w:rsid w:val="00122A7B"/>
    <w:rsid w:val="00122C26"/>
    <w:rsid w:val="00122C3B"/>
    <w:rsid w:val="00123204"/>
    <w:rsid w:val="001232B4"/>
    <w:rsid w:val="001235C2"/>
    <w:rsid w:val="001236F0"/>
    <w:rsid w:val="00123B78"/>
    <w:rsid w:val="00123D80"/>
    <w:rsid w:val="00123FE3"/>
    <w:rsid w:val="00124129"/>
    <w:rsid w:val="00124247"/>
    <w:rsid w:val="0012437F"/>
    <w:rsid w:val="001244DE"/>
    <w:rsid w:val="0012477C"/>
    <w:rsid w:val="001247DC"/>
    <w:rsid w:val="00124892"/>
    <w:rsid w:val="00124ACF"/>
    <w:rsid w:val="001250AA"/>
    <w:rsid w:val="0012519F"/>
    <w:rsid w:val="00125389"/>
    <w:rsid w:val="00125D7B"/>
    <w:rsid w:val="00125EE3"/>
    <w:rsid w:val="001260AC"/>
    <w:rsid w:val="001262A2"/>
    <w:rsid w:val="00126328"/>
    <w:rsid w:val="00126921"/>
    <w:rsid w:val="00126D37"/>
    <w:rsid w:val="00126D39"/>
    <w:rsid w:val="00127036"/>
    <w:rsid w:val="001271AD"/>
    <w:rsid w:val="00127216"/>
    <w:rsid w:val="001273D3"/>
    <w:rsid w:val="00127EEE"/>
    <w:rsid w:val="00127FBA"/>
    <w:rsid w:val="001300E1"/>
    <w:rsid w:val="00130378"/>
    <w:rsid w:val="00130791"/>
    <w:rsid w:val="001307BD"/>
    <w:rsid w:val="00130911"/>
    <w:rsid w:val="00130D0A"/>
    <w:rsid w:val="00130E41"/>
    <w:rsid w:val="001311D5"/>
    <w:rsid w:val="0013147A"/>
    <w:rsid w:val="00131774"/>
    <w:rsid w:val="00131A71"/>
    <w:rsid w:val="00131AAB"/>
    <w:rsid w:val="00131B04"/>
    <w:rsid w:val="00131CDB"/>
    <w:rsid w:val="00131CFE"/>
    <w:rsid w:val="001321B6"/>
    <w:rsid w:val="0013263D"/>
    <w:rsid w:val="00132AFA"/>
    <w:rsid w:val="001330EA"/>
    <w:rsid w:val="001331C0"/>
    <w:rsid w:val="001332AF"/>
    <w:rsid w:val="001332DB"/>
    <w:rsid w:val="00133435"/>
    <w:rsid w:val="001334B9"/>
    <w:rsid w:val="0013350D"/>
    <w:rsid w:val="001336FC"/>
    <w:rsid w:val="0013387E"/>
    <w:rsid w:val="00133946"/>
    <w:rsid w:val="00133A55"/>
    <w:rsid w:val="00133E1C"/>
    <w:rsid w:val="00133E89"/>
    <w:rsid w:val="001347C6"/>
    <w:rsid w:val="00134ABD"/>
    <w:rsid w:val="00134E51"/>
    <w:rsid w:val="00134EA0"/>
    <w:rsid w:val="00134F8E"/>
    <w:rsid w:val="001351D8"/>
    <w:rsid w:val="0013528B"/>
    <w:rsid w:val="001354A3"/>
    <w:rsid w:val="001354AD"/>
    <w:rsid w:val="001356D2"/>
    <w:rsid w:val="001357D8"/>
    <w:rsid w:val="001358FA"/>
    <w:rsid w:val="00135B18"/>
    <w:rsid w:val="00135BDE"/>
    <w:rsid w:val="00136211"/>
    <w:rsid w:val="0013672D"/>
    <w:rsid w:val="00136FBF"/>
    <w:rsid w:val="00137317"/>
    <w:rsid w:val="00137493"/>
    <w:rsid w:val="001374BA"/>
    <w:rsid w:val="00137E02"/>
    <w:rsid w:val="00137E06"/>
    <w:rsid w:val="0014015F"/>
    <w:rsid w:val="0014021B"/>
    <w:rsid w:val="001404C4"/>
    <w:rsid w:val="00140828"/>
    <w:rsid w:val="00140878"/>
    <w:rsid w:val="00140C61"/>
    <w:rsid w:val="00140CBF"/>
    <w:rsid w:val="00140DD5"/>
    <w:rsid w:val="0014142D"/>
    <w:rsid w:val="00141810"/>
    <w:rsid w:val="00141BAB"/>
    <w:rsid w:val="00141BC7"/>
    <w:rsid w:val="00141C69"/>
    <w:rsid w:val="00141E07"/>
    <w:rsid w:val="0014216F"/>
    <w:rsid w:val="00142310"/>
    <w:rsid w:val="001427BD"/>
    <w:rsid w:val="001428E8"/>
    <w:rsid w:val="0014292E"/>
    <w:rsid w:val="00142C70"/>
    <w:rsid w:val="00142F4F"/>
    <w:rsid w:val="0014339F"/>
    <w:rsid w:val="00143695"/>
    <w:rsid w:val="001436A8"/>
    <w:rsid w:val="00143820"/>
    <w:rsid w:val="00143C4C"/>
    <w:rsid w:val="00143CBE"/>
    <w:rsid w:val="00143D04"/>
    <w:rsid w:val="00143E20"/>
    <w:rsid w:val="00144100"/>
    <w:rsid w:val="0014425F"/>
    <w:rsid w:val="00144801"/>
    <w:rsid w:val="00144A97"/>
    <w:rsid w:val="00144AA3"/>
    <w:rsid w:val="00144E29"/>
    <w:rsid w:val="00145079"/>
    <w:rsid w:val="001450B7"/>
    <w:rsid w:val="0014572A"/>
    <w:rsid w:val="00145913"/>
    <w:rsid w:val="00146515"/>
    <w:rsid w:val="001465D0"/>
    <w:rsid w:val="00146847"/>
    <w:rsid w:val="00146BCB"/>
    <w:rsid w:val="0014709A"/>
    <w:rsid w:val="0014726D"/>
    <w:rsid w:val="00147508"/>
    <w:rsid w:val="00147896"/>
    <w:rsid w:val="001502AF"/>
    <w:rsid w:val="001507DD"/>
    <w:rsid w:val="001509FE"/>
    <w:rsid w:val="00150E1C"/>
    <w:rsid w:val="00150F27"/>
    <w:rsid w:val="001511EC"/>
    <w:rsid w:val="00151B93"/>
    <w:rsid w:val="00152000"/>
    <w:rsid w:val="001522A4"/>
    <w:rsid w:val="001524F0"/>
    <w:rsid w:val="0015260E"/>
    <w:rsid w:val="00152990"/>
    <w:rsid w:val="00152C68"/>
    <w:rsid w:val="00152FA3"/>
    <w:rsid w:val="001530EB"/>
    <w:rsid w:val="0015316A"/>
    <w:rsid w:val="00153584"/>
    <w:rsid w:val="0015378B"/>
    <w:rsid w:val="001537E9"/>
    <w:rsid w:val="00153BCE"/>
    <w:rsid w:val="00153D2C"/>
    <w:rsid w:val="0015437F"/>
    <w:rsid w:val="001544F8"/>
    <w:rsid w:val="0015454C"/>
    <w:rsid w:val="001546A0"/>
    <w:rsid w:val="001557F0"/>
    <w:rsid w:val="0015588E"/>
    <w:rsid w:val="001558C3"/>
    <w:rsid w:val="00156183"/>
    <w:rsid w:val="00156216"/>
    <w:rsid w:val="00156240"/>
    <w:rsid w:val="001565D5"/>
    <w:rsid w:val="001569A9"/>
    <w:rsid w:val="00156BDF"/>
    <w:rsid w:val="00156DB6"/>
    <w:rsid w:val="00157514"/>
    <w:rsid w:val="00157665"/>
    <w:rsid w:val="00157D9F"/>
    <w:rsid w:val="0016041F"/>
    <w:rsid w:val="0016056E"/>
    <w:rsid w:val="00160858"/>
    <w:rsid w:val="00160B97"/>
    <w:rsid w:val="00160C08"/>
    <w:rsid w:val="00160E09"/>
    <w:rsid w:val="0016125D"/>
    <w:rsid w:val="0016129F"/>
    <w:rsid w:val="001620C8"/>
    <w:rsid w:val="00162177"/>
    <w:rsid w:val="0016232A"/>
    <w:rsid w:val="0016250B"/>
    <w:rsid w:val="00162AAC"/>
    <w:rsid w:val="0016335A"/>
    <w:rsid w:val="00163755"/>
    <w:rsid w:val="00163CEF"/>
    <w:rsid w:val="001641CF"/>
    <w:rsid w:val="00164233"/>
    <w:rsid w:val="001646E0"/>
    <w:rsid w:val="001649E1"/>
    <w:rsid w:val="00164EF6"/>
    <w:rsid w:val="00164F38"/>
    <w:rsid w:val="001651C4"/>
    <w:rsid w:val="0016542D"/>
    <w:rsid w:val="001654C2"/>
    <w:rsid w:val="001654CB"/>
    <w:rsid w:val="001659AE"/>
    <w:rsid w:val="00165B5B"/>
    <w:rsid w:val="00165FEC"/>
    <w:rsid w:val="0016605F"/>
    <w:rsid w:val="001660A7"/>
    <w:rsid w:val="001663A7"/>
    <w:rsid w:val="00166895"/>
    <w:rsid w:val="00166F47"/>
    <w:rsid w:val="0016750A"/>
    <w:rsid w:val="001676A5"/>
    <w:rsid w:val="001676AA"/>
    <w:rsid w:val="001676FA"/>
    <w:rsid w:val="00167789"/>
    <w:rsid w:val="00167815"/>
    <w:rsid w:val="0016785D"/>
    <w:rsid w:val="00167A93"/>
    <w:rsid w:val="00167F5D"/>
    <w:rsid w:val="0017022E"/>
    <w:rsid w:val="00170649"/>
    <w:rsid w:val="0017086E"/>
    <w:rsid w:val="00170FC1"/>
    <w:rsid w:val="001712D7"/>
    <w:rsid w:val="00171950"/>
    <w:rsid w:val="00171C22"/>
    <w:rsid w:val="00171CF1"/>
    <w:rsid w:val="00171E37"/>
    <w:rsid w:val="001723D0"/>
    <w:rsid w:val="0017282E"/>
    <w:rsid w:val="001732F3"/>
    <w:rsid w:val="00173392"/>
    <w:rsid w:val="00173A5B"/>
    <w:rsid w:val="00173AD3"/>
    <w:rsid w:val="00173B2F"/>
    <w:rsid w:val="00173FA9"/>
    <w:rsid w:val="00174118"/>
    <w:rsid w:val="00174119"/>
    <w:rsid w:val="0017413F"/>
    <w:rsid w:val="00174224"/>
    <w:rsid w:val="0017434C"/>
    <w:rsid w:val="00174700"/>
    <w:rsid w:val="00174AEB"/>
    <w:rsid w:val="0017522A"/>
    <w:rsid w:val="001753FC"/>
    <w:rsid w:val="00175509"/>
    <w:rsid w:val="001759FC"/>
    <w:rsid w:val="00175C98"/>
    <w:rsid w:val="00175FE1"/>
    <w:rsid w:val="00176138"/>
    <w:rsid w:val="00176232"/>
    <w:rsid w:val="00176502"/>
    <w:rsid w:val="001768A3"/>
    <w:rsid w:val="00176ACC"/>
    <w:rsid w:val="00176D31"/>
    <w:rsid w:val="00177626"/>
    <w:rsid w:val="00177652"/>
    <w:rsid w:val="00177733"/>
    <w:rsid w:val="00177A45"/>
    <w:rsid w:val="00177B6F"/>
    <w:rsid w:val="00177D2E"/>
    <w:rsid w:val="00177E2F"/>
    <w:rsid w:val="00177EF8"/>
    <w:rsid w:val="001808D9"/>
    <w:rsid w:val="001808E0"/>
    <w:rsid w:val="00180B7C"/>
    <w:rsid w:val="00180D9F"/>
    <w:rsid w:val="00180E9A"/>
    <w:rsid w:val="00180FCC"/>
    <w:rsid w:val="001810BE"/>
    <w:rsid w:val="0018110A"/>
    <w:rsid w:val="001814D8"/>
    <w:rsid w:val="0018172D"/>
    <w:rsid w:val="00181802"/>
    <w:rsid w:val="00181911"/>
    <w:rsid w:val="00181C46"/>
    <w:rsid w:val="00181EF1"/>
    <w:rsid w:val="00181FC4"/>
    <w:rsid w:val="00182088"/>
    <w:rsid w:val="00182292"/>
    <w:rsid w:val="001824DA"/>
    <w:rsid w:val="00182900"/>
    <w:rsid w:val="00182950"/>
    <w:rsid w:val="00182B76"/>
    <w:rsid w:val="0018331C"/>
    <w:rsid w:val="00183527"/>
    <w:rsid w:val="001836FC"/>
    <w:rsid w:val="00184383"/>
    <w:rsid w:val="001849BE"/>
    <w:rsid w:val="001850DE"/>
    <w:rsid w:val="001850E1"/>
    <w:rsid w:val="00185371"/>
    <w:rsid w:val="0018537A"/>
    <w:rsid w:val="001859EC"/>
    <w:rsid w:val="00185A9A"/>
    <w:rsid w:val="00185FEA"/>
    <w:rsid w:val="00186421"/>
    <w:rsid w:val="0018693E"/>
    <w:rsid w:val="00187176"/>
    <w:rsid w:val="001875CD"/>
    <w:rsid w:val="0018786C"/>
    <w:rsid w:val="00187906"/>
    <w:rsid w:val="00187D02"/>
    <w:rsid w:val="00190030"/>
    <w:rsid w:val="00190158"/>
    <w:rsid w:val="0019027E"/>
    <w:rsid w:val="00190543"/>
    <w:rsid w:val="00190707"/>
    <w:rsid w:val="00190723"/>
    <w:rsid w:val="0019088D"/>
    <w:rsid w:val="00190940"/>
    <w:rsid w:val="0019099C"/>
    <w:rsid w:val="001909D9"/>
    <w:rsid w:val="00190A40"/>
    <w:rsid w:val="00190A9E"/>
    <w:rsid w:val="00190ADC"/>
    <w:rsid w:val="00191107"/>
    <w:rsid w:val="0019136C"/>
    <w:rsid w:val="00191639"/>
    <w:rsid w:val="001916A8"/>
    <w:rsid w:val="0019178D"/>
    <w:rsid w:val="001919E7"/>
    <w:rsid w:val="00191BCC"/>
    <w:rsid w:val="00191FA3"/>
    <w:rsid w:val="0019208D"/>
    <w:rsid w:val="00192129"/>
    <w:rsid w:val="00192135"/>
    <w:rsid w:val="001921FA"/>
    <w:rsid w:val="0019234C"/>
    <w:rsid w:val="001924A2"/>
    <w:rsid w:val="001925C8"/>
    <w:rsid w:val="00192BA7"/>
    <w:rsid w:val="00193094"/>
    <w:rsid w:val="001944A0"/>
    <w:rsid w:val="00194588"/>
    <w:rsid w:val="001947C5"/>
    <w:rsid w:val="00194818"/>
    <w:rsid w:val="0019498F"/>
    <w:rsid w:val="0019507B"/>
    <w:rsid w:val="0019536C"/>
    <w:rsid w:val="001954B7"/>
    <w:rsid w:val="00195605"/>
    <w:rsid w:val="001957AB"/>
    <w:rsid w:val="001958C4"/>
    <w:rsid w:val="0019590C"/>
    <w:rsid w:val="0019617D"/>
    <w:rsid w:val="0019679A"/>
    <w:rsid w:val="00196ADD"/>
    <w:rsid w:val="00196CD2"/>
    <w:rsid w:val="0019731E"/>
    <w:rsid w:val="0019739F"/>
    <w:rsid w:val="00197928"/>
    <w:rsid w:val="001979BC"/>
    <w:rsid w:val="00197AC5"/>
    <w:rsid w:val="001A06FD"/>
    <w:rsid w:val="001A074A"/>
    <w:rsid w:val="001A07FC"/>
    <w:rsid w:val="001A0816"/>
    <w:rsid w:val="001A08A9"/>
    <w:rsid w:val="001A0E8A"/>
    <w:rsid w:val="001A190B"/>
    <w:rsid w:val="001A1966"/>
    <w:rsid w:val="001A1B3F"/>
    <w:rsid w:val="001A20B3"/>
    <w:rsid w:val="001A2731"/>
    <w:rsid w:val="001A2AD4"/>
    <w:rsid w:val="001A2DED"/>
    <w:rsid w:val="001A2E31"/>
    <w:rsid w:val="001A2EC8"/>
    <w:rsid w:val="001A2F15"/>
    <w:rsid w:val="001A2FE7"/>
    <w:rsid w:val="001A3078"/>
    <w:rsid w:val="001A30C4"/>
    <w:rsid w:val="001A3261"/>
    <w:rsid w:val="001A3E57"/>
    <w:rsid w:val="001A4118"/>
    <w:rsid w:val="001A423F"/>
    <w:rsid w:val="001A42B4"/>
    <w:rsid w:val="001A4505"/>
    <w:rsid w:val="001A4537"/>
    <w:rsid w:val="001A45A4"/>
    <w:rsid w:val="001A4B50"/>
    <w:rsid w:val="001A4BAA"/>
    <w:rsid w:val="001A4F0B"/>
    <w:rsid w:val="001A544E"/>
    <w:rsid w:val="001A5532"/>
    <w:rsid w:val="001A571B"/>
    <w:rsid w:val="001A5BAD"/>
    <w:rsid w:val="001A5D50"/>
    <w:rsid w:val="001A5D59"/>
    <w:rsid w:val="001A5DC8"/>
    <w:rsid w:val="001A5F82"/>
    <w:rsid w:val="001A6708"/>
    <w:rsid w:val="001A68BA"/>
    <w:rsid w:val="001A726F"/>
    <w:rsid w:val="001A72E9"/>
    <w:rsid w:val="001A7485"/>
    <w:rsid w:val="001A779A"/>
    <w:rsid w:val="001A7B59"/>
    <w:rsid w:val="001A7BE3"/>
    <w:rsid w:val="001A7BFB"/>
    <w:rsid w:val="001B03F8"/>
    <w:rsid w:val="001B052F"/>
    <w:rsid w:val="001B0547"/>
    <w:rsid w:val="001B0628"/>
    <w:rsid w:val="001B0957"/>
    <w:rsid w:val="001B0B32"/>
    <w:rsid w:val="001B0EA0"/>
    <w:rsid w:val="001B10EA"/>
    <w:rsid w:val="001B10F1"/>
    <w:rsid w:val="001B1E2C"/>
    <w:rsid w:val="001B20CE"/>
    <w:rsid w:val="001B20F4"/>
    <w:rsid w:val="001B2562"/>
    <w:rsid w:val="001B256B"/>
    <w:rsid w:val="001B2786"/>
    <w:rsid w:val="001B29EF"/>
    <w:rsid w:val="001B2D4C"/>
    <w:rsid w:val="001B32DB"/>
    <w:rsid w:val="001B3335"/>
    <w:rsid w:val="001B34D7"/>
    <w:rsid w:val="001B36C6"/>
    <w:rsid w:val="001B378E"/>
    <w:rsid w:val="001B3A0D"/>
    <w:rsid w:val="001B3CBC"/>
    <w:rsid w:val="001B43A6"/>
    <w:rsid w:val="001B4655"/>
    <w:rsid w:val="001B47B4"/>
    <w:rsid w:val="001B4B34"/>
    <w:rsid w:val="001B4DA2"/>
    <w:rsid w:val="001B4DCE"/>
    <w:rsid w:val="001B4EDA"/>
    <w:rsid w:val="001B50FF"/>
    <w:rsid w:val="001B51B8"/>
    <w:rsid w:val="001B5211"/>
    <w:rsid w:val="001B5365"/>
    <w:rsid w:val="001B545D"/>
    <w:rsid w:val="001B5511"/>
    <w:rsid w:val="001B56A8"/>
    <w:rsid w:val="001B56C4"/>
    <w:rsid w:val="001B6018"/>
    <w:rsid w:val="001B6226"/>
    <w:rsid w:val="001B63CB"/>
    <w:rsid w:val="001B6444"/>
    <w:rsid w:val="001B6729"/>
    <w:rsid w:val="001B67F9"/>
    <w:rsid w:val="001B6906"/>
    <w:rsid w:val="001B6937"/>
    <w:rsid w:val="001B6A9C"/>
    <w:rsid w:val="001B6AFB"/>
    <w:rsid w:val="001B6B2C"/>
    <w:rsid w:val="001B6BF2"/>
    <w:rsid w:val="001B6DE5"/>
    <w:rsid w:val="001B7004"/>
    <w:rsid w:val="001B7A43"/>
    <w:rsid w:val="001B7B37"/>
    <w:rsid w:val="001C018D"/>
    <w:rsid w:val="001C01AD"/>
    <w:rsid w:val="001C01C3"/>
    <w:rsid w:val="001C083D"/>
    <w:rsid w:val="001C0BB9"/>
    <w:rsid w:val="001C0DBB"/>
    <w:rsid w:val="001C1166"/>
    <w:rsid w:val="001C1575"/>
    <w:rsid w:val="001C1DF2"/>
    <w:rsid w:val="001C1E62"/>
    <w:rsid w:val="001C2129"/>
    <w:rsid w:val="001C2170"/>
    <w:rsid w:val="001C2713"/>
    <w:rsid w:val="001C27BD"/>
    <w:rsid w:val="001C2833"/>
    <w:rsid w:val="001C2884"/>
    <w:rsid w:val="001C2A53"/>
    <w:rsid w:val="001C2B9F"/>
    <w:rsid w:val="001C2F96"/>
    <w:rsid w:val="001C3052"/>
    <w:rsid w:val="001C317C"/>
    <w:rsid w:val="001C31DE"/>
    <w:rsid w:val="001C3404"/>
    <w:rsid w:val="001C34C4"/>
    <w:rsid w:val="001C35DD"/>
    <w:rsid w:val="001C3718"/>
    <w:rsid w:val="001C3B39"/>
    <w:rsid w:val="001C3BB8"/>
    <w:rsid w:val="001C40C6"/>
    <w:rsid w:val="001C4A85"/>
    <w:rsid w:val="001C4D05"/>
    <w:rsid w:val="001C5019"/>
    <w:rsid w:val="001C529C"/>
    <w:rsid w:val="001C5384"/>
    <w:rsid w:val="001C5766"/>
    <w:rsid w:val="001C5BF2"/>
    <w:rsid w:val="001C61B2"/>
    <w:rsid w:val="001C627D"/>
    <w:rsid w:val="001C632C"/>
    <w:rsid w:val="001C6526"/>
    <w:rsid w:val="001C6651"/>
    <w:rsid w:val="001C68DA"/>
    <w:rsid w:val="001C6936"/>
    <w:rsid w:val="001C6AB7"/>
    <w:rsid w:val="001C6F73"/>
    <w:rsid w:val="001C7282"/>
    <w:rsid w:val="001C7914"/>
    <w:rsid w:val="001C7A7B"/>
    <w:rsid w:val="001C7C2C"/>
    <w:rsid w:val="001C7CC7"/>
    <w:rsid w:val="001D0020"/>
    <w:rsid w:val="001D0293"/>
    <w:rsid w:val="001D0511"/>
    <w:rsid w:val="001D0782"/>
    <w:rsid w:val="001D087E"/>
    <w:rsid w:val="001D08CF"/>
    <w:rsid w:val="001D0C7D"/>
    <w:rsid w:val="001D0CC0"/>
    <w:rsid w:val="001D0DA0"/>
    <w:rsid w:val="001D0F3B"/>
    <w:rsid w:val="001D1161"/>
    <w:rsid w:val="001D1353"/>
    <w:rsid w:val="001D15E6"/>
    <w:rsid w:val="001D1B10"/>
    <w:rsid w:val="001D1C2F"/>
    <w:rsid w:val="001D1D44"/>
    <w:rsid w:val="001D2614"/>
    <w:rsid w:val="001D28CC"/>
    <w:rsid w:val="001D28EC"/>
    <w:rsid w:val="001D2CD8"/>
    <w:rsid w:val="001D2DD6"/>
    <w:rsid w:val="001D3429"/>
    <w:rsid w:val="001D34D6"/>
    <w:rsid w:val="001D371C"/>
    <w:rsid w:val="001D3FA6"/>
    <w:rsid w:val="001D411D"/>
    <w:rsid w:val="001D43C9"/>
    <w:rsid w:val="001D4978"/>
    <w:rsid w:val="001D4B0F"/>
    <w:rsid w:val="001D4CAF"/>
    <w:rsid w:val="001D4DEB"/>
    <w:rsid w:val="001D4E0C"/>
    <w:rsid w:val="001D5676"/>
    <w:rsid w:val="001D5741"/>
    <w:rsid w:val="001D57C1"/>
    <w:rsid w:val="001D5B6E"/>
    <w:rsid w:val="001D5BD4"/>
    <w:rsid w:val="001D5C4B"/>
    <w:rsid w:val="001D5C69"/>
    <w:rsid w:val="001D6230"/>
    <w:rsid w:val="001D6337"/>
    <w:rsid w:val="001D645E"/>
    <w:rsid w:val="001D6B08"/>
    <w:rsid w:val="001D6D11"/>
    <w:rsid w:val="001D6D1B"/>
    <w:rsid w:val="001D72EE"/>
    <w:rsid w:val="001D7A7B"/>
    <w:rsid w:val="001E018A"/>
    <w:rsid w:val="001E029C"/>
    <w:rsid w:val="001E0386"/>
    <w:rsid w:val="001E0996"/>
    <w:rsid w:val="001E11D8"/>
    <w:rsid w:val="001E1200"/>
    <w:rsid w:val="001E17B7"/>
    <w:rsid w:val="001E1A0D"/>
    <w:rsid w:val="001E213E"/>
    <w:rsid w:val="001E2230"/>
    <w:rsid w:val="001E2544"/>
    <w:rsid w:val="001E2840"/>
    <w:rsid w:val="001E284B"/>
    <w:rsid w:val="001E2BFC"/>
    <w:rsid w:val="001E3587"/>
    <w:rsid w:val="001E35D4"/>
    <w:rsid w:val="001E38AE"/>
    <w:rsid w:val="001E3B62"/>
    <w:rsid w:val="001E3E58"/>
    <w:rsid w:val="001E3EC6"/>
    <w:rsid w:val="001E432E"/>
    <w:rsid w:val="001E47FE"/>
    <w:rsid w:val="001E4C18"/>
    <w:rsid w:val="001E4C49"/>
    <w:rsid w:val="001E532E"/>
    <w:rsid w:val="001E5701"/>
    <w:rsid w:val="001E5711"/>
    <w:rsid w:val="001E590A"/>
    <w:rsid w:val="001E5E19"/>
    <w:rsid w:val="001E5EEA"/>
    <w:rsid w:val="001E6281"/>
    <w:rsid w:val="001E62AC"/>
    <w:rsid w:val="001E6400"/>
    <w:rsid w:val="001E641D"/>
    <w:rsid w:val="001E64CF"/>
    <w:rsid w:val="001E66AE"/>
    <w:rsid w:val="001E66E5"/>
    <w:rsid w:val="001E6CDF"/>
    <w:rsid w:val="001E6DE9"/>
    <w:rsid w:val="001E73FE"/>
    <w:rsid w:val="001E74BD"/>
    <w:rsid w:val="001E776E"/>
    <w:rsid w:val="001E78F9"/>
    <w:rsid w:val="001E7981"/>
    <w:rsid w:val="001E79C7"/>
    <w:rsid w:val="001E7A42"/>
    <w:rsid w:val="001F03FC"/>
    <w:rsid w:val="001F042D"/>
    <w:rsid w:val="001F0743"/>
    <w:rsid w:val="001F0789"/>
    <w:rsid w:val="001F0D65"/>
    <w:rsid w:val="001F0E27"/>
    <w:rsid w:val="001F10C7"/>
    <w:rsid w:val="001F110D"/>
    <w:rsid w:val="001F16FC"/>
    <w:rsid w:val="001F170B"/>
    <w:rsid w:val="001F1956"/>
    <w:rsid w:val="001F1C29"/>
    <w:rsid w:val="001F1C56"/>
    <w:rsid w:val="001F1CFD"/>
    <w:rsid w:val="001F21B7"/>
    <w:rsid w:val="001F272B"/>
    <w:rsid w:val="001F29C8"/>
    <w:rsid w:val="001F2B03"/>
    <w:rsid w:val="001F2C97"/>
    <w:rsid w:val="001F332F"/>
    <w:rsid w:val="001F36AD"/>
    <w:rsid w:val="001F3A8C"/>
    <w:rsid w:val="001F3CA5"/>
    <w:rsid w:val="001F4D1B"/>
    <w:rsid w:val="001F4E5F"/>
    <w:rsid w:val="001F51DE"/>
    <w:rsid w:val="001F5896"/>
    <w:rsid w:val="001F5ADF"/>
    <w:rsid w:val="001F5B4B"/>
    <w:rsid w:val="001F5CD5"/>
    <w:rsid w:val="001F6327"/>
    <w:rsid w:val="001F634D"/>
    <w:rsid w:val="001F678D"/>
    <w:rsid w:val="001F68FD"/>
    <w:rsid w:val="001F6C84"/>
    <w:rsid w:val="001F6DF0"/>
    <w:rsid w:val="001F70C5"/>
    <w:rsid w:val="001F7441"/>
    <w:rsid w:val="001F78A9"/>
    <w:rsid w:val="001F78EE"/>
    <w:rsid w:val="001F7AFC"/>
    <w:rsid w:val="001F7BCC"/>
    <w:rsid w:val="001F7F57"/>
    <w:rsid w:val="00200517"/>
    <w:rsid w:val="002005FD"/>
    <w:rsid w:val="00200685"/>
    <w:rsid w:val="00200794"/>
    <w:rsid w:val="002007A2"/>
    <w:rsid w:val="00200967"/>
    <w:rsid w:val="00200ADE"/>
    <w:rsid w:val="00200E3E"/>
    <w:rsid w:val="00201FDD"/>
    <w:rsid w:val="00202122"/>
    <w:rsid w:val="00202DAE"/>
    <w:rsid w:val="0020322E"/>
    <w:rsid w:val="00203355"/>
    <w:rsid w:val="00203456"/>
    <w:rsid w:val="0020360B"/>
    <w:rsid w:val="002036B3"/>
    <w:rsid w:val="00203828"/>
    <w:rsid w:val="00203D12"/>
    <w:rsid w:val="0020471B"/>
    <w:rsid w:val="00204E33"/>
    <w:rsid w:val="00205420"/>
    <w:rsid w:val="00205498"/>
    <w:rsid w:val="002057A4"/>
    <w:rsid w:val="00205BF4"/>
    <w:rsid w:val="00205C0D"/>
    <w:rsid w:val="00205DD0"/>
    <w:rsid w:val="00205E54"/>
    <w:rsid w:val="00206499"/>
    <w:rsid w:val="002068D5"/>
    <w:rsid w:val="00206AB4"/>
    <w:rsid w:val="00206B1F"/>
    <w:rsid w:val="00207077"/>
    <w:rsid w:val="002075AE"/>
    <w:rsid w:val="00207653"/>
    <w:rsid w:val="002076B1"/>
    <w:rsid w:val="00207960"/>
    <w:rsid w:val="00207992"/>
    <w:rsid w:val="00207B3F"/>
    <w:rsid w:val="00207F0F"/>
    <w:rsid w:val="00207FE9"/>
    <w:rsid w:val="00210275"/>
    <w:rsid w:val="0021048B"/>
    <w:rsid w:val="002105AF"/>
    <w:rsid w:val="00210973"/>
    <w:rsid w:val="00210C7C"/>
    <w:rsid w:val="00210DC9"/>
    <w:rsid w:val="0021107B"/>
    <w:rsid w:val="00211114"/>
    <w:rsid w:val="0021152D"/>
    <w:rsid w:val="0021171D"/>
    <w:rsid w:val="002118AB"/>
    <w:rsid w:val="00211C6D"/>
    <w:rsid w:val="00211CA7"/>
    <w:rsid w:val="00211E48"/>
    <w:rsid w:val="00211F28"/>
    <w:rsid w:val="00212585"/>
    <w:rsid w:val="00212DEF"/>
    <w:rsid w:val="00213258"/>
    <w:rsid w:val="0021366D"/>
    <w:rsid w:val="00213925"/>
    <w:rsid w:val="00213956"/>
    <w:rsid w:val="00213CAF"/>
    <w:rsid w:val="00213CFE"/>
    <w:rsid w:val="00214092"/>
    <w:rsid w:val="002141A4"/>
    <w:rsid w:val="0021422B"/>
    <w:rsid w:val="00214497"/>
    <w:rsid w:val="002144C6"/>
    <w:rsid w:val="00214B27"/>
    <w:rsid w:val="00214CB2"/>
    <w:rsid w:val="00215080"/>
    <w:rsid w:val="002154BB"/>
    <w:rsid w:val="002157D3"/>
    <w:rsid w:val="002163AF"/>
    <w:rsid w:val="00216496"/>
    <w:rsid w:val="00216711"/>
    <w:rsid w:val="00216760"/>
    <w:rsid w:val="00216CC3"/>
    <w:rsid w:val="00217581"/>
    <w:rsid w:val="00217BFF"/>
    <w:rsid w:val="00217C01"/>
    <w:rsid w:val="00220075"/>
    <w:rsid w:val="0022069A"/>
    <w:rsid w:val="00220BB1"/>
    <w:rsid w:val="00220E37"/>
    <w:rsid w:val="00221594"/>
    <w:rsid w:val="002216DC"/>
    <w:rsid w:val="00221792"/>
    <w:rsid w:val="002219D8"/>
    <w:rsid w:val="00221A55"/>
    <w:rsid w:val="00221A59"/>
    <w:rsid w:val="00221BC6"/>
    <w:rsid w:val="00221EB3"/>
    <w:rsid w:val="0022208D"/>
    <w:rsid w:val="00222385"/>
    <w:rsid w:val="002224EC"/>
    <w:rsid w:val="00222703"/>
    <w:rsid w:val="002228A1"/>
    <w:rsid w:val="00223304"/>
    <w:rsid w:val="00223820"/>
    <w:rsid w:val="00223847"/>
    <w:rsid w:val="0022392F"/>
    <w:rsid w:val="002241B1"/>
    <w:rsid w:val="0022422A"/>
    <w:rsid w:val="002246E4"/>
    <w:rsid w:val="00224874"/>
    <w:rsid w:val="00224F9B"/>
    <w:rsid w:val="0022501F"/>
    <w:rsid w:val="00225179"/>
    <w:rsid w:val="002257D2"/>
    <w:rsid w:val="00225E44"/>
    <w:rsid w:val="002260CF"/>
    <w:rsid w:val="00226486"/>
    <w:rsid w:val="002264BC"/>
    <w:rsid w:val="00226502"/>
    <w:rsid w:val="00226D51"/>
    <w:rsid w:val="00226ED7"/>
    <w:rsid w:val="00226FE8"/>
    <w:rsid w:val="00227084"/>
    <w:rsid w:val="002270F5"/>
    <w:rsid w:val="00227109"/>
    <w:rsid w:val="002276B7"/>
    <w:rsid w:val="00227909"/>
    <w:rsid w:val="00227B11"/>
    <w:rsid w:val="00227D85"/>
    <w:rsid w:val="00227E42"/>
    <w:rsid w:val="00227F9D"/>
    <w:rsid w:val="00230407"/>
    <w:rsid w:val="00230549"/>
    <w:rsid w:val="002307CE"/>
    <w:rsid w:val="002307EC"/>
    <w:rsid w:val="00230D72"/>
    <w:rsid w:val="00230E56"/>
    <w:rsid w:val="00230EC4"/>
    <w:rsid w:val="00230FFE"/>
    <w:rsid w:val="00231302"/>
    <w:rsid w:val="0023133D"/>
    <w:rsid w:val="00231C0B"/>
    <w:rsid w:val="00231E09"/>
    <w:rsid w:val="00231EEA"/>
    <w:rsid w:val="00232326"/>
    <w:rsid w:val="002325A1"/>
    <w:rsid w:val="002325F4"/>
    <w:rsid w:val="002328E7"/>
    <w:rsid w:val="0023298D"/>
    <w:rsid w:val="002329D3"/>
    <w:rsid w:val="00233326"/>
    <w:rsid w:val="00233334"/>
    <w:rsid w:val="0023366E"/>
    <w:rsid w:val="0023384E"/>
    <w:rsid w:val="00233B05"/>
    <w:rsid w:val="00233C7D"/>
    <w:rsid w:val="0023428E"/>
    <w:rsid w:val="002342BF"/>
    <w:rsid w:val="00234318"/>
    <w:rsid w:val="002345B2"/>
    <w:rsid w:val="00234678"/>
    <w:rsid w:val="00234F80"/>
    <w:rsid w:val="002359A9"/>
    <w:rsid w:val="00235D3E"/>
    <w:rsid w:val="00235D50"/>
    <w:rsid w:val="0023605F"/>
    <w:rsid w:val="00236354"/>
    <w:rsid w:val="002366E6"/>
    <w:rsid w:val="00236A3E"/>
    <w:rsid w:val="00236AC0"/>
    <w:rsid w:val="00236BBC"/>
    <w:rsid w:val="002374C6"/>
    <w:rsid w:val="0023774D"/>
    <w:rsid w:val="00237B98"/>
    <w:rsid w:val="00237CCD"/>
    <w:rsid w:val="00237E64"/>
    <w:rsid w:val="002402C2"/>
    <w:rsid w:val="00240A76"/>
    <w:rsid w:val="00240CBA"/>
    <w:rsid w:val="00240CDE"/>
    <w:rsid w:val="00240E95"/>
    <w:rsid w:val="0024142B"/>
    <w:rsid w:val="0024142F"/>
    <w:rsid w:val="002419B0"/>
    <w:rsid w:val="00241D76"/>
    <w:rsid w:val="00241F29"/>
    <w:rsid w:val="0024216C"/>
    <w:rsid w:val="0024237B"/>
    <w:rsid w:val="002424AC"/>
    <w:rsid w:val="00242545"/>
    <w:rsid w:val="002427F9"/>
    <w:rsid w:val="00242B5D"/>
    <w:rsid w:val="00242FF9"/>
    <w:rsid w:val="0024309A"/>
    <w:rsid w:val="002430AE"/>
    <w:rsid w:val="00243112"/>
    <w:rsid w:val="00243258"/>
    <w:rsid w:val="002432C4"/>
    <w:rsid w:val="00243386"/>
    <w:rsid w:val="002433EA"/>
    <w:rsid w:val="00243639"/>
    <w:rsid w:val="00243663"/>
    <w:rsid w:val="00243752"/>
    <w:rsid w:val="00243960"/>
    <w:rsid w:val="00243A01"/>
    <w:rsid w:val="00243A0F"/>
    <w:rsid w:val="00244526"/>
    <w:rsid w:val="0024485D"/>
    <w:rsid w:val="00244973"/>
    <w:rsid w:val="00244A8A"/>
    <w:rsid w:val="00244C1F"/>
    <w:rsid w:val="00244D94"/>
    <w:rsid w:val="002452D4"/>
    <w:rsid w:val="0024590D"/>
    <w:rsid w:val="00245B56"/>
    <w:rsid w:val="00245E22"/>
    <w:rsid w:val="00245F80"/>
    <w:rsid w:val="00246292"/>
    <w:rsid w:val="00246435"/>
    <w:rsid w:val="00246672"/>
    <w:rsid w:val="0024689F"/>
    <w:rsid w:val="00246B1D"/>
    <w:rsid w:val="0024731E"/>
    <w:rsid w:val="0024796B"/>
    <w:rsid w:val="00247E19"/>
    <w:rsid w:val="00250093"/>
    <w:rsid w:val="00250128"/>
    <w:rsid w:val="00250347"/>
    <w:rsid w:val="002509CD"/>
    <w:rsid w:val="00250DEE"/>
    <w:rsid w:val="00250F86"/>
    <w:rsid w:val="002511D8"/>
    <w:rsid w:val="0025150E"/>
    <w:rsid w:val="002515B8"/>
    <w:rsid w:val="00251817"/>
    <w:rsid w:val="00251C01"/>
    <w:rsid w:val="00251CAF"/>
    <w:rsid w:val="00251D11"/>
    <w:rsid w:val="002521E4"/>
    <w:rsid w:val="00252317"/>
    <w:rsid w:val="0025247A"/>
    <w:rsid w:val="00252751"/>
    <w:rsid w:val="00252C42"/>
    <w:rsid w:val="00252F4A"/>
    <w:rsid w:val="00252FEE"/>
    <w:rsid w:val="00253277"/>
    <w:rsid w:val="002532AC"/>
    <w:rsid w:val="002532B3"/>
    <w:rsid w:val="0025343D"/>
    <w:rsid w:val="0025360F"/>
    <w:rsid w:val="002536A9"/>
    <w:rsid w:val="00253756"/>
    <w:rsid w:val="0025376F"/>
    <w:rsid w:val="002538BE"/>
    <w:rsid w:val="00253AC0"/>
    <w:rsid w:val="00253C84"/>
    <w:rsid w:val="00253D2D"/>
    <w:rsid w:val="00253D5B"/>
    <w:rsid w:val="00253E22"/>
    <w:rsid w:val="0025401C"/>
    <w:rsid w:val="00254083"/>
    <w:rsid w:val="002542CC"/>
    <w:rsid w:val="002555D6"/>
    <w:rsid w:val="0025576D"/>
    <w:rsid w:val="00255A73"/>
    <w:rsid w:val="00255BA5"/>
    <w:rsid w:val="00255F56"/>
    <w:rsid w:val="002567F6"/>
    <w:rsid w:val="002569CF"/>
    <w:rsid w:val="00256DE9"/>
    <w:rsid w:val="00256F7A"/>
    <w:rsid w:val="002571C3"/>
    <w:rsid w:val="00257440"/>
    <w:rsid w:val="002574A9"/>
    <w:rsid w:val="00257DF3"/>
    <w:rsid w:val="00257E36"/>
    <w:rsid w:val="002600E9"/>
    <w:rsid w:val="00260259"/>
    <w:rsid w:val="0026043C"/>
    <w:rsid w:val="0026049C"/>
    <w:rsid w:val="00260592"/>
    <w:rsid w:val="0026067D"/>
    <w:rsid w:val="00260972"/>
    <w:rsid w:val="002609D8"/>
    <w:rsid w:val="00260E8C"/>
    <w:rsid w:val="00260F93"/>
    <w:rsid w:val="0026122A"/>
    <w:rsid w:val="00261375"/>
    <w:rsid w:val="0026159C"/>
    <w:rsid w:val="0026195D"/>
    <w:rsid w:val="00261AFD"/>
    <w:rsid w:val="00261BB5"/>
    <w:rsid w:val="00261FAC"/>
    <w:rsid w:val="002623FB"/>
    <w:rsid w:val="0026259C"/>
    <w:rsid w:val="00263534"/>
    <w:rsid w:val="002635A3"/>
    <w:rsid w:val="00263A60"/>
    <w:rsid w:val="00263AC3"/>
    <w:rsid w:val="00263EB0"/>
    <w:rsid w:val="00264083"/>
    <w:rsid w:val="00264262"/>
    <w:rsid w:val="0026441F"/>
    <w:rsid w:val="0026454B"/>
    <w:rsid w:val="00264882"/>
    <w:rsid w:val="00264C87"/>
    <w:rsid w:val="00264EDC"/>
    <w:rsid w:val="0026516F"/>
    <w:rsid w:val="00265192"/>
    <w:rsid w:val="00265C8D"/>
    <w:rsid w:val="00265E84"/>
    <w:rsid w:val="00266826"/>
    <w:rsid w:val="00266879"/>
    <w:rsid w:val="00266E06"/>
    <w:rsid w:val="00266F59"/>
    <w:rsid w:val="0026711C"/>
    <w:rsid w:val="00267197"/>
    <w:rsid w:val="002673DE"/>
    <w:rsid w:val="0026747F"/>
    <w:rsid w:val="0026761B"/>
    <w:rsid w:val="0026769D"/>
    <w:rsid w:val="002676E3"/>
    <w:rsid w:val="002679C7"/>
    <w:rsid w:val="00267A25"/>
    <w:rsid w:val="00267B20"/>
    <w:rsid w:val="002702CD"/>
    <w:rsid w:val="00270374"/>
    <w:rsid w:val="002707FD"/>
    <w:rsid w:val="00270C40"/>
    <w:rsid w:val="00271436"/>
    <w:rsid w:val="00271F30"/>
    <w:rsid w:val="00271FB0"/>
    <w:rsid w:val="00271FBB"/>
    <w:rsid w:val="002720B7"/>
    <w:rsid w:val="002722CA"/>
    <w:rsid w:val="002722F7"/>
    <w:rsid w:val="002727B8"/>
    <w:rsid w:val="0027287C"/>
    <w:rsid w:val="00272B34"/>
    <w:rsid w:val="00272E8E"/>
    <w:rsid w:val="0027327D"/>
    <w:rsid w:val="0027388A"/>
    <w:rsid w:val="0027394F"/>
    <w:rsid w:val="00273BB2"/>
    <w:rsid w:val="00273D77"/>
    <w:rsid w:val="00274086"/>
    <w:rsid w:val="002741B8"/>
    <w:rsid w:val="002749E7"/>
    <w:rsid w:val="00275011"/>
    <w:rsid w:val="00275766"/>
    <w:rsid w:val="00275A99"/>
    <w:rsid w:val="00275CFD"/>
    <w:rsid w:val="00276096"/>
    <w:rsid w:val="00276294"/>
    <w:rsid w:val="00276478"/>
    <w:rsid w:val="00276520"/>
    <w:rsid w:val="00276704"/>
    <w:rsid w:val="0027698C"/>
    <w:rsid w:val="00276B66"/>
    <w:rsid w:val="0027703C"/>
    <w:rsid w:val="002771EA"/>
    <w:rsid w:val="00277323"/>
    <w:rsid w:val="0027752D"/>
    <w:rsid w:val="002775CF"/>
    <w:rsid w:val="00277C32"/>
    <w:rsid w:val="00277D7D"/>
    <w:rsid w:val="00277F37"/>
    <w:rsid w:val="002807EA"/>
    <w:rsid w:val="00280916"/>
    <w:rsid w:val="00280A8C"/>
    <w:rsid w:val="002821AB"/>
    <w:rsid w:val="00282245"/>
    <w:rsid w:val="00282516"/>
    <w:rsid w:val="00282755"/>
    <w:rsid w:val="002828F2"/>
    <w:rsid w:val="00282AD5"/>
    <w:rsid w:val="00282DB8"/>
    <w:rsid w:val="00282EEA"/>
    <w:rsid w:val="0028300E"/>
    <w:rsid w:val="002837A7"/>
    <w:rsid w:val="00283A6B"/>
    <w:rsid w:val="00283E03"/>
    <w:rsid w:val="00284144"/>
    <w:rsid w:val="002841A7"/>
    <w:rsid w:val="00284247"/>
    <w:rsid w:val="00284339"/>
    <w:rsid w:val="002844DE"/>
    <w:rsid w:val="0028455F"/>
    <w:rsid w:val="00284786"/>
    <w:rsid w:val="00284ADC"/>
    <w:rsid w:val="00284C9B"/>
    <w:rsid w:val="0028594F"/>
    <w:rsid w:val="00285AD6"/>
    <w:rsid w:val="00286073"/>
    <w:rsid w:val="002860FB"/>
    <w:rsid w:val="00286571"/>
    <w:rsid w:val="00286983"/>
    <w:rsid w:val="00286E7C"/>
    <w:rsid w:val="00286ECF"/>
    <w:rsid w:val="002870C8"/>
    <w:rsid w:val="002875F5"/>
    <w:rsid w:val="00287970"/>
    <w:rsid w:val="00287A7C"/>
    <w:rsid w:val="00287E32"/>
    <w:rsid w:val="00290004"/>
    <w:rsid w:val="002904D3"/>
    <w:rsid w:val="0029059B"/>
    <w:rsid w:val="00290AF6"/>
    <w:rsid w:val="00290DA8"/>
    <w:rsid w:val="0029109D"/>
    <w:rsid w:val="002912C4"/>
    <w:rsid w:val="002913C2"/>
    <w:rsid w:val="002915FE"/>
    <w:rsid w:val="002917B2"/>
    <w:rsid w:val="0029193A"/>
    <w:rsid w:val="00291DAB"/>
    <w:rsid w:val="00291FDB"/>
    <w:rsid w:val="002925B7"/>
    <w:rsid w:val="00292BC8"/>
    <w:rsid w:val="00292D7F"/>
    <w:rsid w:val="00292F53"/>
    <w:rsid w:val="00292FC2"/>
    <w:rsid w:val="002931A2"/>
    <w:rsid w:val="00293362"/>
    <w:rsid w:val="002934F5"/>
    <w:rsid w:val="00293572"/>
    <w:rsid w:val="00293657"/>
    <w:rsid w:val="00293717"/>
    <w:rsid w:val="00293A88"/>
    <w:rsid w:val="00293AFD"/>
    <w:rsid w:val="00294272"/>
    <w:rsid w:val="002942CA"/>
    <w:rsid w:val="002947F5"/>
    <w:rsid w:val="00294D1E"/>
    <w:rsid w:val="00294D3F"/>
    <w:rsid w:val="00294F1D"/>
    <w:rsid w:val="00295018"/>
    <w:rsid w:val="00295664"/>
    <w:rsid w:val="00295789"/>
    <w:rsid w:val="00295AE6"/>
    <w:rsid w:val="00295B60"/>
    <w:rsid w:val="00296359"/>
    <w:rsid w:val="002964AE"/>
    <w:rsid w:val="00296B82"/>
    <w:rsid w:val="00296CD7"/>
    <w:rsid w:val="00296F1D"/>
    <w:rsid w:val="00297442"/>
    <w:rsid w:val="002975B2"/>
    <w:rsid w:val="002977B0"/>
    <w:rsid w:val="00297A8B"/>
    <w:rsid w:val="00297A91"/>
    <w:rsid w:val="00297FE4"/>
    <w:rsid w:val="002A02C0"/>
    <w:rsid w:val="002A0361"/>
    <w:rsid w:val="002A0376"/>
    <w:rsid w:val="002A04E6"/>
    <w:rsid w:val="002A08D5"/>
    <w:rsid w:val="002A08F0"/>
    <w:rsid w:val="002A0A40"/>
    <w:rsid w:val="002A0B47"/>
    <w:rsid w:val="002A0B81"/>
    <w:rsid w:val="002A1146"/>
    <w:rsid w:val="002A1166"/>
    <w:rsid w:val="002A12F7"/>
    <w:rsid w:val="002A1483"/>
    <w:rsid w:val="002A1933"/>
    <w:rsid w:val="002A220F"/>
    <w:rsid w:val="002A22E9"/>
    <w:rsid w:val="002A2727"/>
    <w:rsid w:val="002A2AE6"/>
    <w:rsid w:val="002A2D9A"/>
    <w:rsid w:val="002A3945"/>
    <w:rsid w:val="002A3B22"/>
    <w:rsid w:val="002A3F3C"/>
    <w:rsid w:val="002A40B4"/>
    <w:rsid w:val="002A415B"/>
    <w:rsid w:val="002A4688"/>
    <w:rsid w:val="002A471D"/>
    <w:rsid w:val="002A4B3C"/>
    <w:rsid w:val="002A522B"/>
    <w:rsid w:val="002A548A"/>
    <w:rsid w:val="002A54C6"/>
    <w:rsid w:val="002A56D5"/>
    <w:rsid w:val="002A56FF"/>
    <w:rsid w:val="002A5710"/>
    <w:rsid w:val="002A60E3"/>
    <w:rsid w:val="002A612E"/>
    <w:rsid w:val="002A657A"/>
    <w:rsid w:val="002A6EE7"/>
    <w:rsid w:val="002A6F07"/>
    <w:rsid w:val="002A72FC"/>
    <w:rsid w:val="002A73F9"/>
    <w:rsid w:val="002B01D0"/>
    <w:rsid w:val="002B023E"/>
    <w:rsid w:val="002B0492"/>
    <w:rsid w:val="002B0700"/>
    <w:rsid w:val="002B0D54"/>
    <w:rsid w:val="002B1096"/>
    <w:rsid w:val="002B10C2"/>
    <w:rsid w:val="002B1487"/>
    <w:rsid w:val="002B153F"/>
    <w:rsid w:val="002B1A3B"/>
    <w:rsid w:val="002B225E"/>
    <w:rsid w:val="002B2307"/>
    <w:rsid w:val="002B264B"/>
    <w:rsid w:val="002B2B81"/>
    <w:rsid w:val="002B2C7C"/>
    <w:rsid w:val="002B2DC3"/>
    <w:rsid w:val="002B2E13"/>
    <w:rsid w:val="002B305C"/>
    <w:rsid w:val="002B37AA"/>
    <w:rsid w:val="002B39CF"/>
    <w:rsid w:val="002B3DFA"/>
    <w:rsid w:val="002B4319"/>
    <w:rsid w:val="002B46DC"/>
    <w:rsid w:val="002B525B"/>
    <w:rsid w:val="002B5411"/>
    <w:rsid w:val="002B596B"/>
    <w:rsid w:val="002B59A0"/>
    <w:rsid w:val="002B5C8C"/>
    <w:rsid w:val="002B5E7D"/>
    <w:rsid w:val="002B634A"/>
    <w:rsid w:val="002B661C"/>
    <w:rsid w:val="002B68E5"/>
    <w:rsid w:val="002B69D4"/>
    <w:rsid w:val="002B6C50"/>
    <w:rsid w:val="002B6D6A"/>
    <w:rsid w:val="002B6D8A"/>
    <w:rsid w:val="002B715F"/>
    <w:rsid w:val="002B716B"/>
    <w:rsid w:val="002B7519"/>
    <w:rsid w:val="002B7707"/>
    <w:rsid w:val="002B791A"/>
    <w:rsid w:val="002B7967"/>
    <w:rsid w:val="002C0814"/>
    <w:rsid w:val="002C0AB9"/>
    <w:rsid w:val="002C0C5A"/>
    <w:rsid w:val="002C0C80"/>
    <w:rsid w:val="002C0DA7"/>
    <w:rsid w:val="002C0EBF"/>
    <w:rsid w:val="002C1451"/>
    <w:rsid w:val="002C19CB"/>
    <w:rsid w:val="002C1A03"/>
    <w:rsid w:val="002C1F2E"/>
    <w:rsid w:val="002C256B"/>
    <w:rsid w:val="002C2806"/>
    <w:rsid w:val="002C2A79"/>
    <w:rsid w:val="002C2B01"/>
    <w:rsid w:val="002C2C18"/>
    <w:rsid w:val="002C2CD6"/>
    <w:rsid w:val="002C303D"/>
    <w:rsid w:val="002C35C5"/>
    <w:rsid w:val="002C3679"/>
    <w:rsid w:val="002C39C9"/>
    <w:rsid w:val="002C4A96"/>
    <w:rsid w:val="002C5293"/>
    <w:rsid w:val="002C5366"/>
    <w:rsid w:val="002C53C0"/>
    <w:rsid w:val="002C542B"/>
    <w:rsid w:val="002C5BC1"/>
    <w:rsid w:val="002C5C30"/>
    <w:rsid w:val="002C5D38"/>
    <w:rsid w:val="002C5E05"/>
    <w:rsid w:val="002C5F11"/>
    <w:rsid w:val="002C604D"/>
    <w:rsid w:val="002C630E"/>
    <w:rsid w:val="002C63EB"/>
    <w:rsid w:val="002C6452"/>
    <w:rsid w:val="002C649D"/>
    <w:rsid w:val="002C66FB"/>
    <w:rsid w:val="002C6B34"/>
    <w:rsid w:val="002C6CBC"/>
    <w:rsid w:val="002C6E38"/>
    <w:rsid w:val="002C6E92"/>
    <w:rsid w:val="002C728B"/>
    <w:rsid w:val="002C75E2"/>
    <w:rsid w:val="002C7728"/>
    <w:rsid w:val="002C7CE7"/>
    <w:rsid w:val="002C7FE6"/>
    <w:rsid w:val="002D002D"/>
    <w:rsid w:val="002D06A1"/>
    <w:rsid w:val="002D0823"/>
    <w:rsid w:val="002D0963"/>
    <w:rsid w:val="002D0C43"/>
    <w:rsid w:val="002D0F4D"/>
    <w:rsid w:val="002D12C6"/>
    <w:rsid w:val="002D1B3D"/>
    <w:rsid w:val="002D1D86"/>
    <w:rsid w:val="002D1F8C"/>
    <w:rsid w:val="002D2561"/>
    <w:rsid w:val="002D271E"/>
    <w:rsid w:val="002D29BB"/>
    <w:rsid w:val="002D2ECD"/>
    <w:rsid w:val="002D30EA"/>
    <w:rsid w:val="002D39A0"/>
    <w:rsid w:val="002D3A8E"/>
    <w:rsid w:val="002D3ADF"/>
    <w:rsid w:val="002D3AFA"/>
    <w:rsid w:val="002D3C7C"/>
    <w:rsid w:val="002D4130"/>
    <w:rsid w:val="002D446B"/>
    <w:rsid w:val="002D4B56"/>
    <w:rsid w:val="002D4EAD"/>
    <w:rsid w:val="002D5682"/>
    <w:rsid w:val="002D5747"/>
    <w:rsid w:val="002D5817"/>
    <w:rsid w:val="002D583E"/>
    <w:rsid w:val="002D5858"/>
    <w:rsid w:val="002D5B88"/>
    <w:rsid w:val="002D6138"/>
    <w:rsid w:val="002D64E0"/>
    <w:rsid w:val="002D66DE"/>
    <w:rsid w:val="002D6B53"/>
    <w:rsid w:val="002D72E9"/>
    <w:rsid w:val="002D763F"/>
    <w:rsid w:val="002D77A8"/>
    <w:rsid w:val="002D7AAD"/>
    <w:rsid w:val="002D7AC8"/>
    <w:rsid w:val="002D7B7D"/>
    <w:rsid w:val="002D7BC8"/>
    <w:rsid w:val="002D7D79"/>
    <w:rsid w:val="002D7F5C"/>
    <w:rsid w:val="002E011D"/>
    <w:rsid w:val="002E0B40"/>
    <w:rsid w:val="002E0E5F"/>
    <w:rsid w:val="002E166D"/>
    <w:rsid w:val="002E180B"/>
    <w:rsid w:val="002E1A07"/>
    <w:rsid w:val="002E1AEB"/>
    <w:rsid w:val="002E1FC7"/>
    <w:rsid w:val="002E2054"/>
    <w:rsid w:val="002E2065"/>
    <w:rsid w:val="002E2A4C"/>
    <w:rsid w:val="002E2A56"/>
    <w:rsid w:val="002E2B73"/>
    <w:rsid w:val="002E33F5"/>
    <w:rsid w:val="002E3504"/>
    <w:rsid w:val="002E3ADF"/>
    <w:rsid w:val="002E47EA"/>
    <w:rsid w:val="002E48D8"/>
    <w:rsid w:val="002E4C4A"/>
    <w:rsid w:val="002E4CDE"/>
    <w:rsid w:val="002E4D07"/>
    <w:rsid w:val="002E4E5B"/>
    <w:rsid w:val="002E50BE"/>
    <w:rsid w:val="002E5131"/>
    <w:rsid w:val="002E51D5"/>
    <w:rsid w:val="002E5449"/>
    <w:rsid w:val="002E5A45"/>
    <w:rsid w:val="002E606A"/>
    <w:rsid w:val="002E6289"/>
    <w:rsid w:val="002E6306"/>
    <w:rsid w:val="002E6585"/>
    <w:rsid w:val="002E733E"/>
    <w:rsid w:val="002E74E8"/>
    <w:rsid w:val="002E75EC"/>
    <w:rsid w:val="002E79B3"/>
    <w:rsid w:val="002E7CCB"/>
    <w:rsid w:val="002F03F2"/>
    <w:rsid w:val="002F051D"/>
    <w:rsid w:val="002F0774"/>
    <w:rsid w:val="002F08A6"/>
    <w:rsid w:val="002F0A88"/>
    <w:rsid w:val="002F143F"/>
    <w:rsid w:val="002F1464"/>
    <w:rsid w:val="002F1538"/>
    <w:rsid w:val="002F157F"/>
    <w:rsid w:val="002F1A83"/>
    <w:rsid w:val="002F1B1A"/>
    <w:rsid w:val="002F1F6C"/>
    <w:rsid w:val="002F212F"/>
    <w:rsid w:val="002F21A3"/>
    <w:rsid w:val="002F28AD"/>
    <w:rsid w:val="002F2AFC"/>
    <w:rsid w:val="002F2B19"/>
    <w:rsid w:val="002F2E2A"/>
    <w:rsid w:val="002F2E96"/>
    <w:rsid w:val="002F3593"/>
    <w:rsid w:val="002F391C"/>
    <w:rsid w:val="002F3D41"/>
    <w:rsid w:val="002F3D9F"/>
    <w:rsid w:val="002F3DB9"/>
    <w:rsid w:val="002F3F02"/>
    <w:rsid w:val="002F3F8C"/>
    <w:rsid w:val="002F41AC"/>
    <w:rsid w:val="002F4630"/>
    <w:rsid w:val="002F490D"/>
    <w:rsid w:val="002F4A8B"/>
    <w:rsid w:val="002F4FD0"/>
    <w:rsid w:val="002F566D"/>
    <w:rsid w:val="002F57BE"/>
    <w:rsid w:val="002F5824"/>
    <w:rsid w:val="002F5D97"/>
    <w:rsid w:val="002F5E57"/>
    <w:rsid w:val="002F631E"/>
    <w:rsid w:val="002F6429"/>
    <w:rsid w:val="002F646D"/>
    <w:rsid w:val="002F660A"/>
    <w:rsid w:val="002F6953"/>
    <w:rsid w:val="002F6ACC"/>
    <w:rsid w:val="002F6B35"/>
    <w:rsid w:val="002F6D18"/>
    <w:rsid w:val="002F71ED"/>
    <w:rsid w:val="002F7217"/>
    <w:rsid w:val="002F73DF"/>
    <w:rsid w:val="002F7DC7"/>
    <w:rsid w:val="002F7EA3"/>
    <w:rsid w:val="003000E0"/>
    <w:rsid w:val="003001BB"/>
    <w:rsid w:val="00300264"/>
    <w:rsid w:val="003002A6"/>
    <w:rsid w:val="00300356"/>
    <w:rsid w:val="00300B90"/>
    <w:rsid w:val="00300F69"/>
    <w:rsid w:val="00300FDF"/>
    <w:rsid w:val="00301727"/>
    <w:rsid w:val="00301737"/>
    <w:rsid w:val="00301A7E"/>
    <w:rsid w:val="00301EC9"/>
    <w:rsid w:val="00302071"/>
    <w:rsid w:val="003022B5"/>
    <w:rsid w:val="00302F0B"/>
    <w:rsid w:val="00302FC9"/>
    <w:rsid w:val="0030395C"/>
    <w:rsid w:val="00303F05"/>
    <w:rsid w:val="0030412E"/>
    <w:rsid w:val="00304468"/>
    <w:rsid w:val="0030468D"/>
    <w:rsid w:val="00304D68"/>
    <w:rsid w:val="00304EDE"/>
    <w:rsid w:val="00305306"/>
    <w:rsid w:val="00305520"/>
    <w:rsid w:val="003055FE"/>
    <w:rsid w:val="003062D4"/>
    <w:rsid w:val="003062F4"/>
    <w:rsid w:val="00306413"/>
    <w:rsid w:val="0030648A"/>
    <w:rsid w:val="003066E4"/>
    <w:rsid w:val="0030677C"/>
    <w:rsid w:val="00306798"/>
    <w:rsid w:val="00306BCC"/>
    <w:rsid w:val="00306BF6"/>
    <w:rsid w:val="00306C9B"/>
    <w:rsid w:val="00306CA2"/>
    <w:rsid w:val="00306CEF"/>
    <w:rsid w:val="00306DEA"/>
    <w:rsid w:val="00306F4A"/>
    <w:rsid w:val="00307315"/>
    <w:rsid w:val="00307666"/>
    <w:rsid w:val="00307685"/>
    <w:rsid w:val="003076B4"/>
    <w:rsid w:val="00307B60"/>
    <w:rsid w:val="00307D18"/>
    <w:rsid w:val="00310009"/>
    <w:rsid w:val="003100F9"/>
    <w:rsid w:val="00310F77"/>
    <w:rsid w:val="003112DE"/>
    <w:rsid w:val="003114A4"/>
    <w:rsid w:val="003114BE"/>
    <w:rsid w:val="003115B2"/>
    <w:rsid w:val="00311B92"/>
    <w:rsid w:val="00311BCE"/>
    <w:rsid w:val="00311C94"/>
    <w:rsid w:val="00311FFF"/>
    <w:rsid w:val="0031266A"/>
    <w:rsid w:val="00312B21"/>
    <w:rsid w:val="00312B4C"/>
    <w:rsid w:val="0031344D"/>
    <w:rsid w:val="00313498"/>
    <w:rsid w:val="003134E1"/>
    <w:rsid w:val="00313829"/>
    <w:rsid w:val="00313EA5"/>
    <w:rsid w:val="00313F53"/>
    <w:rsid w:val="00314184"/>
    <w:rsid w:val="00314BD4"/>
    <w:rsid w:val="00315067"/>
    <w:rsid w:val="00315308"/>
    <w:rsid w:val="00315693"/>
    <w:rsid w:val="00315ED5"/>
    <w:rsid w:val="00316460"/>
    <w:rsid w:val="0031650E"/>
    <w:rsid w:val="00316792"/>
    <w:rsid w:val="0031695A"/>
    <w:rsid w:val="00316A1F"/>
    <w:rsid w:val="00316AAC"/>
    <w:rsid w:val="00316B87"/>
    <w:rsid w:val="00316C8E"/>
    <w:rsid w:val="00316D5A"/>
    <w:rsid w:val="00316DD7"/>
    <w:rsid w:val="0031709B"/>
    <w:rsid w:val="0031733F"/>
    <w:rsid w:val="00317456"/>
    <w:rsid w:val="00317AF3"/>
    <w:rsid w:val="00317B11"/>
    <w:rsid w:val="00317BB6"/>
    <w:rsid w:val="00317C6D"/>
    <w:rsid w:val="00317C8A"/>
    <w:rsid w:val="003208EE"/>
    <w:rsid w:val="00320AA2"/>
    <w:rsid w:val="00320C78"/>
    <w:rsid w:val="00320EA6"/>
    <w:rsid w:val="00321055"/>
    <w:rsid w:val="00321215"/>
    <w:rsid w:val="00321A62"/>
    <w:rsid w:val="00321C0D"/>
    <w:rsid w:val="00321C8C"/>
    <w:rsid w:val="0032204A"/>
    <w:rsid w:val="0032217A"/>
    <w:rsid w:val="003222AB"/>
    <w:rsid w:val="00322426"/>
    <w:rsid w:val="003227A4"/>
    <w:rsid w:val="003229C9"/>
    <w:rsid w:val="00323066"/>
    <w:rsid w:val="0032364D"/>
    <w:rsid w:val="00323756"/>
    <w:rsid w:val="00323908"/>
    <w:rsid w:val="0032396D"/>
    <w:rsid w:val="00323A18"/>
    <w:rsid w:val="00323CAA"/>
    <w:rsid w:val="00323DD6"/>
    <w:rsid w:val="00323FED"/>
    <w:rsid w:val="0032400A"/>
    <w:rsid w:val="00324226"/>
    <w:rsid w:val="003243EB"/>
    <w:rsid w:val="00324671"/>
    <w:rsid w:val="0032560B"/>
    <w:rsid w:val="00325CEF"/>
    <w:rsid w:val="00325E30"/>
    <w:rsid w:val="00325E76"/>
    <w:rsid w:val="003262BE"/>
    <w:rsid w:val="00326691"/>
    <w:rsid w:val="003266D6"/>
    <w:rsid w:val="00326ADD"/>
    <w:rsid w:val="00326B7B"/>
    <w:rsid w:val="0032709A"/>
    <w:rsid w:val="0032714B"/>
    <w:rsid w:val="0032744E"/>
    <w:rsid w:val="003279C6"/>
    <w:rsid w:val="00327AA0"/>
    <w:rsid w:val="00327D18"/>
    <w:rsid w:val="00327F69"/>
    <w:rsid w:val="00330177"/>
    <w:rsid w:val="003304A4"/>
    <w:rsid w:val="003306FE"/>
    <w:rsid w:val="00330B0A"/>
    <w:rsid w:val="00330CFA"/>
    <w:rsid w:val="00331169"/>
    <w:rsid w:val="0033189D"/>
    <w:rsid w:val="00331FEE"/>
    <w:rsid w:val="003325BD"/>
    <w:rsid w:val="00332658"/>
    <w:rsid w:val="00332666"/>
    <w:rsid w:val="00332BD9"/>
    <w:rsid w:val="00332CC0"/>
    <w:rsid w:val="00332EB8"/>
    <w:rsid w:val="00333202"/>
    <w:rsid w:val="00333551"/>
    <w:rsid w:val="00333A23"/>
    <w:rsid w:val="003346B8"/>
    <w:rsid w:val="00334703"/>
    <w:rsid w:val="00334708"/>
    <w:rsid w:val="00334757"/>
    <w:rsid w:val="003348DD"/>
    <w:rsid w:val="00334C2F"/>
    <w:rsid w:val="00334DFF"/>
    <w:rsid w:val="00334E50"/>
    <w:rsid w:val="00334EDA"/>
    <w:rsid w:val="00334EE3"/>
    <w:rsid w:val="00334FBF"/>
    <w:rsid w:val="0033513D"/>
    <w:rsid w:val="00335931"/>
    <w:rsid w:val="00335BC4"/>
    <w:rsid w:val="00335C5E"/>
    <w:rsid w:val="00335C77"/>
    <w:rsid w:val="00335D6B"/>
    <w:rsid w:val="00335EBA"/>
    <w:rsid w:val="00336007"/>
    <w:rsid w:val="00336040"/>
    <w:rsid w:val="00336177"/>
    <w:rsid w:val="0033649C"/>
    <w:rsid w:val="003365B9"/>
    <w:rsid w:val="003365CC"/>
    <w:rsid w:val="0033698B"/>
    <w:rsid w:val="00336A56"/>
    <w:rsid w:val="00336B0F"/>
    <w:rsid w:val="00336BAC"/>
    <w:rsid w:val="00336D2E"/>
    <w:rsid w:val="00337254"/>
    <w:rsid w:val="00337333"/>
    <w:rsid w:val="00337A67"/>
    <w:rsid w:val="00337D8E"/>
    <w:rsid w:val="00337EEB"/>
    <w:rsid w:val="00337FD5"/>
    <w:rsid w:val="003401B4"/>
    <w:rsid w:val="00340280"/>
    <w:rsid w:val="003402D1"/>
    <w:rsid w:val="003407E9"/>
    <w:rsid w:val="003410E7"/>
    <w:rsid w:val="00341694"/>
    <w:rsid w:val="003417AB"/>
    <w:rsid w:val="003419D0"/>
    <w:rsid w:val="00341C8F"/>
    <w:rsid w:val="00342304"/>
    <w:rsid w:val="003425C7"/>
    <w:rsid w:val="003427E1"/>
    <w:rsid w:val="00342935"/>
    <w:rsid w:val="00342B99"/>
    <w:rsid w:val="00342BA2"/>
    <w:rsid w:val="00342F4A"/>
    <w:rsid w:val="00342F5E"/>
    <w:rsid w:val="00343156"/>
    <w:rsid w:val="003433EB"/>
    <w:rsid w:val="003435E6"/>
    <w:rsid w:val="003435EE"/>
    <w:rsid w:val="003438E6"/>
    <w:rsid w:val="00343BD8"/>
    <w:rsid w:val="00343E85"/>
    <w:rsid w:val="00344099"/>
    <w:rsid w:val="003441CE"/>
    <w:rsid w:val="003441E8"/>
    <w:rsid w:val="003443F1"/>
    <w:rsid w:val="0034449C"/>
    <w:rsid w:val="00344605"/>
    <w:rsid w:val="00344639"/>
    <w:rsid w:val="003449C9"/>
    <w:rsid w:val="00344EB9"/>
    <w:rsid w:val="00344F9D"/>
    <w:rsid w:val="00345297"/>
    <w:rsid w:val="003453CC"/>
    <w:rsid w:val="003455E6"/>
    <w:rsid w:val="00345619"/>
    <w:rsid w:val="003457D1"/>
    <w:rsid w:val="0034580F"/>
    <w:rsid w:val="003458BA"/>
    <w:rsid w:val="00345D28"/>
    <w:rsid w:val="00346572"/>
    <w:rsid w:val="003465A9"/>
    <w:rsid w:val="00346D0C"/>
    <w:rsid w:val="00346D9B"/>
    <w:rsid w:val="00346E11"/>
    <w:rsid w:val="003472C3"/>
    <w:rsid w:val="00347511"/>
    <w:rsid w:val="00347894"/>
    <w:rsid w:val="003478BC"/>
    <w:rsid w:val="00347A1A"/>
    <w:rsid w:val="00350169"/>
    <w:rsid w:val="00350370"/>
    <w:rsid w:val="00350383"/>
    <w:rsid w:val="00350908"/>
    <w:rsid w:val="00350CF7"/>
    <w:rsid w:val="00350E2E"/>
    <w:rsid w:val="00350EEA"/>
    <w:rsid w:val="00350FD6"/>
    <w:rsid w:val="003510F2"/>
    <w:rsid w:val="003511F5"/>
    <w:rsid w:val="00351296"/>
    <w:rsid w:val="0035140F"/>
    <w:rsid w:val="00351628"/>
    <w:rsid w:val="00351786"/>
    <w:rsid w:val="003517CD"/>
    <w:rsid w:val="00351E46"/>
    <w:rsid w:val="00351EDE"/>
    <w:rsid w:val="003521F7"/>
    <w:rsid w:val="003525B1"/>
    <w:rsid w:val="00352961"/>
    <w:rsid w:val="00352C5C"/>
    <w:rsid w:val="00352F4C"/>
    <w:rsid w:val="00353625"/>
    <w:rsid w:val="00353AA7"/>
    <w:rsid w:val="00353B0B"/>
    <w:rsid w:val="003543D0"/>
    <w:rsid w:val="00354422"/>
    <w:rsid w:val="003547FF"/>
    <w:rsid w:val="00354872"/>
    <w:rsid w:val="003549F3"/>
    <w:rsid w:val="00354AB8"/>
    <w:rsid w:val="00354B83"/>
    <w:rsid w:val="00354F1B"/>
    <w:rsid w:val="00354FAD"/>
    <w:rsid w:val="0035526B"/>
    <w:rsid w:val="0035545C"/>
    <w:rsid w:val="0035575A"/>
    <w:rsid w:val="00355923"/>
    <w:rsid w:val="0035598D"/>
    <w:rsid w:val="0035605E"/>
    <w:rsid w:val="003566A2"/>
    <w:rsid w:val="00356AF6"/>
    <w:rsid w:val="00356E4D"/>
    <w:rsid w:val="00357F60"/>
    <w:rsid w:val="00360408"/>
    <w:rsid w:val="00360696"/>
    <w:rsid w:val="003608AB"/>
    <w:rsid w:val="00360A83"/>
    <w:rsid w:val="00360C6C"/>
    <w:rsid w:val="00360EE5"/>
    <w:rsid w:val="00361027"/>
    <w:rsid w:val="00361085"/>
    <w:rsid w:val="0036126A"/>
    <w:rsid w:val="00361419"/>
    <w:rsid w:val="00361B89"/>
    <w:rsid w:val="00362295"/>
    <w:rsid w:val="0036265A"/>
    <w:rsid w:val="00362818"/>
    <w:rsid w:val="00362896"/>
    <w:rsid w:val="003629BF"/>
    <w:rsid w:val="00362B53"/>
    <w:rsid w:val="00362E39"/>
    <w:rsid w:val="00362E48"/>
    <w:rsid w:val="003630A6"/>
    <w:rsid w:val="00363135"/>
    <w:rsid w:val="003636AA"/>
    <w:rsid w:val="00363860"/>
    <w:rsid w:val="00363A12"/>
    <w:rsid w:val="003640E9"/>
    <w:rsid w:val="003642DD"/>
    <w:rsid w:val="00364393"/>
    <w:rsid w:val="0036445E"/>
    <w:rsid w:val="0036449F"/>
    <w:rsid w:val="00364EE6"/>
    <w:rsid w:val="0036504D"/>
    <w:rsid w:val="00365130"/>
    <w:rsid w:val="003655D0"/>
    <w:rsid w:val="0036599D"/>
    <w:rsid w:val="003659DC"/>
    <w:rsid w:val="00365A3D"/>
    <w:rsid w:val="00365ACE"/>
    <w:rsid w:val="00365BBA"/>
    <w:rsid w:val="00365C3D"/>
    <w:rsid w:val="00365D1D"/>
    <w:rsid w:val="00365F05"/>
    <w:rsid w:val="00366129"/>
    <w:rsid w:val="00366159"/>
    <w:rsid w:val="0036620A"/>
    <w:rsid w:val="00366669"/>
    <w:rsid w:val="003667D0"/>
    <w:rsid w:val="0036698D"/>
    <w:rsid w:val="00366BE2"/>
    <w:rsid w:val="00366F77"/>
    <w:rsid w:val="00366FC4"/>
    <w:rsid w:val="003671F2"/>
    <w:rsid w:val="0036730C"/>
    <w:rsid w:val="00367468"/>
    <w:rsid w:val="00367506"/>
    <w:rsid w:val="00367671"/>
    <w:rsid w:val="0037044E"/>
    <w:rsid w:val="00370AAA"/>
    <w:rsid w:val="00370AEC"/>
    <w:rsid w:val="00370B0E"/>
    <w:rsid w:val="00370FD0"/>
    <w:rsid w:val="00371233"/>
    <w:rsid w:val="003714C5"/>
    <w:rsid w:val="003714C7"/>
    <w:rsid w:val="00371507"/>
    <w:rsid w:val="003715B3"/>
    <w:rsid w:val="0037163F"/>
    <w:rsid w:val="0037199E"/>
    <w:rsid w:val="00371D0E"/>
    <w:rsid w:val="00371E77"/>
    <w:rsid w:val="0037203A"/>
    <w:rsid w:val="00372065"/>
    <w:rsid w:val="00372350"/>
    <w:rsid w:val="00372A45"/>
    <w:rsid w:val="00372A78"/>
    <w:rsid w:val="00372AC6"/>
    <w:rsid w:val="00372AF2"/>
    <w:rsid w:val="00372B88"/>
    <w:rsid w:val="00373C9E"/>
    <w:rsid w:val="003740AB"/>
    <w:rsid w:val="003747F7"/>
    <w:rsid w:val="00374945"/>
    <w:rsid w:val="003752F8"/>
    <w:rsid w:val="003754A5"/>
    <w:rsid w:val="00375AA8"/>
    <w:rsid w:val="00375ABA"/>
    <w:rsid w:val="00375CCA"/>
    <w:rsid w:val="00376005"/>
    <w:rsid w:val="00376977"/>
    <w:rsid w:val="00377131"/>
    <w:rsid w:val="0037753F"/>
    <w:rsid w:val="00380076"/>
    <w:rsid w:val="003803DA"/>
    <w:rsid w:val="00380A92"/>
    <w:rsid w:val="00380BC5"/>
    <w:rsid w:val="00380C36"/>
    <w:rsid w:val="003816C4"/>
    <w:rsid w:val="00381814"/>
    <w:rsid w:val="00381995"/>
    <w:rsid w:val="00381C56"/>
    <w:rsid w:val="00381F53"/>
    <w:rsid w:val="0038252B"/>
    <w:rsid w:val="00382577"/>
    <w:rsid w:val="00382590"/>
    <w:rsid w:val="00382709"/>
    <w:rsid w:val="00382BB6"/>
    <w:rsid w:val="00382FD2"/>
    <w:rsid w:val="00383073"/>
    <w:rsid w:val="00383B2D"/>
    <w:rsid w:val="00383FFC"/>
    <w:rsid w:val="0038418E"/>
    <w:rsid w:val="00384318"/>
    <w:rsid w:val="003846E5"/>
    <w:rsid w:val="003847E9"/>
    <w:rsid w:val="00384C03"/>
    <w:rsid w:val="003851D6"/>
    <w:rsid w:val="003857E4"/>
    <w:rsid w:val="00385AE6"/>
    <w:rsid w:val="00385E24"/>
    <w:rsid w:val="00385E2D"/>
    <w:rsid w:val="00385E56"/>
    <w:rsid w:val="003862A7"/>
    <w:rsid w:val="00386584"/>
    <w:rsid w:val="0038663B"/>
    <w:rsid w:val="003867C1"/>
    <w:rsid w:val="00386889"/>
    <w:rsid w:val="00386AA0"/>
    <w:rsid w:val="00387008"/>
    <w:rsid w:val="0038735B"/>
    <w:rsid w:val="003873B4"/>
    <w:rsid w:val="0038782C"/>
    <w:rsid w:val="00387C0C"/>
    <w:rsid w:val="00390538"/>
    <w:rsid w:val="003905C6"/>
    <w:rsid w:val="00390672"/>
    <w:rsid w:val="00390678"/>
    <w:rsid w:val="003908C8"/>
    <w:rsid w:val="00390A31"/>
    <w:rsid w:val="00390A37"/>
    <w:rsid w:val="00390FF3"/>
    <w:rsid w:val="00391339"/>
    <w:rsid w:val="003913A1"/>
    <w:rsid w:val="00391809"/>
    <w:rsid w:val="00391955"/>
    <w:rsid w:val="00391A4D"/>
    <w:rsid w:val="00391B0B"/>
    <w:rsid w:val="003920D5"/>
    <w:rsid w:val="0039215A"/>
    <w:rsid w:val="00392751"/>
    <w:rsid w:val="003928BE"/>
    <w:rsid w:val="00392B90"/>
    <w:rsid w:val="00393309"/>
    <w:rsid w:val="0039337F"/>
    <w:rsid w:val="00393520"/>
    <w:rsid w:val="00393977"/>
    <w:rsid w:val="00393C49"/>
    <w:rsid w:val="00393DFD"/>
    <w:rsid w:val="00393F5E"/>
    <w:rsid w:val="00393FB7"/>
    <w:rsid w:val="003942C3"/>
    <w:rsid w:val="003942CB"/>
    <w:rsid w:val="00394582"/>
    <w:rsid w:val="003948F3"/>
    <w:rsid w:val="00394A29"/>
    <w:rsid w:val="00394AD4"/>
    <w:rsid w:val="003950AE"/>
    <w:rsid w:val="0039548D"/>
    <w:rsid w:val="003957D2"/>
    <w:rsid w:val="00395B30"/>
    <w:rsid w:val="00395FD9"/>
    <w:rsid w:val="003967EF"/>
    <w:rsid w:val="0039688D"/>
    <w:rsid w:val="0039697A"/>
    <w:rsid w:val="00396BCA"/>
    <w:rsid w:val="00396E30"/>
    <w:rsid w:val="003973BB"/>
    <w:rsid w:val="00397681"/>
    <w:rsid w:val="00397B54"/>
    <w:rsid w:val="00397B8B"/>
    <w:rsid w:val="00397B8F"/>
    <w:rsid w:val="00397C89"/>
    <w:rsid w:val="00397E57"/>
    <w:rsid w:val="003A063A"/>
    <w:rsid w:val="003A0E16"/>
    <w:rsid w:val="003A1604"/>
    <w:rsid w:val="003A175B"/>
    <w:rsid w:val="003A1C44"/>
    <w:rsid w:val="003A22AD"/>
    <w:rsid w:val="003A2395"/>
    <w:rsid w:val="003A246E"/>
    <w:rsid w:val="003A2549"/>
    <w:rsid w:val="003A2BC9"/>
    <w:rsid w:val="003A3098"/>
    <w:rsid w:val="003A322E"/>
    <w:rsid w:val="003A3580"/>
    <w:rsid w:val="003A3609"/>
    <w:rsid w:val="003A3BE8"/>
    <w:rsid w:val="003A3C7F"/>
    <w:rsid w:val="003A3CF0"/>
    <w:rsid w:val="003A416F"/>
    <w:rsid w:val="003A449A"/>
    <w:rsid w:val="003A4587"/>
    <w:rsid w:val="003A45DD"/>
    <w:rsid w:val="003A4883"/>
    <w:rsid w:val="003A490A"/>
    <w:rsid w:val="003A4923"/>
    <w:rsid w:val="003A4A0B"/>
    <w:rsid w:val="003A4AB0"/>
    <w:rsid w:val="003A4D6F"/>
    <w:rsid w:val="003A522D"/>
    <w:rsid w:val="003A5252"/>
    <w:rsid w:val="003A5328"/>
    <w:rsid w:val="003A543C"/>
    <w:rsid w:val="003A554C"/>
    <w:rsid w:val="003A5612"/>
    <w:rsid w:val="003A5B38"/>
    <w:rsid w:val="003A5F99"/>
    <w:rsid w:val="003A61FD"/>
    <w:rsid w:val="003A66AD"/>
    <w:rsid w:val="003A6753"/>
    <w:rsid w:val="003A6CF8"/>
    <w:rsid w:val="003A6DE2"/>
    <w:rsid w:val="003A6FDF"/>
    <w:rsid w:val="003A76C9"/>
    <w:rsid w:val="003A7722"/>
    <w:rsid w:val="003A77AA"/>
    <w:rsid w:val="003A7A07"/>
    <w:rsid w:val="003A7A1F"/>
    <w:rsid w:val="003B0601"/>
    <w:rsid w:val="003B0657"/>
    <w:rsid w:val="003B0879"/>
    <w:rsid w:val="003B08EE"/>
    <w:rsid w:val="003B0BDB"/>
    <w:rsid w:val="003B0D92"/>
    <w:rsid w:val="003B1331"/>
    <w:rsid w:val="003B14F2"/>
    <w:rsid w:val="003B16A1"/>
    <w:rsid w:val="003B1748"/>
    <w:rsid w:val="003B1864"/>
    <w:rsid w:val="003B249C"/>
    <w:rsid w:val="003B25A9"/>
    <w:rsid w:val="003B27E6"/>
    <w:rsid w:val="003B3700"/>
    <w:rsid w:val="003B39BA"/>
    <w:rsid w:val="003B3BA6"/>
    <w:rsid w:val="003B3C06"/>
    <w:rsid w:val="003B4025"/>
    <w:rsid w:val="003B4067"/>
    <w:rsid w:val="003B4205"/>
    <w:rsid w:val="003B4437"/>
    <w:rsid w:val="003B45C8"/>
    <w:rsid w:val="003B481B"/>
    <w:rsid w:val="003B49FE"/>
    <w:rsid w:val="003B4F0C"/>
    <w:rsid w:val="003B4F61"/>
    <w:rsid w:val="003B5140"/>
    <w:rsid w:val="003B5148"/>
    <w:rsid w:val="003B542A"/>
    <w:rsid w:val="003B5AEA"/>
    <w:rsid w:val="003B5E7A"/>
    <w:rsid w:val="003B6103"/>
    <w:rsid w:val="003B62C1"/>
    <w:rsid w:val="003B6CA1"/>
    <w:rsid w:val="003B6E4E"/>
    <w:rsid w:val="003B6F21"/>
    <w:rsid w:val="003B71B0"/>
    <w:rsid w:val="003B73C3"/>
    <w:rsid w:val="003B73C5"/>
    <w:rsid w:val="003B7536"/>
    <w:rsid w:val="003B7738"/>
    <w:rsid w:val="003B77CF"/>
    <w:rsid w:val="003B7A16"/>
    <w:rsid w:val="003C0156"/>
    <w:rsid w:val="003C072A"/>
    <w:rsid w:val="003C08DA"/>
    <w:rsid w:val="003C0AE2"/>
    <w:rsid w:val="003C0C46"/>
    <w:rsid w:val="003C0E3F"/>
    <w:rsid w:val="003C0FB8"/>
    <w:rsid w:val="003C0FF4"/>
    <w:rsid w:val="003C103C"/>
    <w:rsid w:val="003C17C1"/>
    <w:rsid w:val="003C1921"/>
    <w:rsid w:val="003C1FE9"/>
    <w:rsid w:val="003C263E"/>
    <w:rsid w:val="003C2A45"/>
    <w:rsid w:val="003C2A50"/>
    <w:rsid w:val="003C2AC9"/>
    <w:rsid w:val="003C2C0A"/>
    <w:rsid w:val="003C2C2E"/>
    <w:rsid w:val="003C2E33"/>
    <w:rsid w:val="003C3210"/>
    <w:rsid w:val="003C3456"/>
    <w:rsid w:val="003C35DC"/>
    <w:rsid w:val="003C3A68"/>
    <w:rsid w:val="003C3ECB"/>
    <w:rsid w:val="003C41B8"/>
    <w:rsid w:val="003C425C"/>
    <w:rsid w:val="003C487E"/>
    <w:rsid w:val="003C48CE"/>
    <w:rsid w:val="003C4A00"/>
    <w:rsid w:val="003C5212"/>
    <w:rsid w:val="003C536E"/>
    <w:rsid w:val="003C5777"/>
    <w:rsid w:val="003C5A64"/>
    <w:rsid w:val="003C5AB0"/>
    <w:rsid w:val="003C5BBC"/>
    <w:rsid w:val="003C5D8E"/>
    <w:rsid w:val="003C6632"/>
    <w:rsid w:val="003C67FC"/>
    <w:rsid w:val="003C6851"/>
    <w:rsid w:val="003C6B8E"/>
    <w:rsid w:val="003C6C05"/>
    <w:rsid w:val="003C7113"/>
    <w:rsid w:val="003C72BE"/>
    <w:rsid w:val="003C78C0"/>
    <w:rsid w:val="003C7DA5"/>
    <w:rsid w:val="003C7E7A"/>
    <w:rsid w:val="003C7EC1"/>
    <w:rsid w:val="003D0103"/>
    <w:rsid w:val="003D01FF"/>
    <w:rsid w:val="003D04CE"/>
    <w:rsid w:val="003D0844"/>
    <w:rsid w:val="003D0FC6"/>
    <w:rsid w:val="003D1290"/>
    <w:rsid w:val="003D15D5"/>
    <w:rsid w:val="003D1738"/>
    <w:rsid w:val="003D1A6E"/>
    <w:rsid w:val="003D1BDA"/>
    <w:rsid w:val="003D1CEC"/>
    <w:rsid w:val="003D24F2"/>
    <w:rsid w:val="003D26D8"/>
    <w:rsid w:val="003D27B8"/>
    <w:rsid w:val="003D2E39"/>
    <w:rsid w:val="003D2E84"/>
    <w:rsid w:val="003D3EB9"/>
    <w:rsid w:val="003D3EFC"/>
    <w:rsid w:val="003D41C3"/>
    <w:rsid w:val="003D4524"/>
    <w:rsid w:val="003D4534"/>
    <w:rsid w:val="003D459E"/>
    <w:rsid w:val="003D479B"/>
    <w:rsid w:val="003D4896"/>
    <w:rsid w:val="003D511C"/>
    <w:rsid w:val="003D5352"/>
    <w:rsid w:val="003D54A3"/>
    <w:rsid w:val="003D5576"/>
    <w:rsid w:val="003D5829"/>
    <w:rsid w:val="003D5B02"/>
    <w:rsid w:val="003D5BD4"/>
    <w:rsid w:val="003D6434"/>
    <w:rsid w:val="003D652E"/>
    <w:rsid w:val="003D6D34"/>
    <w:rsid w:val="003D71CA"/>
    <w:rsid w:val="003D754E"/>
    <w:rsid w:val="003D765F"/>
    <w:rsid w:val="003E14D4"/>
    <w:rsid w:val="003E1EFF"/>
    <w:rsid w:val="003E222B"/>
    <w:rsid w:val="003E253D"/>
    <w:rsid w:val="003E2683"/>
    <w:rsid w:val="003E2949"/>
    <w:rsid w:val="003E2E46"/>
    <w:rsid w:val="003E2E4C"/>
    <w:rsid w:val="003E30D6"/>
    <w:rsid w:val="003E3372"/>
    <w:rsid w:val="003E3434"/>
    <w:rsid w:val="003E34A7"/>
    <w:rsid w:val="003E35A6"/>
    <w:rsid w:val="003E38E7"/>
    <w:rsid w:val="003E3CB9"/>
    <w:rsid w:val="003E413E"/>
    <w:rsid w:val="003E488D"/>
    <w:rsid w:val="003E4B51"/>
    <w:rsid w:val="003E4BC9"/>
    <w:rsid w:val="003E4C19"/>
    <w:rsid w:val="003E4E12"/>
    <w:rsid w:val="003E4ECE"/>
    <w:rsid w:val="003E508E"/>
    <w:rsid w:val="003E50FD"/>
    <w:rsid w:val="003E54F5"/>
    <w:rsid w:val="003E5642"/>
    <w:rsid w:val="003E56BB"/>
    <w:rsid w:val="003E5FBA"/>
    <w:rsid w:val="003E6480"/>
    <w:rsid w:val="003E65B6"/>
    <w:rsid w:val="003E679D"/>
    <w:rsid w:val="003E67F8"/>
    <w:rsid w:val="003E6BA2"/>
    <w:rsid w:val="003E6F29"/>
    <w:rsid w:val="003E6FA4"/>
    <w:rsid w:val="003E6FED"/>
    <w:rsid w:val="003E70EA"/>
    <w:rsid w:val="003E70FE"/>
    <w:rsid w:val="003E77C1"/>
    <w:rsid w:val="003E7A74"/>
    <w:rsid w:val="003F0078"/>
    <w:rsid w:val="003F0117"/>
    <w:rsid w:val="003F0319"/>
    <w:rsid w:val="003F0332"/>
    <w:rsid w:val="003F0912"/>
    <w:rsid w:val="003F0BCB"/>
    <w:rsid w:val="003F0C5A"/>
    <w:rsid w:val="003F0F9C"/>
    <w:rsid w:val="003F128B"/>
    <w:rsid w:val="003F1D1F"/>
    <w:rsid w:val="003F233C"/>
    <w:rsid w:val="003F23B8"/>
    <w:rsid w:val="003F269F"/>
    <w:rsid w:val="003F2888"/>
    <w:rsid w:val="003F2A20"/>
    <w:rsid w:val="003F2A50"/>
    <w:rsid w:val="003F2B6C"/>
    <w:rsid w:val="003F2C94"/>
    <w:rsid w:val="003F2DB6"/>
    <w:rsid w:val="003F33F4"/>
    <w:rsid w:val="003F375E"/>
    <w:rsid w:val="003F37F9"/>
    <w:rsid w:val="003F3E2F"/>
    <w:rsid w:val="003F3EFD"/>
    <w:rsid w:val="003F40A6"/>
    <w:rsid w:val="003F4335"/>
    <w:rsid w:val="003F4E1D"/>
    <w:rsid w:val="003F5112"/>
    <w:rsid w:val="003F610D"/>
    <w:rsid w:val="003F6C07"/>
    <w:rsid w:val="003F6D48"/>
    <w:rsid w:val="003F6ED0"/>
    <w:rsid w:val="003F7203"/>
    <w:rsid w:val="003F7969"/>
    <w:rsid w:val="003F7AC9"/>
    <w:rsid w:val="003F7B18"/>
    <w:rsid w:val="00400169"/>
    <w:rsid w:val="0040062D"/>
    <w:rsid w:val="00400B5B"/>
    <w:rsid w:val="00401247"/>
    <w:rsid w:val="00401588"/>
    <w:rsid w:val="0040183E"/>
    <w:rsid w:val="004019AE"/>
    <w:rsid w:val="00401B7F"/>
    <w:rsid w:val="004020BC"/>
    <w:rsid w:val="0040261D"/>
    <w:rsid w:val="00402667"/>
    <w:rsid w:val="00402BC2"/>
    <w:rsid w:val="00402C36"/>
    <w:rsid w:val="00402CBE"/>
    <w:rsid w:val="00402EDC"/>
    <w:rsid w:val="00402F2E"/>
    <w:rsid w:val="00403159"/>
    <w:rsid w:val="00403667"/>
    <w:rsid w:val="004036AD"/>
    <w:rsid w:val="004039CD"/>
    <w:rsid w:val="004039DF"/>
    <w:rsid w:val="00403E9C"/>
    <w:rsid w:val="00403EE7"/>
    <w:rsid w:val="004040B1"/>
    <w:rsid w:val="0040413A"/>
    <w:rsid w:val="004042DB"/>
    <w:rsid w:val="004044A7"/>
    <w:rsid w:val="004044E7"/>
    <w:rsid w:val="0040486D"/>
    <w:rsid w:val="00404902"/>
    <w:rsid w:val="00404C64"/>
    <w:rsid w:val="00404F5C"/>
    <w:rsid w:val="004052DD"/>
    <w:rsid w:val="0040565C"/>
    <w:rsid w:val="0040587B"/>
    <w:rsid w:val="00405A09"/>
    <w:rsid w:val="00405D2D"/>
    <w:rsid w:val="00405F79"/>
    <w:rsid w:val="0040617F"/>
    <w:rsid w:val="00406903"/>
    <w:rsid w:val="00406B1C"/>
    <w:rsid w:val="00406C08"/>
    <w:rsid w:val="00407144"/>
    <w:rsid w:val="00407837"/>
    <w:rsid w:val="004079D4"/>
    <w:rsid w:val="00407DB8"/>
    <w:rsid w:val="00407E6A"/>
    <w:rsid w:val="0041002F"/>
    <w:rsid w:val="00410235"/>
    <w:rsid w:val="00410597"/>
    <w:rsid w:val="0041074B"/>
    <w:rsid w:val="00410C1E"/>
    <w:rsid w:val="00410DC6"/>
    <w:rsid w:val="00410E4F"/>
    <w:rsid w:val="004113D8"/>
    <w:rsid w:val="004117BE"/>
    <w:rsid w:val="00411ADB"/>
    <w:rsid w:val="00411CDA"/>
    <w:rsid w:val="00411D51"/>
    <w:rsid w:val="00412920"/>
    <w:rsid w:val="00412A45"/>
    <w:rsid w:val="00412AF6"/>
    <w:rsid w:val="00412CE5"/>
    <w:rsid w:val="00413026"/>
    <w:rsid w:val="0041352E"/>
    <w:rsid w:val="004137C9"/>
    <w:rsid w:val="004138BE"/>
    <w:rsid w:val="004139F0"/>
    <w:rsid w:val="00413BD7"/>
    <w:rsid w:val="00413E84"/>
    <w:rsid w:val="00414246"/>
    <w:rsid w:val="004142BA"/>
    <w:rsid w:val="0041459C"/>
    <w:rsid w:val="00414B02"/>
    <w:rsid w:val="00414EE4"/>
    <w:rsid w:val="0041519A"/>
    <w:rsid w:val="00415B08"/>
    <w:rsid w:val="00415B25"/>
    <w:rsid w:val="004160BF"/>
    <w:rsid w:val="004161E3"/>
    <w:rsid w:val="004162D8"/>
    <w:rsid w:val="00416385"/>
    <w:rsid w:val="004163B4"/>
    <w:rsid w:val="004165DA"/>
    <w:rsid w:val="004166BE"/>
    <w:rsid w:val="00416861"/>
    <w:rsid w:val="00416C0D"/>
    <w:rsid w:val="00416F2B"/>
    <w:rsid w:val="00416F66"/>
    <w:rsid w:val="004170D6"/>
    <w:rsid w:val="00417625"/>
    <w:rsid w:val="00417802"/>
    <w:rsid w:val="00420491"/>
    <w:rsid w:val="0042091C"/>
    <w:rsid w:val="00420BD5"/>
    <w:rsid w:val="00420FDC"/>
    <w:rsid w:val="00421178"/>
    <w:rsid w:val="004211B7"/>
    <w:rsid w:val="004213A2"/>
    <w:rsid w:val="00421409"/>
    <w:rsid w:val="004217AF"/>
    <w:rsid w:val="00421CC5"/>
    <w:rsid w:val="00421D57"/>
    <w:rsid w:val="00422179"/>
    <w:rsid w:val="004225E1"/>
    <w:rsid w:val="00422AC2"/>
    <w:rsid w:val="00422FE0"/>
    <w:rsid w:val="004231E8"/>
    <w:rsid w:val="00423427"/>
    <w:rsid w:val="0042342D"/>
    <w:rsid w:val="004234B7"/>
    <w:rsid w:val="004235A2"/>
    <w:rsid w:val="004236DD"/>
    <w:rsid w:val="00423899"/>
    <w:rsid w:val="00423DC4"/>
    <w:rsid w:val="004244B2"/>
    <w:rsid w:val="00424618"/>
    <w:rsid w:val="00424892"/>
    <w:rsid w:val="00425186"/>
    <w:rsid w:val="00425657"/>
    <w:rsid w:val="00425735"/>
    <w:rsid w:val="00425AB5"/>
    <w:rsid w:val="00425B42"/>
    <w:rsid w:val="00425CB2"/>
    <w:rsid w:val="00425CBE"/>
    <w:rsid w:val="00425D15"/>
    <w:rsid w:val="00426912"/>
    <w:rsid w:val="00426A6D"/>
    <w:rsid w:val="00426CD6"/>
    <w:rsid w:val="00426D50"/>
    <w:rsid w:val="00427269"/>
    <w:rsid w:val="00427574"/>
    <w:rsid w:val="00427821"/>
    <w:rsid w:val="00427D92"/>
    <w:rsid w:val="00427F55"/>
    <w:rsid w:val="00427FAC"/>
    <w:rsid w:val="00430001"/>
    <w:rsid w:val="00430238"/>
    <w:rsid w:val="0043052D"/>
    <w:rsid w:val="004309A3"/>
    <w:rsid w:val="004309B1"/>
    <w:rsid w:val="00430E54"/>
    <w:rsid w:val="0043115E"/>
    <w:rsid w:val="0043125F"/>
    <w:rsid w:val="004312B9"/>
    <w:rsid w:val="00431579"/>
    <w:rsid w:val="00431AF1"/>
    <w:rsid w:val="00431BAE"/>
    <w:rsid w:val="00431C59"/>
    <w:rsid w:val="00431EA7"/>
    <w:rsid w:val="00431EF8"/>
    <w:rsid w:val="0043200F"/>
    <w:rsid w:val="004320E8"/>
    <w:rsid w:val="004324BD"/>
    <w:rsid w:val="004326E3"/>
    <w:rsid w:val="00432A46"/>
    <w:rsid w:val="00432E24"/>
    <w:rsid w:val="00433275"/>
    <w:rsid w:val="00433A62"/>
    <w:rsid w:val="00433B62"/>
    <w:rsid w:val="00433C16"/>
    <w:rsid w:val="00433C83"/>
    <w:rsid w:val="00433FAE"/>
    <w:rsid w:val="00433FD8"/>
    <w:rsid w:val="004342A6"/>
    <w:rsid w:val="00434378"/>
    <w:rsid w:val="00434555"/>
    <w:rsid w:val="004346BE"/>
    <w:rsid w:val="004348DA"/>
    <w:rsid w:val="004349B6"/>
    <w:rsid w:val="00434D7B"/>
    <w:rsid w:val="00434D95"/>
    <w:rsid w:val="00435ABD"/>
    <w:rsid w:val="00435D51"/>
    <w:rsid w:val="0043637E"/>
    <w:rsid w:val="00436389"/>
    <w:rsid w:val="00436603"/>
    <w:rsid w:val="004368FA"/>
    <w:rsid w:val="00436ADC"/>
    <w:rsid w:val="00436D02"/>
    <w:rsid w:val="00436DD1"/>
    <w:rsid w:val="0043715E"/>
    <w:rsid w:val="004372D4"/>
    <w:rsid w:val="004372DF"/>
    <w:rsid w:val="004373D8"/>
    <w:rsid w:val="00437669"/>
    <w:rsid w:val="00437D11"/>
    <w:rsid w:val="00437FE2"/>
    <w:rsid w:val="00440022"/>
    <w:rsid w:val="00440104"/>
    <w:rsid w:val="00440166"/>
    <w:rsid w:val="00440F17"/>
    <w:rsid w:val="00441253"/>
    <w:rsid w:val="0044129A"/>
    <w:rsid w:val="00441311"/>
    <w:rsid w:val="0044186B"/>
    <w:rsid w:val="004420F3"/>
    <w:rsid w:val="0044214C"/>
    <w:rsid w:val="004422EA"/>
    <w:rsid w:val="0044255D"/>
    <w:rsid w:val="0044298D"/>
    <w:rsid w:val="004430ED"/>
    <w:rsid w:val="00443390"/>
    <w:rsid w:val="0044398C"/>
    <w:rsid w:val="00443E28"/>
    <w:rsid w:val="00443F15"/>
    <w:rsid w:val="00443FE1"/>
    <w:rsid w:val="004443FB"/>
    <w:rsid w:val="00444421"/>
    <w:rsid w:val="0044459E"/>
    <w:rsid w:val="0044495E"/>
    <w:rsid w:val="0044496C"/>
    <w:rsid w:val="00444B8A"/>
    <w:rsid w:val="00444E03"/>
    <w:rsid w:val="00444ED5"/>
    <w:rsid w:val="00445098"/>
    <w:rsid w:val="00445193"/>
    <w:rsid w:val="004455AF"/>
    <w:rsid w:val="004455D9"/>
    <w:rsid w:val="00445629"/>
    <w:rsid w:val="004457DE"/>
    <w:rsid w:val="00445D35"/>
    <w:rsid w:val="0044613C"/>
    <w:rsid w:val="00446146"/>
    <w:rsid w:val="00446281"/>
    <w:rsid w:val="0044652E"/>
    <w:rsid w:val="004466B9"/>
    <w:rsid w:val="004467BC"/>
    <w:rsid w:val="00446897"/>
    <w:rsid w:val="00446A21"/>
    <w:rsid w:val="00446D7A"/>
    <w:rsid w:val="00446F3B"/>
    <w:rsid w:val="004478A7"/>
    <w:rsid w:val="00447A23"/>
    <w:rsid w:val="00447B6B"/>
    <w:rsid w:val="00447EE9"/>
    <w:rsid w:val="00450396"/>
    <w:rsid w:val="00450566"/>
    <w:rsid w:val="00450910"/>
    <w:rsid w:val="00450B00"/>
    <w:rsid w:val="00450D08"/>
    <w:rsid w:val="00450F53"/>
    <w:rsid w:val="00451344"/>
    <w:rsid w:val="00451570"/>
    <w:rsid w:val="00451663"/>
    <w:rsid w:val="004517F3"/>
    <w:rsid w:val="00451DE2"/>
    <w:rsid w:val="004520C0"/>
    <w:rsid w:val="004522E8"/>
    <w:rsid w:val="00452790"/>
    <w:rsid w:val="00452D87"/>
    <w:rsid w:val="004532C3"/>
    <w:rsid w:val="00453459"/>
    <w:rsid w:val="00453479"/>
    <w:rsid w:val="004538CD"/>
    <w:rsid w:val="00453967"/>
    <w:rsid w:val="00453DFC"/>
    <w:rsid w:val="00454083"/>
    <w:rsid w:val="004544F8"/>
    <w:rsid w:val="004545F6"/>
    <w:rsid w:val="00454690"/>
    <w:rsid w:val="00454CCD"/>
    <w:rsid w:val="00454D41"/>
    <w:rsid w:val="00454D78"/>
    <w:rsid w:val="00454D9B"/>
    <w:rsid w:val="00454E09"/>
    <w:rsid w:val="00455324"/>
    <w:rsid w:val="004554A7"/>
    <w:rsid w:val="004557A6"/>
    <w:rsid w:val="004558D0"/>
    <w:rsid w:val="004563CC"/>
    <w:rsid w:val="0045672A"/>
    <w:rsid w:val="00456778"/>
    <w:rsid w:val="00456B17"/>
    <w:rsid w:val="004579AB"/>
    <w:rsid w:val="00460341"/>
    <w:rsid w:val="004604A0"/>
    <w:rsid w:val="0046069C"/>
    <w:rsid w:val="004610BF"/>
    <w:rsid w:val="004614A8"/>
    <w:rsid w:val="00461E7C"/>
    <w:rsid w:val="00462455"/>
    <w:rsid w:val="00462714"/>
    <w:rsid w:val="00462771"/>
    <w:rsid w:val="00462AAF"/>
    <w:rsid w:val="0046336A"/>
    <w:rsid w:val="004638A5"/>
    <w:rsid w:val="004638E3"/>
    <w:rsid w:val="00463B5D"/>
    <w:rsid w:val="0046454F"/>
    <w:rsid w:val="004645CE"/>
    <w:rsid w:val="00464AC1"/>
    <w:rsid w:val="00465388"/>
    <w:rsid w:val="004659C5"/>
    <w:rsid w:val="00465ADE"/>
    <w:rsid w:val="00465B81"/>
    <w:rsid w:val="00465F9B"/>
    <w:rsid w:val="00466132"/>
    <w:rsid w:val="00466483"/>
    <w:rsid w:val="00466535"/>
    <w:rsid w:val="004668BA"/>
    <w:rsid w:val="00466BE5"/>
    <w:rsid w:val="00466CA4"/>
    <w:rsid w:val="00466D90"/>
    <w:rsid w:val="004672E5"/>
    <w:rsid w:val="004673B0"/>
    <w:rsid w:val="00467521"/>
    <w:rsid w:val="00467634"/>
    <w:rsid w:val="00467689"/>
    <w:rsid w:val="00467EE5"/>
    <w:rsid w:val="00467F2F"/>
    <w:rsid w:val="004702AA"/>
    <w:rsid w:val="004708C2"/>
    <w:rsid w:val="00470A0F"/>
    <w:rsid w:val="00470A5B"/>
    <w:rsid w:val="00470D5F"/>
    <w:rsid w:val="00470EBF"/>
    <w:rsid w:val="0047120D"/>
    <w:rsid w:val="00471531"/>
    <w:rsid w:val="00471676"/>
    <w:rsid w:val="0047184D"/>
    <w:rsid w:val="004718A2"/>
    <w:rsid w:val="00471A63"/>
    <w:rsid w:val="00471BAD"/>
    <w:rsid w:val="00471E6B"/>
    <w:rsid w:val="004720B2"/>
    <w:rsid w:val="0047228B"/>
    <w:rsid w:val="0047264D"/>
    <w:rsid w:val="004727D9"/>
    <w:rsid w:val="00472E20"/>
    <w:rsid w:val="0047339A"/>
    <w:rsid w:val="004735AA"/>
    <w:rsid w:val="0047371F"/>
    <w:rsid w:val="00473744"/>
    <w:rsid w:val="00473756"/>
    <w:rsid w:val="0047399F"/>
    <w:rsid w:val="00473F3F"/>
    <w:rsid w:val="00473F51"/>
    <w:rsid w:val="00474349"/>
    <w:rsid w:val="0047458F"/>
    <w:rsid w:val="00474780"/>
    <w:rsid w:val="00474F68"/>
    <w:rsid w:val="00475093"/>
    <w:rsid w:val="004753DA"/>
    <w:rsid w:val="0047544D"/>
    <w:rsid w:val="004755A5"/>
    <w:rsid w:val="00475A89"/>
    <w:rsid w:val="00475B33"/>
    <w:rsid w:val="00475CAF"/>
    <w:rsid w:val="00475E89"/>
    <w:rsid w:val="004760F8"/>
    <w:rsid w:val="00476101"/>
    <w:rsid w:val="00476382"/>
    <w:rsid w:val="004763F6"/>
    <w:rsid w:val="004766E5"/>
    <w:rsid w:val="00476A52"/>
    <w:rsid w:val="00476B66"/>
    <w:rsid w:val="00476D3E"/>
    <w:rsid w:val="00477132"/>
    <w:rsid w:val="004771E4"/>
    <w:rsid w:val="00477926"/>
    <w:rsid w:val="00477DFA"/>
    <w:rsid w:val="0048024D"/>
    <w:rsid w:val="00480462"/>
    <w:rsid w:val="00480588"/>
    <w:rsid w:val="00480714"/>
    <w:rsid w:val="00480AA9"/>
    <w:rsid w:val="00480D4E"/>
    <w:rsid w:val="004817BD"/>
    <w:rsid w:val="00481CBD"/>
    <w:rsid w:val="00481D68"/>
    <w:rsid w:val="00482362"/>
    <w:rsid w:val="004824EB"/>
    <w:rsid w:val="004825F3"/>
    <w:rsid w:val="00482678"/>
    <w:rsid w:val="00482FCB"/>
    <w:rsid w:val="0048347B"/>
    <w:rsid w:val="00483A0B"/>
    <w:rsid w:val="00483A56"/>
    <w:rsid w:val="00483CDA"/>
    <w:rsid w:val="00483D82"/>
    <w:rsid w:val="00483DC1"/>
    <w:rsid w:val="00483F19"/>
    <w:rsid w:val="004841F6"/>
    <w:rsid w:val="004844C6"/>
    <w:rsid w:val="004847C3"/>
    <w:rsid w:val="004847C8"/>
    <w:rsid w:val="00484929"/>
    <w:rsid w:val="00484937"/>
    <w:rsid w:val="00484B4A"/>
    <w:rsid w:val="00484C57"/>
    <w:rsid w:val="00484D6A"/>
    <w:rsid w:val="004851B3"/>
    <w:rsid w:val="00485335"/>
    <w:rsid w:val="00485513"/>
    <w:rsid w:val="00485565"/>
    <w:rsid w:val="004858A6"/>
    <w:rsid w:val="00485B33"/>
    <w:rsid w:val="00485C8D"/>
    <w:rsid w:val="00486650"/>
    <w:rsid w:val="00486785"/>
    <w:rsid w:val="004867F8"/>
    <w:rsid w:val="00486887"/>
    <w:rsid w:val="00486D08"/>
    <w:rsid w:val="00486D1A"/>
    <w:rsid w:val="00487377"/>
    <w:rsid w:val="00487A52"/>
    <w:rsid w:val="00487AAE"/>
    <w:rsid w:val="00487D30"/>
    <w:rsid w:val="00487F95"/>
    <w:rsid w:val="004901C6"/>
    <w:rsid w:val="00490245"/>
    <w:rsid w:val="00490668"/>
    <w:rsid w:val="00490980"/>
    <w:rsid w:val="004912FA"/>
    <w:rsid w:val="0049132E"/>
    <w:rsid w:val="0049154E"/>
    <w:rsid w:val="004915EF"/>
    <w:rsid w:val="00491AF5"/>
    <w:rsid w:val="00491D61"/>
    <w:rsid w:val="00491F71"/>
    <w:rsid w:val="0049258F"/>
    <w:rsid w:val="004925F4"/>
    <w:rsid w:val="0049273D"/>
    <w:rsid w:val="00492C15"/>
    <w:rsid w:val="00492DF8"/>
    <w:rsid w:val="00492F67"/>
    <w:rsid w:val="00493017"/>
    <w:rsid w:val="00493037"/>
    <w:rsid w:val="004933D9"/>
    <w:rsid w:val="004934F0"/>
    <w:rsid w:val="004938D5"/>
    <w:rsid w:val="00493CD8"/>
    <w:rsid w:val="00493F8D"/>
    <w:rsid w:val="00494433"/>
    <w:rsid w:val="00494572"/>
    <w:rsid w:val="00494D3A"/>
    <w:rsid w:val="00494EB2"/>
    <w:rsid w:val="00494FB7"/>
    <w:rsid w:val="00494FF1"/>
    <w:rsid w:val="0049534B"/>
    <w:rsid w:val="00495424"/>
    <w:rsid w:val="004955CB"/>
    <w:rsid w:val="00495780"/>
    <w:rsid w:val="00495903"/>
    <w:rsid w:val="00495971"/>
    <w:rsid w:val="00495E62"/>
    <w:rsid w:val="004962BD"/>
    <w:rsid w:val="0049637B"/>
    <w:rsid w:val="00496410"/>
    <w:rsid w:val="00496C1B"/>
    <w:rsid w:val="0049720F"/>
    <w:rsid w:val="004972A8"/>
    <w:rsid w:val="004974C0"/>
    <w:rsid w:val="00497619"/>
    <w:rsid w:val="00497B06"/>
    <w:rsid w:val="00497CD7"/>
    <w:rsid w:val="00497D06"/>
    <w:rsid w:val="00497D3C"/>
    <w:rsid w:val="004A0091"/>
    <w:rsid w:val="004A0331"/>
    <w:rsid w:val="004A0873"/>
    <w:rsid w:val="004A0B5A"/>
    <w:rsid w:val="004A0B8E"/>
    <w:rsid w:val="004A0CD2"/>
    <w:rsid w:val="004A0E3A"/>
    <w:rsid w:val="004A0E9B"/>
    <w:rsid w:val="004A1123"/>
    <w:rsid w:val="004A121E"/>
    <w:rsid w:val="004A15E8"/>
    <w:rsid w:val="004A1914"/>
    <w:rsid w:val="004A19B5"/>
    <w:rsid w:val="004A1EC7"/>
    <w:rsid w:val="004A2482"/>
    <w:rsid w:val="004A25BD"/>
    <w:rsid w:val="004A286B"/>
    <w:rsid w:val="004A2B07"/>
    <w:rsid w:val="004A2C97"/>
    <w:rsid w:val="004A33A2"/>
    <w:rsid w:val="004A3562"/>
    <w:rsid w:val="004A3728"/>
    <w:rsid w:val="004A386F"/>
    <w:rsid w:val="004A3AD0"/>
    <w:rsid w:val="004A3BEB"/>
    <w:rsid w:val="004A3C85"/>
    <w:rsid w:val="004A4088"/>
    <w:rsid w:val="004A44A3"/>
    <w:rsid w:val="004A450F"/>
    <w:rsid w:val="004A4873"/>
    <w:rsid w:val="004A4FCA"/>
    <w:rsid w:val="004A5317"/>
    <w:rsid w:val="004A538C"/>
    <w:rsid w:val="004A5404"/>
    <w:rsid w:val="004A5592"/>
    <w:rsid w:val="004A5663"/>
    <w:rsid w:val="004A5805"/>
    <w:rsid w:val="004A5884"/>
    <w:rsid w:val="004A593E"/>
    <w:rsid w:val="004A5C74"/>
    <w:rsid w:val="004A6398"/>
    <w:rsid w:val="004A63BF"/>
    <w:rsid w:val="004A6AAE"/>
    <w:rsid w:val="004A6E8E"/>
    <w:rsid w:val="004A6E94"/>
    <w:rsid w:val="004A6F08"/>
    <w:rsid w:val="004A6F46"/>
    <w:rsid w:val="004A7221"/>
    <w:rsid w:val="004A7313"/>
    <w:rsid w:val="004A7390"/>
    <w:rsid w:val="004A7A37"/>
    <w:rsid w:val="004A7F45"/>
    <w:rsid w:val="004B0614"/>
    <w:rsid w:val="004B061B"/>
    <w:rsid w:val="004B067D"/>
    <w:rsid w:val="004B07F3"/>
    <w:rsid w:val="004B0856"/>
    <w:rsid w:val="004B0CA3"/>
    <w:rsid w:val="004B102F"/>
    <w:rsid w:val="004B111F"/>
    <w:rsid w:val="004B1A6D"/>
    <w:rsid w:val="004B1C43"/>
    <w:rsid w:val="004B23A5"/>
    <w:rsid w:val="004B23B7"/>
    <w:rsid w:val="004B2A41"/>
    <w:rsid w:val="004B2C2F"/>
    <w:rsid w:val="004B2C7F"/>
    <w:rsid w:val="004B32ED"/>
    <w:rsid w:val="004B33C0"/>
    <w:rsid w:val="004B373B"/>
    <w:rsid w:val="004B393F"/>
    <w:rsid w:val="004B3A33"/>
    <w:rsid w:val="004B3A58"/>
    <w:rsid w:val="004B3AF0"/>
    <w:rsid w:val="004B3D27"/>
    <w:rsid w:val="004B3F67"/>
    <w:rsid w:val="004B416E"/>
    <w:rsid w:val="004B42F9"/>
    <w:rsid w:val="004B430D"/>
    <w:rsid w:val="004B44FC"/>
    <w:rsid w:val="004B458E"/>
    <w:rsid w:val="004B4623"/>
    <w:rsid w:val="004B4667"/>
    <w:rsid w:val="004B481D"/>
    <w:rsid w:val="004B4C8E"/>
    <w:rsid w:val="004B502B"/>
    <w:rsid w:val="004B52B9"/>
    <w:rsid w:val="004B52D0"/>
    <w:rsid w:val="004B5877"/>
    <w:rsid w:val="004B5B1A"/>
    <w:rsid w:val="004B5BE9"/>
    <w:rsid w:val="004B5EF4"/>
    <w:rsid w:val="004B6A2E"/>
    <w:rsid w:val="004B6ACD"/>
    <w:rsid w:val="004B704E"/>
    <w:rsid w:val="004B7728"/>
    <w:rsid w:val="004B7977"/>
    <w:rsid w:val="004B7BF6"/>
    <w:rsid w:val="004C008D"/>
    <w:rsid w:val="004C044E"/>
    <w:rsid w:val="004C0519"/>
    <w:rsid w:val="004C0615"/>
    <w:rsid w:val="004C06FD"/>
    <w:rsid w:val="004C0ADD"/>
    <w:rsid w:val="004C0DCD"/>
    <w:rsid w:val="004C0FFE"/>
    <w:rsid w:val="004C1261"/>
    <w:rsid w:val="004C12E0"/>
    <w:rsid w:val="004C136A"/>
    <w:rsid w:val="004C1378"/>
    <w:rsid w:val="004C1505"/>
    <w:rsid w:val="004C17DB"/>
    <w:rsid w:val="004C190D"/>
    <w:rsid w:val="004C1964"/>
    <w:rsid w:val="004C2310"/>
    <w:rsid w:val="004C2485"/>
    <w:rsid w:val="004C2517"/>
    <w:rsid w:val="004C2BC2"/>
    <w:rsid w:val="004C356E"/>
    <w:rsid w:val="004C3681"/>
    <w:rsid w:val="004C36A5"/>
    <w:rsid w:val="004C36C4"/>
    <w:rsid w:val="004C3718"/>
    <w:rsid w:val="004C3A9F"/>
    <w:rsid w:val="004C3ABF"/>
    <w:rsid w:val="004C4071"/>
    <w:rsid w:val="004C4309"/>
    <w:rsid w:val="004C4FD8"/>
    <w:rsid w:val="004C50D3"/>
    <w:rsid w:val="004C57F4"/>
    <w:rsid w:val="004C583A"/>
    <w:rsid w:val="004C5BDA"/>
    <w:rsid w:val="004C5C16"/>
    <w:rsid w:val="004C6403"/>
    <w:rsid w:val="004C659C"/>
    <w:rsid w:val="004C6992"/>
    <w:rsid w:val="004C6F8B"/>
    <w:rsid w:val="004C7100"/>
    <w:rsid w:val="004C71C1"/>
    <w:rsid w:val="004C7483"/>
    <w:rsid w:val="004C793D"/>
    <w:rsid w:val="004C7A6A"/>
    <w:rsid w:val="004C7BCC"/>
    <w:rsid w:val="004C7FA9"/>
    <w:rsid w:val="004D0AD3"/>
    <w:rsid w:val="004D0BED"/>
    <w:rsid w:val="004D0FFC"/>
    <w:rsid w:val="004D105C"/>
    <w:rsid w:val="004D11A2"/>
    <w:rsid w:val="004D12D3"/>
    <w:rsid w:val="004D1322"/>
    <w:rsid w:val="004D17B2"/>
    <w:rsid w:val="004D1993"/>
    <w:rsid w:val="004D1D62"/>
    <w:rsid w:val="004D1E01"/>
    <w:rsid w:val="004D1E5E"/>
    <w:rsid w:val="004D2333"/>
    <w:rsid w:val="004D2374"/>
    <w:rsid w:val="004D2846"/>
    <w:rsid w:val="004D296E"/>
    <w:rsid w:val="004D2A52"/>
    <w:rsid w:val="004D2C07"/>
    <w:rsid w:val="004D2DB4"/>
    <w:rsid w:val="004D2E5D"/>
    <w:rsid w:val="004D2EF1"/>
    <w:rsid w:val="004D30CC"/>
    <w:rsid w:val="004D32D2"/>
    <w:rsid w:val="004D337D"/>
    <w:rsid w:val="004D3491"/>
    <w:rsid w:val="004D35FD"/>
    <w:rsid w:val="004D3743"/>
    <w:rsid w:val="004D3749"/>
    <w:rsid w:val="004D39B5"/>
    <w:rsid w:val="004D3DD1"/>
    <w:rsid w:val="004D3E76"/>
    <w:rsid w:val="004D47B3"/>
    <w:rsid w:val="004D4803"/>
    <w:rsid w:val="004D4F10"/>
    <w:rsid w:val="004D52F5"/>
    <w:rsid w:val="004D57D1"/>
    <w:rsid w:val="004D58D0"/>
    <w:rsid w:val="004D5ABA"/>
    <w:rsid w:val="004D5B82"/>
    <w:rsid w:val="004D5F09"/>
    <w:rsid w:val="004D62D1"/>
    <w:rsid w:val="004D62FE"/>
    <w:rsid w:val="004D641A"/>
    <w:rsid w:val="004D6986"/>
    <w:rsid w:val="004D69DE"/>
    <w:rsid w:val="004D6E64"/>
    <w:rsid w:val="004D7318"/>
    <w:rsid w:val="004D73A1"/>
    <w:rsid w:val="004D76CD"/>
    <w:rsid w:val="004D7708"/>
    <w:rsid w:val="004D79D9"/>
    <w:rsid w:val="004D7E90"/>
    <w:rsid w:val="004E023E"/>
    <w:rsid w:val="004E071D"/>
    <w:rsid w:val="004E090A"/>
    <w:rsid w:val="004E0B14"/>
    <w:rsid w:val="004E155B"/>
    <w:rsid w:val="004E1743"/>
    <w:rsid w:val="004E1A91"/>
    <w:rsid w:val="004E2730"/>
    <w:rsid w:val="004E2E0D"/>
    <w:rsid w:val="004E2F10"/>
    <w:rsid w:val="004E30F5"/>
    <w:rsid w:val="004E349C"/>
    <w:rsid w:val="004E3614"/>
    <w:rsid w:val="004E386D"/>
    <w:rsid w:val="004E3BD8"/>
    <w:rsid w:val="004E402B"/>
    <w:rsid w:val="004E460F"/>
    <w:rsid w:val="004E48E0"/>
    <w:rsid w:val="004E4BFD"/>
    <w:rsid w:val="004E5734"/>
    <w:rsid w:val="004E5AA0"/>
    <w:rsid w:val="004E614E"/>
    <w:rsid w:val="004E6329"/>
    <w:rsid w:val="004E63D0"/>
    <w:rsid w:val="004E65AA"/>
    <w:rsid w:val="004E6740"/>
    <w:rsid w:val="004E6954"/>
    <w:rsid w:val="004E6979"/>
    <w:rsid w:val="004E69EB"/>
    <w:rsid w:val="004E6A8E"/>
    <w:rsid w:val="004E6CBB"/>
    <w:rsid w:val="004E7263"/>
    <w:rsid w:val="004E7C27"/>
    <w:rsid w:val="004E7C54"/>
    <w:rsid w:val="004E7D41"/>
    <w:rsid w:val="004F02E1"/>
    <w:rsid w:val="004F0704"/>
    <w:rsid w:val="004F0B60"/>
    <w:rsid w:val="004F14FE"/>
    <w:rsid w:val="004F1B5C"/>
    <w:rsid w:val="004F1CBB"/>
    <w:rsid w:val="004F20B6"/>
    <w:rsid w:val="004F21AD"/>
    <w:rsid w:val="004F236E"/>
    <w:rsid w:val="004F2401"/>
    <w:rsid w:val="004F24C2"/>
    <w:rsid w:val="004F2565"/>
    <w:rsid w:val="004F27AC"/>
    <w:rsid w:val="004F27CE"/>
    <w:rsid w:val="004F2EA5"/>
    <w:rsid w:val="004F2F18"/>
    <w:rsid w:val="004F3396"/>
    <w:rsid w:val="004F3408"/>
    <w:rsid w:val="004F3551"/>
    <w:rsid w:val="004F3DDB"/>
    <w:rsid w:val="004F4017"/>
    <w:rsid w:val="004F4117"/>
    <w:rsid w:val="004F46A9"/>
    <w:rsid w:val="004F5232"/>
    <w:rsid w:val="004F57A0"/>
    <w:rsid w:val="004F57EA"/>
    <w:rsid w:val="004F5AA6"/>
    <w:rsid w:val="004F5ABE"/>
    <w:rsid w:val="004F5B2A"/>
    <w:rsid w:val="004F5BA5"/>
    <w:rsid w:val="004F602A"/>
    <w:rsid w:val="004F64C7"/>
    <w:rsid w:val="004F6576"/>
    <w:rsid w:val="004F66F8"/>
    <w:rsid w:val="004F671F"/>
    <w:rsid w:val="004F694F"/>
    <w:rsid w:val="004F6C89"/>
    <w:rsid w:val="004F6DF2"/>
    <w:rsid w:val="004F70C6"/>
    <w:rsid w:val="004F717E"/>
    <w:rsid w:val="004F74D5"/>
    <w:rsid w:val="004F763A"/>
    <w:rsid w:val="004F781A"/>
    <w:rsid w:val="004F7A75"/>
    <w:rsid w:val="004F7D84"/>
    <w:rsid w:val="004F7FFA"/>
    <w:rsid w:val="005002F4"/>
    <w:rsid w:val="00500878"/>
    <w:rsid w:val="00500A72"/>
    <w:rsid w:val="00500C5F"/>
    <w:rsid w:val="00501071"/>
    <w:rsid w:val="0050139D"/>
    <w:rsid w:val="00501496"/>
    <w:rsid w:val="005014EC"/>
    <w:rsid w:val="0050174B"/>
    <w:rsid w:val="00501B68"/>
    <w:rsid w:val="00501C9F"/>
    <w:rsid w:val="00501D14"/>
    <w:rsid w:val="00502048"/>
    <w:rsid w:val="005024A9"/>
    <w:rsid w:val="005029C8"/>
    <w:rsid w:val="00502B02"/>
    <w:rsid w:val="00502B7D"/>
    <w:rsid w:val="00502C32"/>
    <w:rsid w:val="0050336C"/>
    <w:rsid w:val="0050374B"/>
    <w:rsid w:val="00503946"/>
    <w:rsid w:val="00503A25"/>
    <w:rsid w:val="00503C0B"/>
    <w:rsid w:val="00504160"/>
    <w:rsid w:val="00504402"/>
    <w:rsid w:val="005046FB"/>
    <w:rsid w:val="00504821"/>
    <w:rsid w:val="00504850"/>
    <w:rsid w:val="00504E2E"/>
    <w:rsid w:val="00504E39"/>
    <w:rsid w:val="00504E6F"/>
    <w:rsid w:val="00505198"/>
    <w:rsid w:val="0050529A"/>
    <w:rsid w:val="005052F6"/>
    <w:rsid w:val="0050563E"/>
    <w:rsid w:val="00505672"/>
    <w:rsid w:val="0050597B"/>
    <w:rsid w:val="0050599F"/>
    <w:rsid w:val="005059C4"/>
    <w:rsid w:val="00505AB5"/>
    <w:rsid w:val="00505B1B"/>
    <w:rsid w:val="0050616B"/>
    <w:rsid w:val="005066E9"/>
    <w:rsid w:val="00506944"/>
    <w:rsid w:val="00506E32"/>
    <w:rsid w:val="00506E46"/>
    <w:rsid w:val="00506F0B"/>
    <w:rsid w:val="00506F0F"/>
    <w:rsid w:val="0050724C"/>
    <w:rsid w:val="005072B2"/>
    <w:rsid w:val="00507614"/>
    <w:rsid w:val="00507F32"/>
    <w:rsid w:val="00507F83"/>
    <w:rsid w:val="00507FA1"/>
    <w:rsid w:val="00510120"/>
    <w:rsid w:val="0051015C"/>
    <w:rsid w:val="00510369"/>
    <w:rsid w:val="00510ABC"/>
    <w:rsid w:val="00510C1F"/>
    <w:rsid w:val="00510DB6"/>
    <w:rsid w:val="00510E02"/>
    <w:rsid w:val="00511289"/>
    <w:rsid w:val="005115B6"/>
    <w:rsid w:val="005119E1"/>
    <w:rsid w:val="00511BA9"/>
    <w:rsid w:val="00512166"/>
    <w:rsid w:val="005125CC"/>
    <w:rsid w:val="00512631"/>
    <w:rsid w:val="00512BBE"/>
    <w:rsid w:val="00512BC7"/>
    <w:rsid w:val="00513743"/>
    <w:rsid w:val="005137F0"/>
    <w:rsid w:val="00513D0F"/>
    <w:rsid w:val="00513D94"/>
    <w:rsid w:val="00513DFF"/>
    <w:rsid w:val="005144FC"/>
    <w:rsid w:val="00514641"/>
    <w:rsid w:val="005147FF"/>
    <w:rsid w:val="005148BB"/>
    <w:rsid w:val="005148C2"/>
    <w:rsid w:val="00514F1B"/>
    <w:rsid w:val="00514F59"/>
    <w:rsid w:val="0051505F"/>
    <w:rsid w:val="0051575D"/>
    <w:rsid w:val="005158DC"/>
    <w:rsid w:val="00515A18"/>
    <w:rsid w:val="00515A8D"/>
    <w:rsid w:val="00515D9D"/>
    <w:rsid w:val="00515F04"/>
    <w:rsid w:val="00515FE7"/>
    <w:rsid w:val="00516648"/>
    <w:rsid w:val="00516A05"/>
    <w:rsid w:val="00516C79"/>
    <w:rsid w:val="00516FB1"/>
    <w:rsid w:val="0051704D"/>
    <w:rsid w:val="00517642"/>
    <w:rsid w:val="00517691"/>
    <w:rsid w:val="005178AC"/>
    <w:rsid w:val="00517D23"/>
    <w:rsid w:val="00517E4D"/>
    <w:rsid w:val="00520140"/>
    <w:rsid w:val="005203A6"/>
    <w:rsid w:val="005203D0"/>
    <w:rsid w:val="0052055C"/>
    <w:rsid w:val="005206E6"/>
    <w:rsid w:val="005207A4"/>
    <w:rsid w:val="005207CF"/>
    <w:rsid w:val="0052082B"/>
    <w:rsid w:val="00520B85"/>
    <w:rsid w:val="00520D7E"/>
    <w:rsid w:val="00520F75"/>
    <w:rsid w:val="00521297"/>
    <w:rsid w:val="00521873"/>
    <w:rsid w:val="0052196C"/>
    <w:rsid w:val="00521B96"/>
    <w:rsid w:val="005225BF"/>
    <w:rsid w:val="0052287D"/>
    <w:rsid w:val="00522F91"/>
    <w:rsid w:val="00522F99"/>
    <w:rsid w:val="00522FF9"/>
    <w:rsid w:val="00523087"/>
    <w:rsid w:val="00523C64"/>
    <w:rsid w:val="00523E0E"/>
    <w:rsid w:val="00523E5A"/>
    <w:rsid w:val="005242D5"/>
    <w:rsid w:val="00524588"/>
    <w:rsid w:val="0052476A"/>
    <w:rsid w:val="00524A35"/>
    <w:rsid w:val="0052503A"/>
    <w:rsid w:val="005250CC"/>
    <w:rsid w:val="005251EB"/>
    <w:rsid w:val="00525412"/>
    <w:rsid w:val="005254DB"/>
    <w:rsid w:val="005257C4"/>
    <w:rsid w:val="00525990"/>
    <w:rsid w:val="00525A3D"/>
    <w:rsid w:val="00525BA8"/>
    <w:rsid w:val="00525BAC"/>
    <w:rsid w:val="00525C96"/>
    <w:rsid w:val="00525CDE"/>
    <w:rsid w:val="005260AC"/>
    <w:rsid w:val="0052612E"/>
    <w:rsid w:val="0052628D"/>
    <w:rsid w:val="00526354"/>
    <w:rsid w:val="00526500"/>
    <w:rsid w:val="005266EC"/>
    <w:rsid w:val="005267D6"/>
    <w:rsid w:val="0052682B"/>
    <w:rsid w:val="00526B9C"/>
    <w:rsid w:val="00526CAD"/>
    <w:rsid w:val="0052726E"/>
    <w:rsid w:val="0052759B"/>
    <w:rsid w:val="005278B8"/>
    <w:rsid w:val="00527EAD"/>
    <w:rsid w:val="00530117"/>
    <w:rsid w:val="00530CD8"/>
    <w:rsid w:val="00531C7D"/>
    <w:rsid w:val="00531DAA"/>
    <w:rsid w:val="00531F7A"/>
    <w:rsid w:val="0053226B"/>
    <w:rsid w:val="00532740"/>
    <w:rsid w:val="00532786"/>
    <w:rsid w:val="00532AB6"/>
    <w:rsid w:val="00532D29"/>
    <w:rsid w:val="0053307B"/>
    <w:rsid w:val="0053351A"/>
    <w:rsid w:val="00533DDC"/>
    <w:rsid w:val="00533F44"/>
    <w:rsid w:val="0053414D"/>
    <w:rsid w:val="005341AA"/>
    <w:rsid w:val="0053428D"/>
    <w:rsid w:val="0053475D"/>
    <w:rsid w:val="005347B3"/>
    <w:rsid w:val="00535108"/>
    <w:rsid w:val="00535197"/>
    <w:rsid w:val="005357D7"/>
    <w:rsid w:val="00535A1E"/>
    <w:rsid w:val="00535D98"/>
    <w:rsid w:val="00535E7D"/>
    <w:rsid w:val="00535F85"/>
    <w:rsid w:val="005360CD"/>
    <w:rsid w:val="00536221"/>
    <w:rsid w:val="00536635"/>
    <w:rsid w:val="00536840"/>
    <w:rsid w:val="0053699A"/>
    <w:rsid w:val="0053699F"/>
    <w:rsid w:val="00536A82"/>
    <w:rsid w:val="00536B4D"/>
    <w:rsid w:val="00536CCA"/>
    <w:rsid w:val="00537031"/>
    <w:rsid w:val="005373CF"/>
    <w:rsid w:val="005373F1"/>
    <w:rsid w:val="00537430"/>
    <w:rsid w:val="0053787E"/>
    <w:rsid w:val="00537945"/>
    <w:rsid w:val="00537E71"/>
    <w:rsid w:val="005400A5"/>
    <w:rsid w:val="005401D6"/>
    <w:rsid w:val="005402C2"/>
    <w:rsid w:val="00540385"/>
    <w:rsid w:val="00540412"/>
    <w:rsid w:val="005404C4"/>
    <w:rsid w:val="00540DED"/>
    <w:rsid w:val="005410D3"/>
    <w:rsid w:val="005415B6"/>
    <w:rsid w:val="005416E3"/>
    <w:rsid w:val="0054177C"/>
    <w:rsid w:val="005418FE"/>
    <w:rsid w:val="00541FAF"/>
    <w:rsid w:val="005421F3"/>
    <w:rsid w:val="00542521"/>
    <w:rsid w:val="0054271B"/>
    <w:rsid w:val="00542B88"/>
    <w:rsid w:val="00542D44"/>
    <w:rsid w:val="00542DF8"/>
    <w:rsid w:val="005431AC"/>
    <w:rsid w:val="005434C7"/>
    <w:rsid w:val="0054351A"/>
    <w:rsid w:val="00543B56"/>
    <w:rsid w:val="00543B6E"/>
    <w:rsid w:val="00543CD5"/>
    <w:rsid w:val="00543EFE"/>
    <w:rsid w:val="00544119"/>
    <w:rsid w:val="00544353"/>
    <w:rsid w:val="00544751"/>
    <w:rsid w:val="00544A8B"/>
    <w:rsid w:val="00544C40"/>
    <w:rsid w:val="00545195"/>
    <w:rsid w:val="005454F4"/>
    <w:rsid w:val="005459CA"/>
    <w:rsid w:val="00545D01"/>
    <w:rsid w:val="00545E7D"/>
    <w:rsid w:val="005463B6"/>
    <w:rsid w:val="0054679B"/>
    <w:rsid w:val="00546AA5"/>
    <w:rsid w:val="00547329"/>
    <w:rsid w:val="0054775B"/>
    <w:rsid w:val="00547B9B"/>
    <w:rsid w:val="00547F73"/>
    <w:rsid w:val="00550124"/>
    <w:rsid w:val="005505C5"/>
    <w:rsid w:val="00550743"/>
    <w:rsid w:val="0055082F"/>
    <w:rsid w:val="0055089D"/>
    <w:rsid w:val="00550D7D"/>
    <w:rsid w:val="00550E32"/>
    <w:rsid w:val="00551286"/>
    <w:rsid w:val="005518A5"/>
    <w:rsid w:val="005518BC"/>
    <w:rsid w:val="00551944"/>
    <w:rsid w:val="00551945"/>
    <w:rsid w:val="00551C85"/>
    <w:rsid w:val="0055204D"/>
    <w:rsid w:val="0055222F"/>
    <w:rsid w:val="00552328"/>
    <w:rsid w:val="00552538"/>
    <w:rsid w:val="00552FB6"/>
    <w:rsid w:val="005531C2"/>
    <w:rsid w:val="0055352B"/>
    <w:rsid w:val="00553620"/>
    <w:rsid w:val="005536EE"/>
    <w:rsid w:val="00553E38"/>
    <w:rsid w:val="00554018"/>
    <w:rsid w:val="00554169"/>
    <w:rsid w:val="00554211"/>
    <w:rsid w:val="0055450E"/>
    <w:rsid w:val="00554612"/>
    <w:rsid w:val="005546FF"/>
    <w:rsid w:val="005549D1"/>
    <w:rsid w:val="005549E1"/>
    <w:rsid w:val="00554B13"/>
    <w:rsid w:val="00554F97"/>
    <w:rsid w:val="0055501E"/>
    <w:rsid w:val="00555047"/>
    <w:rsid w:val="00555107"/>
    <w:rsid w:val="00555403"/>
    <w:rsid w:val="00555573"/>
    <w:rsid w:val="005556F9"/>
    <w:rsid w:val="0055570A"/>
    <w:rsid w:val="00555C1B"/>
    <w:rsid w:val="00555E93"/>
    <w:rsid w:val="00555F6D"/>
    <w:rsid w:val="005561AC"/>
    <w:rsid w:val="005561AD"/>
    <w:rsid w:val="00556363"/>
    <w:rsid w:val="00556784"/>
    <w:rsid w:val="00556922"/>
    <w:rsid w:val="005569DA"/>
    <w:rsid w:val="00556A1C"/>
    <w:rsid w:val="00556D62"/>
    <w:rsid w:val="00556ED6"/>
    <w:rsid w:val="00557092"/>
    <w:rsid w:val="005570AF"/>
    <w:rsid w:val="00557765"/>
    <w:rsid w:val="00557D60"/>
    <w:rsid w:val="00557E82"/>
    <w:rsid w:val="005601B5"/>
    <w:rsid w:val="005604A1"/>
    <w:rsid w:val="0056076F"/>
    <w:rsid w:val="00560A0E"/>
    <w:rsid w:val="00560FE6"/>
    <w:rsid w:val="0056143C"/>
    <w:rsid w:val="005617C5"/>
    <w:rsid w:val="005618C7"/>
    <w:rsid w:val="00562008"/>
    <w:rsid w:val="00562A58"/>
    <w:rsid w:val="00562CFF"/>
    <w:rsid w:val="005633BD"/>
    <w:rsid w:val="005634F3"/>
    <w:rsid w:val="0056353D"/>
    <w:rsid w:val="005636EF"/>
    <w:rsid w:val="00563728"/>
    <w:rsid w:val="005638FA"/>
    <w:rsid w:val="00563DB5"/>
    <w:rsid w:val="0056436D"/>
    <w:rsid w:val="00564398"/>
    <w:rsid w:val="0056486D"/>
    <w:rsid w:val="005648D6"/>
    <w:rsid w:val="00564A52"/>
    <w:rsid w:val="00564DE2"/>
    <w:rsid w:val="00564FEC"/>
    <w:rsid w:val="0056500E"/>
    <w:rsid w:val="00565262"/>
    <w:rsid w:val="00565389"/>
    <w:rsid w:val="00565551"/>
    <w:rsid w:val="00565664"/>
    <w:rsid w:val="00565A64"/>
    <w:rsid w:val="0056629F"/>
    <w:rsid w:val="00566324"/>
    <w:rsid w:val="00566D8B"/>
    <w:rsid w:val="00566FBC"/>
    <w:rsid w:val="00567760"/>
    <w:rsid w:val="005678C1"/>
    <w:rsid w:val="00567C05"/>
    <w:rsid w:val="00567E8D"/>
    <w:rsid w:val="005706A8"/>
    <w:rsid w:val="005706AB"/>
    <w:rsid w:val="00570B23"/>
    <w:rsid w:val="00570BD1"/>
    <w:rsid w:val="00570DE9"/>
    <w:rsid w:val="00570E4E"/>
    <w:rsid w:val="00570F6D"/>
    <w:rsid w:val="005710A6"/>
    <w:rsid w:val="0057119D"/>
    <w:rsid w:val="00571395"/>
    <w:rsid w:val="00571C91"/>
    <w:rsid w:val="00571DB5"/>
    <w:rsid w:val="005721A0"/>
    <w:rsid w:val="0057226B"/>
    <w:rsid w:val="005722B3"/>
    <w:rsid w:val="00572E11"/>
    <w:rsid w:val="00572FDA"/>
    <w:rsid w:val="0057308F"/>
    <w:rsid w:val="0057348A"/>
    <w:rsid w:val="0057353A"/>
    <w:rsid w:val="0057367D"/>
    <w:rsid w:val="00573726"/>
    <w:rsid w:val="00573D80"/>
    <w:rsid w:val="00573D8E"/>
    <w:rsid w:val="00574088"/>
    <w:rsid w:val="005740E1"/>
    <w:rsid w:val="0057446F"/>
    <w:rsid w:val="0057453E"/>
    <w:rsid w:val="005749FB"/>
    <w:rsid w:val="00575038"/>
    <w:rsid w:val="005753AB"/>
    <w:rsid w:val="00575504"/>
    <w:rsid w:val="005757A6"/>
    <w:rsid w:val="0057589E"/>
    <w:rsid w:val="005758A6"/>
    <w:rsid w:val="00576213"/>
    <w:rsid w:val="005763BA"/>
    <w:rsid w:val="00576479"/>
    <w:rsid w:val="00576845"/>
    <w:rsid w:val="00576AE6"/>
    <w:rsid w:val="005776FB"/>
    <w:rsid w:val="005779BE"/>
    <w:rsid w:val="00577A9E"/>
    <w:rsid w:val="0058030D"/>
    <w:rsid w:val="005809EB"/>
    <w:rsid w:val="00580D87"/>
    <w:rsid w:val="00580FCC"/>
    <w:rsid w:val="005814E8"/>
    <w:rsid w:val="005815C9"/>
    <w:rsid w:val="005815E9"/>
    <w:rsid w:val="00581696"/>
    <w:rsid w:val="005817C2"/>
    <w:rsid w:val="005819DB"/>
    <w:rsid w:val="005819F2"/>
    <w:rsid w:val="00582021"/>
    <w:rsid w:val="005820AF"/>
    <w:rsid w:val="00582300"/>
    <w:rsid w:val="00582CA7"/>
    <w:rsid w:val="0058307C"/>
    <w:rsid w:val="00583214"/>
    <w:rsid w:val="0058364F"/>
    <w:rsid w:val="00583751"/>
    <w:rsid w:val="0058384C"/>
    <w:rsid w:val="00583958"/>
    <w:rsid w:val="00583C6F"/>
    <w:rsid w:val="005841A9"/>
    <w:rsid w:val="0058429C"/>
    <w:rsid w:val="0058433D"/>
    <w:rsid w:val="005843DE"/>
    <w:rsid w:val="00584724"/>
    <w:rsid w:val="0058501A"/>
    <w:rsid w:val="00585037"/>
    <w:rsid w:val="005854CC"/>
    <w:rsid w:val="00585685"/>
    <w:rsid w:val="0058595B"/>
    <w:rsid w:val="00585B59"/>
    <w:rsid w:val="00585C0E"/>
    <w:rsid w:val="00585DB0"/>
    <w:rsid w:val="00586017"/>
    <w:rsid w:val="005867CA"/>
    <w:rsid w:val="00586FA0"/>
    <w:rsid w:val="00587079"/>
    <w:rsid w:val="00587168"/>
    <w:rsid w:val="005874BF"/>
    <w:rsid w:val="005874C7"/>
    <w:rsid w:val="0058751D"/>
    <w:rsid w:val="0058752A"/>
    <w:rsid w:val="005876B4"/>
    <w:rsid w:val="00587AD3"/>
    <w:rsid w:val="00587D94"/>
    <w:rsid w:val="00587E03"/>
    <w:rsid w:val="00587E0C"/>
    <w:rsid w:val="00590404"/>
    <w:rsid w:val="0059056E"/>
    <w:rsid w:val="00590911"/>
    <w:rsid w:val="005912AC"/>
    <w:rsid w:val="00591754"/>
    <w:rsid w:val="005923B8"/>
    <w:rsid w:val="0059257E"/>
    <w:rsid w:val="00592598"/>
    <w:rsid w:val="005925D5"/>
    <w:rsid w:val="0059269C"/>
    <w:rsid w:val="0059271D"/>
    <w:rsid w:val="00592A41"/>
    <w:rsid w:val="00592B65"/>
    <w:rsid w:val="00592BE4"/>
    <w:rsid w:val="00592C54"/>
    <w:rsid w:val="00592EA2"/>
    <w:rsid w:val="005930DA"/>
    <w:rsid w:val="005932A4"/>
    <w:rsid w:val="005934FB"/>
    <w:rsid w:val="00593A28"/>
    <w:rsid w:val="00593BDA"/>
    <w:rsid w:val="00593CFA"/>
    <w:rsid w:val="00593E07"/>
    <w:rsid w:val="00594677"/>
    <w:rsid w:val="00594BD3"/>
    <w:rsid w:val="0059516F"/>
    <w:rsid w:val="005951DF"/>
    <w:rsid w:val="00595306"/>
    <w:rsid w:val="00595695"/>
    <w:rsid w:val="005959E2"/>
    <w:rsid w:val="005959E8"/>
    <w:rsid w:val="0059634E"/>
    <w:rsid w:val="005964D4"/>
    <w:rsid w:val="00596559"/>
    <w:rsid w:val="00596D86"/>
    <w:rsid w:val="00597613"/>
    <w:rsid w:val="00597C5D"/>
    <w:rsid w:val="00597E45"/>
    <w:rsid w:val="00597F7B"/>
    <w:rsid w:val="005A0492"/>
    <w:rsid w:val="005A057A"/>
    <w:rsid w:val="005A08FC"/>
    <w:rsid w:val="005A0EA1"/>
    <w:rsid w:val="005A1091"/>
    <w:rsid w:val="005A10A8"/>
    <w:rsid w:val="005A11ED"/>
    <w:rsid w:val="005A12BA"/>
    <w:rsid w:val="005A1796"/>
    <w:rsid w:val="005A186F"/>
    <w:rsid w:val="005A1A38"/>
    <w:rsid w:val="005A1CBF"/>
    <w:rsid w:val="005A21CE"/>
    <w:rsid w:val="005A24EE"/>
    <w:rsid w:val="005A2736"/>
    <w:rsid w:val="005A29C7"/>
    <w:rsid w:val="005A333A"/>
    <w:rsid w:val="005A3731"/>
    <w:rsid w:val="005A395B"/>
    <w:rsid w:val="005A39E8"/>
    <w:rsid w:val="005A3AAB"/>
    <w:rsid w:val="005A3D47"/>
    <w:rsid w:val="005A3FB0"/>
    <w:rsid w:val="005A40A1"/>
    <w:rsid w:val="005A434C"/>
    <w:rsid w:val="005A45AE"/>
    <w:rsid w:val="005A4741"/>
    <w:rsid w:val="005A487A"/>
    <w:rsid w:val="005A4A7E"/>
    <w:rsid w:val="005A4AC3"/>
    <w:rsid w:val="005A50A2"/>
    <w:rsid w:val="005A53FA"/>
    <w:rsid w:val="005A5644"/>
    <w:rsid w:val="005A56F7"/>
    <w:rsid w:val="005A5881"/>
    <w:rsid w:val="005A5BAA"/>
    <w:rsid w:val="005A5BFC"/>
    <w:rsid w:val="005A5D8C"/>
    <w:rsid w:val="005A6017"/>
    <w:rsid w:val="005A63F1"/>
    <w:rsid w:val="005A64C4"/>
    <w:rsid w:val="005A64D5"/>
    <w:rsid w:val="005A7099"/>
    <w:rsid w:val="005A75FB"/>
    <w:rsid w:val="005A7A4D"/>
    <w:rsid w:val="005A7CA5"/>
    <w:rsid w:val="005B03CA"/>
    <w:rsid w:val="005B095B"/>
    <w:rsid w:val="005B0A48"/>
    <w:rsid w:val="005B0D2A"/>
    <w:rsid w:val="005B0DD7"/>
    <w:rsid w:val="005B1321"/>
    <w:rsid w:val="005B1618"/>
    <w:rsid w:val="005B196B"/>
    <w:rsid w:val="005B1972"/>
    <w:rsid w:val="005B1ACE"/>
    <w:rsid w:val="005B1FB3"/>
    <w:rsid w:val="005B21BC"/>
    <w:rsid w:val="005B21DF"/>
    <w:rsid w:val="005B232E"/>
    <w:rsid w:val="005B278E"/>
    <w:rsid w:val="005B28D0"/>
    <w:rsid w:val="005B29CF"/>
    <w:rsid w:val="005B2A65"/>
    <w:rsid w:val="005B2AD2"/>
    <w:rsid w:val="005B2C32"/>
    <w:rsid w:val="005B2CEC"/>
    <w:rsid w:val="005B2D0F"/>
    <w:rsid w:val="005B2F51"/>
    <w:rsid w:val="005B3627"/>
    <w:rsid w:val="005B3698"/>
    <w:rsid w:val="005B384A"/>
    <w:rsid w:val="005B38C5"/>
    <w:rsid w:val="005B3FD8"/>
    <w:rsid w:val="005B419D"/>
    <w:rsid w:val="005B41B3"/>
    <w:rsid w:val="005B439A"/>
    <w:rsid w:val="005B46F0"/>
    <w:rsid w:val="005B4854"/>
    <w:rsid w:val="005B4876"/>
    <w:rsid w:val="005B489C"/>
    <w:rsid w:val="005B4CF8"/>
    <w:rsid w:val="005B4E14"/>
    <w:rsid w:val="005B53AC"/>
    <w:rsid w:val="005B5DA8"/>
    <w:rsid w:val="005B62F7"/>
    <w:rsid w:val="005B6970"/>
    <w:rsid w:val="005B6B27"/>
    <w:rsid w:val="005B6C0B"/>
    <w:rsid w:val="005B722D"/>
    <w:rsid w:val="005B7668"/>
    <w:rsid w:val="005B77AD"/>
    <w:rsid w:val="005C01A8"/>
    <w:rsid w:val="005C03BE"/>
    <w:rsid w:val="005C04EF"/>
    <w:rsid w:val="005C068D"/>
    <w:rsid w:val="005C09B9"/>
    <w:rsid w:val="005C0C70"/>
    <w:rsid w:val="005C120D"/>
    <w:rsid w:val="005C12CE"/>
    <w:rsid w:val="005C1315"/>
    <w:rsid w:val="005C1409"/>
    <w:rsid w:val="005C1649"/>
    <w:rsid w:val="005C1712"/>
    <w:rsid w:val="005C1742"/>
    <w:rsid w:val="005C189B"/>
    <w:rsid w:val="005C1C8F"/>
    <w:rsid w:val="005C1CFD"/>
    <w:rsid w:val="005C1DDE"/>
    <w:rsid w:val="005C29D2"/>
    <w:rsid w:val="005C2B27"/>
    <w:rsid w:val="005C2F2A"/>
    <w:rsid w:val="005C2FFC"/>
    <w:rsid w:val="005C30BD"/>
    <w:rsid w:val="005C319E"/>
    <w:rsid w:val="005C322F"/>
    <w:rsid w:val="005C330B"/>
    <w:rsid w:val="005C333D"/>
    <w:rsid w:val="005C3879"/>
    <w:rsid w:val="005C3A4B"/>
    <w:rsid w:val="005C3B40"/>
    <w:rsid w:val="005C3E1D"/>
    <w:rsid w:val="005C419E"/>
    <w:rsid w:val="005C42CF"/>
    <w:rsid w:val="005C4460"/>
    <w:rsid w:val="005C4807"/>
    <w:rsid w:val="005C4A0C"/>
    <w:rsid w:val="005C5086"/>
    <w:rsid w:val="005C50BB"/>
    <w:rsid w:val="005C5390"/>
    <w:rsid w:val="005C5AB0"/>
    <w:rsid w:val="005C5C9D"/>
    <w:rsid w:val="005C5D3D"/>
    <w:rsid w:val="005C5ED8"/>
    <w:rsid w:val="005C639D"/>
    <w:rsid w:val="005C69E0"/>
    <w:rsid w:val="005C69EC"/>
    <w:rsid w:val="005C7770"/>
    <w:rsid w:val="005C7B0F"/>
    <w:rsid w:val="005C7BD5"/>
    <w:rsid w:val="005C7F61"/>
    <w:rsid w:val="005D0146"/>
    <w:rsid w:val="005D018F"/>
    <w:rsid w:val="005D0242"/>
    <w:rsid w:val="005D03E0"/>
    <w:rsid w:val="005D0589"/>
    <w:rsid w:val="005D05C4"/>
    <w:rsid w:val="005D068B"/>
    <w:rsid w:val="005D073C"/>
    <w:rsid w:val="005D0ADA"/>
    <w:rsid w:val="005D10B2"/>
    <w:rsid w:val="005D143A"/>
    <w:rsid w:val="005D16D9"/>
    <w:rsid w:val="005D19B2"/>
    <w:rsid w:val="005D19E9"/>
    <w:rsid w:val="005D1EA4"/>
    <w:rsid w:val="005D284C"/>
    <w:rsid w:val="005D2A9A"/>
    <w:rsid w:val="005D2AEA"/>
    <w:rsid w:val="005D2C02"/>
    <w:rsid w:val="005D3084"/>
    <w:rsid w:val="005D3196"/>
    <w:rsid w:val="005D324C"/>
    <w:rsid w:val="005D36CF"/>
    <w:rsid w:val="005D3E14"/>
    <w:rsid w:val="005D3E22"/>
    <w:rsid w:val="005D3E99"/>
    <w:rsid w:val="005D3EC0"/>
    <w:rsid w:val="005D3F67"/>
    <w:rsid w:val="005D478C"/>
    <w:rsid w:val="005D47B6"/>
    <w:rsid w:val="005D4DC0"/>
    <w:rsid w:val="005D549A"/>
    <w:rsid w:val="005D5629"/>
    <w:rsid w:val="005D5697"/>
    <w:rsid w:val="005D5A1B"/>
    <w:rsid w:val="005D5BA8"/>
    <w:rsid w:val="005D5D3C"/>
    <w:rsid w:val="005D5E39"/>
    <w:rsid w:val="005D5F26"/>
    <w:rsid w:val="005D611B"/>
    <w:rsid w:val="005D647C"/>
    <w:rsid w:val="005D6ADF"/>
    <w:rsid w:val="005D6C3C"/>
    <w:rsid w:val="005D6EBD"/>
    <w:rsid w:val="005D6FCE"/>
    <w:rsid w:val="005D73DA"/>
    <w:rsid w:val="005D75E2"/>
    <w:rsid w:val="005D7684"/>
    <w:rsid w:val="005D76C8"/>
    <w:rsid w:val="005D7F6C"/>
    <w:rsid w:val="005E060F"/>
    <w:rsid w:val="005E0691"/>
    <w:rsid w:val="005E0B8A"/>
    <w:rsid w:val="005E0E76"/>
    <w:rsid w:val="005E11D0"/>
    <w:rsid w:val="005E1276"/>
    <w:rsid w:val="005E1B20"/>
    <w:rsid w:val="005E1BE1"/>
    <w:rsid w:val="005E1BE7"/>
    <w:rsid w:val="005E2048"/>
    <w:rsid w:val="005E2094"/>
    <w:rsid w:val="005E23E7"/>
    <w:rsid w:val="005E2778"/>
    <w:rsid w:val="005E2E0F"/>
    <w:rsid w:val="005E2FFB"/>
    <w:rsid w:val="005E3112"/>
    <w:rsid w:val="005E3176"/>
    <w:rsid w:val="005E3298"/>
    <w:rsid w:val="005E3862"/>
    <w:rsid w:val="005E3D19"/>
    <w:rsid w:val="005E3DE4"/>
    <w:rsid w:val="005E40DE"/>
    <w:rsid w:val="005E44E6"/>
    <w:rsid w:val="005E4789"/>
    <w:rsid w:val="005E4BC7"/>
    <w:rsid w:val="005E51EF"/>
    <w:rsid w:val="005E549E"/>
    <w:rsid w:val="005E5A19"/>
    <w:rsid w:val="005E5DBD"/>
    <w:rsid w:val="005E5EB3"/>
    <w:rsid w:val="005E65B6"/>
    <w:rsid w:val="005E6658"/>
    <w:rsid w:val="005E676C"/>
    <w:rsid w:val="005E689E"/>
    <w:rsid w:val="005E68A6"/>
    <w:rsid w:val="005E69D2"/>
    <w:rsid w:val="005E6C43"/>
    <w:rsid w:val="005E6E93"/>
    <w:rsid w:val="005E6F1E"/>
    <w:rsid w:val="005E6F7A"/>
    <w:rsid w:val="005E7093"/>
    <w:rsid w:val="005E77E6"/>
    <w:rsid w:val="005E78D9"/>
    <w:rsid w:val="005E7A85"/>
    <w:rsid w:val="005E7D92"/>
    <w:rsid w:val="005F0856"/>
    <w:rsid w:val="005F1414"/>
    <w:rsid w:val="005F1460"/>
    <w:rsid w:val="005F19F9"/>
    <w:rsid w:val="005F1C3C"/>
    <w:rsid w:val="005F1D80"/>
    <w:rsid w:val="005F1F9B"/>
    <w:rsid w:val="005F2286"/>
    <w:rsid w:val="005F23A8"/>
    <w:rsid w:val="005F2523"/>
    <w:rsid w:val="005F254E"/>
    <w:rsid w:val="005F25C7"/>
    <w:rsid w:val="005F278A"/>
    <w:rsid w:val="005F2907"/>
    <w:rsid w:val="005F2ABD"/>
    <w:rsid w:val="005F2AFA"/>
    <w:rsid w:val="005F2BE6"/>
    <w:rsid w:val="005F3818"/>
    <w:rsid w:val="005F3B1C"/>
    <w:rsid w:val="005F3D79"/>
    <w:rsid w:val="005F3DB8"/>
    <w:rsid w:val="005F3E43"/>
    <w:rsid w:val="005F4979"/>
    <w:rsid w:val="005F4A7B"/>
    <w:rsid w:val="005F4AE9"/>
    <w:rsid w:val="005F4B1E"/>
    <w:rsid w:val="005F4F59"/>
    <w:rsid w:val="005F4F6E"/>
    <w:rsid w:val="005F4F81"/>
    <w:rsid w:val="005F5253"/>
    <w:rsid w:val="005F565C"/>
    <w:rsid w:val="005F566F"/>
    <w:rsid w:val="005F56D7"/>
    <w:rsid w:val="005F5C35"/>
    <w:rsid w:val="005F5E15"/>
    <w:rsid w:val="005F5E27"/>
    <w:rsid w:val="005F5F44"/>
    <w:rsid w:val="005F6191"/>
    <w:rsid w:val="005F6E9A"/>
    <w:rsid w:val="005F6EB5"/>
    <w:rsid w:val="005F6F49"/>
    <w:rsid w:val="005F6FE8"/>
    <w:rsid w:val="005F72BF"/>
    <w:rsid w:val="005F73B0"/>
    <w:rsid w:val="005F755A"/>
    <w:rsid w:val="005F7701"/>
    <w:rsid w:val="005F7772"/>
    <w:rsid w:val="005F7AD0"/>
    <w:rsid w:val="005F7B6A"/>
    <w:rsid w:val="005F7E5C"/>
    <w:rsid w:val="00600373"/>
    <w:rsid w:val="006007BA"/>
    <w:rsid w:val="006009DA"/>
    <w:rsid w:val="00600E37"/>
    <w:rsid w:val="00601000"/>
    <w:rsid w:val="006011E8"/>
    <w:rsid w:val="006012A9"/>
    <w:rsid w:val="006019D4"/>
    <w:rsid w:val="00601A72"/>
    <w:rsid w:val="00601AF3"/>
    <w:rsid w:val="00601D3B"/>
    <w:rsid w:val="00602010"/>
    <w:rsid w:val="00602608"/>
    <w:rsid w:val="006027E2"/>
    <w:rsid w:val="00602C9A"/>
    <w:rsid w:val="00602E4A"/>
    <w:rsid w:val="006031F0"/>
    <w:rsid w:val="00603459"/>
    <w:rsid w:val="00603507"/>
    <w:rsid w:val="0060353E"/>
    <w:rsid w:val="0060354B"/>
    <w:rsid w:val="00603677"/>
    <w:rsid w:val="0060374E"/>
    <w:rsid w:val="00603791"/>
    <w:rsid w:val="00603DE8"/>
    <w:rsid w:val="00603F53"/>
    <w:rsid w:val="006046E2"/>
    <w:rsid w:val="006047C6"/>
    <w:rsid w:val="00604987"/>
    <w:rsid w:val="006049A4"/>
    <w:rsid w:val="0060540D"/>
    <w:rsid w:val="00605538"/>
    <w:rsid w:val="006055E1"/>
    <w:rsid w:val="006055EA"/>
    <w:rsid w:val="0060593C"/>
    <w:rsid w:val="00605A2F"/>
    <w:rsid w:val="00605F0A"/>
    <w:rsid w:val="006065D7"/>
    <w:rsid w:val="00606658"/>
    <w:rsid w:val="00606794"/>
    <w:rsid w:val="00606C1D"/>
    <w:rsid w:val="00606EF6"/>
    <w:rsid w:val="00607162"/>
    <w:rsid w:val="006076EF"/>
    <w:rsid w:val="00607715"/>
    <w:rsid w:val="006077DB"/>
    <w:rsid w:val="00607D41"/>
    <w:rsid w:val="00607D5C"/>
    <w:rsid w:val="00607DF5"/>
    <w:rsid w:val="0061001C"/>
    <w:rsid w:val="00610902"/>
    <w:rsid w:val="00610A57"/>
    <w:rsid w:val="00610C12"/>
    <w:rsid w:val="00610C99"/>
    <w:rsid w:val="00611367"/>
    <w:rsid w:val="00611553"/>
    <w:rsid w:val="0061194F"/>
    <w:rsid w:val="00611ED0"/>
    <w:rsid w:val="00612B38"/>
    <w:rsid w:val="00613164"/>
    <w:rsid w:val="0061398A"/>
    <w:rsid w:val="0061399F"/>
    <w:rsid w:val="00613B3D"/>
    <w:rsid w:val="00613F61"/>
    <w:rsid w:val="00614023"/>
    <w:rsid w:val="0061408A"/>
    <w:rsid w:val="006144B5"/>
    <w:rsid w:val="00614553"/>
    <w:rsid w:val="00614870"/>
    <w:rsid w:val="00614A11"/>
    <w:rsid w:val="00614B94"/>
    <w:rsid w:val="00614C21"/>
    <w:rsid w:val="00614F9A"/>
    <w:rsid w:val="006150A3"/>
    <w:rsid w:val="00615484"/>
    <w:rsid w:val="006155AF"/>
    <w:rsid w:val="00615779"/>
    <w:rsid w:val="006158C6"/>
    <w:rsid w:val="00615AE5"/>
    <w:rsid w:val="00615B57"/>
    <w:rsid w:val="00615C64"/>
    <w:rsid w:val="00615E64"/>
    <w:rsid w:val="00616090"/>
    <w:rsid w:val="006160C0"/>
    <w:rsid w:val="006163C5"/>
    <w:rsid w:val="00616AD6"/>
    <w:rsid w:val="00616D21"/>
    <w:rsid w:val="00616D3C"/>
    <w:rsid w:val="00616DF2"/>
    <w:rsid w:val="006173B5"/>
    <w:rsid w:val="00617421"/>
    <w:rsid w:val="00617595"/>
    <w:rsid w:val="00617842"/>
    <w:rsid w:val="0061785A"/>
    <w:rsid w:val="00617B03"/>
    <w:rsid w:val="00617CD2"/>
    <w:rsid w:val="006207A4"/>
    <w:rsid w:val="00620BB2"/>
    <w:rsid w:val="00621211"/>
    <w:rsid w:val="00621586"/>
    <w:rsid w:val="006218D6"/>
    <w:rsid w:val="00621BD3"/>
    <w:rsid w:val="00621D76"/>
    <w:rsid w:val="00621E98"/>
    <w:rsid w:val="00621F1B"/>
    <w:rsid w:val="00622C15"/>
    <w:rsid w:val="0062361E"/>
    <w:rsid w:val="006237FB"/>
    <w:rsid w:val="00623EA8"/>
    <w:rsid w:val="00624192"/>
    <w:rsid w:val="00624211"/>
    <w:rsid w:val="006243F9"/>
    <w:rsid w:val="00624702"/>
    <w:rsid w:val="006248EF"/>
    <w:rsid w:val="00624B3E"/>
    <w:rsid w:val="00624C50"/>
    <w:rsid w:val="00625004"/>
    <w:rsid w:val="006256BD"/>
    <w:rsid w:val="0062578B"/>
    <w:rsid w:val="00625799"/>
    <w:rsid w:val="006258A3"/>
    <w:rsid w:val="00625AAC"/>
    <w:rsid w:val="00626150"/>
    <w:rsid w:val="0062657F"/>
    <w:rsid w:val="006267A5"/>
    <w:rsid w:val="0062720F"/>
    <w:rsid w:val="00627840"/>
    <w:rsid w:val="00627AA2"/>
    <w:rsid w:val="00630139"/>
    <w:rsid w:val="006306A4"/>
    <w:rsid w:val="006307F0"/>
    <w:rsid w:val="006309E0"/>
    <w:rsid w:val="00630C5C"/>
    <w:rsid w:val="00630EB2"/>
    <w:rsid w:val="00630FFA"/>
    <w:rsid w:val="00631A5F"/>
    <w:rsid w:val="0063256D"/>
    <w:rsid w:val="00632594"/>
    <w:rsid w:val="006325A8"/>
    <w:rsid w:val="0063284B"/>
    <w:rsid w:val="0063298C"/>
    <w:rsid w:val="00632A91"/>
    <w:rsid w:val="00633292"/>
    <w:rsid w:val="00633986"/>
    <w:rsid w:val="00633AAB"/>
    <w:rsid w:val="00633FB5"/>
    <w:rsid w:val="00633FD5"/>
    <w:rsid w:val="00634039"/>
    <w:rsid w:val="0063460C"/>
    <w:rsid w:val="006347D1"/>
    <w:rsid w:val="0063484C"/>
    <w:rsid w:val="006349AB"/>
    <w:rsid w:val="00634D52"/>
    <w:rsid w:val="00634DD8"/>
    <w:rsid w:val="006350C3"/>
    <w:rsid w:val="00635813"/>
    <w:rsid w:val="00635D0F"/>
    <w:rsid w:val="006360DB"/>
    <w:rsid w:val="00636137"/>
    <w:rsid w:val="00636910"/>
    <w:rsid w:val="00636944"/>
    <w:rsid w:val="00636E5C"/>
    <w:rsid w:val="0063710D"/>
    <w:rsid w:val="00637167"/>
    <w:rsid w:val="00637184"/>
    <w:rsid w:val="006379CB"/>
    <w:rsid w:val="00637C49"/>
    <w:rsid w:val="00637FDE"/>
    <w:rsid w:val="00640010"/>
    <w:rsid w:val="0064037B"/>
    <w:rsid w:val="006403DC"/>
    <w:rsid w:val="00640719"/>
    <w:rsid w:val="00640749"/>
    <w:rsid w:val="00640805"/>
    <w:rsid w:val="00640A82"/>
    <w:rsid w:val="00640BD8"/>
    <w:rsid w:val="00640DEC"/>
    <w:rsid w:val="00640E01"/>
    <w:rsid w:val="0064174D"/>
    <w:rsid w:val="0064186C"/>
    <w:rsid w:val="00641AA9"/>
    <w:rsid w:val="00641AF4"/>
    <w:rsid w:val="00641E98"/>
    <w:rsid w:val="00641FBE"/>
    <w:rsid w:val="00642416"/>
    <w:rsid w:val="00642942"/>
    <w:rsid w:val="00643379"/>
    <w:rsid w:val="00643994"/>
    <w:rsid w:val="00643B09"/>
    <w:rsid w:val="00643BD7"/>
    <w:rsid w:val="00643D2A"/>
    <w:rsid w:val="00644167"/>
    <w:rsid w:val="0064455F"/>
    <w:rsid w:val="006445BB"/>
    <w:rsid w:val="006447FC"/>
    <w:rsid w:val="006449D4"/>
    <w:rsid w:val="00644A33"/>
    <w:rsid w:val="00644C68"/>
    <w:rsid w:val="00645013"/>
    <w:rsid w:val="006451B0"/>
    <w:rsid w:val="006452FB"/>
    <w:rsid w:val="0064530A"/>
    <w:rsid w:val="00645651"/>
    <w:rsid w:val="00645F56"/>
    <w:rsid w:val="00646614"/>
    <w:rsid w:val="00646708"/>
    <w:rsid w:val="006468A6"/>
    <w:rsid w:val="00647170"/>
    <w:rsid w:val="006476E2"/>
    <w:rsid w:val="00647B7D"/>
    <w:rsid w:val="00647B87"/>
    <w:rsid w:val="00647C80"/>
    <w:rsid w:val="00647DEE"/>
    <w:rsid w:val="006502EA"/>
    <w:rsid w:val="00650337"/>
    <w:rsid w:val="00650453"/>
    <w:rsid w:val="00650A71"/>
    <w:rsid w:val="00650ADD"/>
    <w:rsid w:val="0065126A"/>
    <w:rsid w:val="00651A5A"/>
    <w:rsid w:val="00651D3B"/>
    <w:rsid w:val="00651E04"/>
    <w:rsid w:val="00652118"/>
    <w:rsid w:val="0065224F"/>
    <w:rsid w:val="00652273"/>
    <w:rsid w:val="00652354"/>
    <w:rsid w:val="006523E2"/>
    <w:rsid w:val="006524C3"/>
    <w:rsid w:val="006524FF"/>
    <w:rsid w:val="00652D82"/>
    <w:rsid w:val="006536D1"/>
    <w:rsid w:val="0065375A"/>
    <w:rsid w:val="00653784"/>
    <w:rsid w:val="00653904"/>
    <w:rsid w:val="00653AD7"/>
    <w:rsid w:val="006545DF"/>
    <w:rsid w:val="006548E9"/>
    <w:rsid w:val="00654C6A"/>
    <w:rsid w:val="00655344"/>
    <w:rsid w:val="006559C4"/>
    <w:rsid w:val="00655DB7"/>
    <w:rsid w:val="006562BB"/>
    <w:rsid w:val="00656581"/>
    <w:rsid w:val="00656621"/>
    <w:rsid w:val="00656984"/>
    <w:rsid w:val="00656DEA"/>
    <w:rsid w:val="006570AC"/>
    <w:rsid w:val="006572EF"/>
    <w:rsid w:val="0065733E"/>
    <w:rsid w:val="0065752B"/>
    <w:rsid w:val="006579E1"/>
    <w:rsid w:val="00657E86"/>
    <w:rsid w:val="00657F6A"/>
    <w:rsid w:val="00657F89"/>
    <w:rsid w:val="00657FBE"/>
    <w:rsid w:val="0066023C"/>
    <w:rsid w:val="006607EF"/>
    <w:rsid w:val="00660870"/>
    <w:rsid w:val="00660A62"/>
    <w:rsid w:val="00660C79"/>
    <w:rsid w:val="0066129E"/>
    <w:rsid w:val="0066161B"/>
    <w:rsid w:val="006618D4"/>
    <w:rsid w:val="006619FC"/>
    <w:rsid w:val="0066217E"/>
    <w:rsid w:val="006622F1"/>
    <w:rsid w:val="00662339"/>
    <w:rsid w:val="0066262B"/>
    <w:rsid w:val="00662C1B"/>
    <w:rsid w:val="00662C8B"/>
    <w:rsid w:val="00662E37"/>
    <w:rsid w:val="00663387"/>
    <w:rsid w:val="00663570"/>
    <w:rsid w:val="0066361D"/>
    <w:rsid w:val="0066397C"/>
    <w:rsid w:val="00663E36"/>
    <w:rsid w:val="006643DE"/>
    <w:rsid w:val="006644E8"/>
    <w:rsid w:val="00664724"/>
    <w:rsid w:val="0066484E"/>
    <w:rsid w:val="006649C4"/>
    <w:rsid w:val="00664E6B"/>
    <w:rsid w:val="00664ED9"/>
    <w:rsid w:val="00664F21"/>
    <w:rsid w:val="006651F6"/>
    <w:rsid w:val="00665646"/>
    <w:rsid w:val="006656B9"/>
    <w:rsid w:val="0066594F"/>
    <w:rsid w:val="00665AC9"/>
    <w:rsid w:val="00665AF0"/>
    <w:rsid w:val="0066664B"/>
    <w:rsid w:val="00666802"/>
    <w:rsid w:val="006668C1"/>
    <w:rsid w:val="006669D2"/>
    <w:rsid w:val="00666CFA"/>
    <w:rsid w:val="00667015"/>
    <w:rsid w:val="006670C0"/>
    <w:rsid w:val="006677A2"/>
    <w:rsid w:val="006677B0"/>
    <w:rsid w:val="00667991"/>
    <w:rsid w:val="00667A5F"/>
    <w:rsid w:val="00667AF6"/>
    <w:rsid w:val="00667B8D"/>
    <w:rsid w:val="00667F53"/>
    <w:rsid w:val="006701C4"/>
    <w:rsid w:val="00670549"/>
    <w:rsid w:val="00670566"/>
    <w:rsid w:val="006705EB"/>
    <w:rsid w:val="00670BBA"/>
    <w:rsid w:val="00670CFB"/>
    <w:rsid w:val="00670E1B"/>
    <w:rsid w:val="006712B5"/>
    <w:rsid w:val="006714BF"/>
    <w:rsid w:val="006714F4"/>
    <w:rsid w:val="00671C31"/>
    <w:rsid w:val="00672614"/>
    <w:rsid w:val="006728EF"/>
    <w:rsid w:val="00672AB4"/>
    <w:rsid w:val="00672C51"/>
    <w:rsid w:val="00672FF6"/>
    <w:rsid w:val="006732E6"/>
    <w:rsid w:val="00673311"/>
    <w:rsid w:val="0067334E"/>
    <w:rsid w:val="006733D2"/>
    <w:rsid w:val="00673511"/>
    <w:rsid w:val="006736A9"/>
    <w:rsid w:val="00673D60"/>
    <w:rsid w:val="00673E97"/>
    <w:rsid w:val="00673EA4"/>
    <w:rsid w:val="00674059"/>
    <w:rsid w:val="00674731"/>
    <w:rsid w:val="00674D92"/>
    <w:rsid w:val="00674D9F"/>
    <w:rsid w:val="00674EB6"/>
    <w:rsid w:val="00674EF3"/>
    <w:rsid w:val="0067551F"/>
    <w:rsid w:val="0067579A"/>
    <w:rsid w:val="00675C17"/>
    <w:rsid w:val="006760BF"/>
    <w:rsid w:val="006760CE"/>
    <w:rsid w:val="00676101"/>
    <w:rsid w:val="00676141"/>
    <w:rsid w:val="00676536"/>
    <w:rsid w:val="00676A9A"/>
    <w:rsid w:val="00677249"/>
    <w:rsid w:val="006775C1"/>
    <w:rsid w:val="0067773E"/>
    <w:rsid w:val="00677963"/>
    <w:rsid w:val="00677B4F"/>
    <w:rsid w:val="00677D0E"/>
    <w:rsid w:val="00677FE6"/>
    <w:rsid w:val="00680B45"/>
    <w:rsid w:val="00681327"/>
    <w:rsid w:val="006816F2"/>
    <w:rsid w:val="0068177D"/>
    <w:rsid w:val="00681FD6"/>
    <w:rsid w:val="006820A3"/>
    <w:rsid w:val="006822B4"/>
    <w:rsid w:val="006822F0"/>
    <w:rsid w:val="006823BF"/>
    <w:rsid w:val="00682429"/>
    <w:rsid w:val="00682906"/>
    <w:rsid w:val="006829E0"/>
    <w:rsid w:val="0068309C"/>
    <w:rsid w:val="006834B9"/>
    <w:rsid w:val="006841AE"/>
    <w:rsid w:val="006841DC"/>
    <w:rsid w:val="006844E8"/>
    <w:rsid w:val="00684960"/>
    <w:rsid w:val="006849E2"/>
    <w:rsid w:val="00684C1C"/>
    <w:rsid w:val="006852ED"/>
    <w:rsid w:val="006852EF"/>
    <w:rsid w:val="0068551B"/>
    <w:rsid w:val="00685570"/>
    <w:rsid w:val="00685720"/>
    <w:rsid w:val="006858E8"/>
    <w:rsid w:val="00685C40"/>
    <w:rsid w:val="00685D63"/>
    <w:rsid w:val="00685D6E"/>
    <w:rsid w:val="00685E35"/>
    <w:rsid w:val="00686153"/>
    <w:rsid w:val="00686815"/>
    <w:rsid w:val="006869F7"/>
    <w:rsid w:val="00686CF0"/>
    <w:rsid w:val="00686CF5"/>
    <w:rsid w:val="00686DD5"/>
    <w:rsid w:val="006870D8"/>
    <w:rsid w:val="006870EE"/>
    <w:rsid w:val="006871F9"/>
    <w:rsid w:val="00687AAB"/>
    <w:rsid w:val="00687D30"/>
    <w:rsid w:val="00687F4D"/>
    <w:rsid w:val="006901AF"/>
    <w:rsid w:val="00690583"/>
    <w:rsid w:val="006907AC"/>
    <w:rsid w:val="00690D1E"/>
    <w:rsid w:val="00690FFF"/>
    <w:rsid w:val="006912B2"/>
    <w:rsid w:val="006919A1"/>
    <w:rsid w:val="00691C42"/>
    <w:rsid w:val="00692579"/>
    <w:rsid w:val="006926CF"/>
    <w:rsid w:val="00692756"/>
    <w:rsid w:val="00692760"/>
    <w:rsid w:val="00692882"/>
    <w:rsid w:val="0069305A"/>
    <w:rsid w:val="006933EC"/>
    <w:rsid w:val="006934A9"/>
    <w:rsid w:val="00693785"/>
    <w:rsid w:val="00693ADE"/>
    <w:rsid w:val="00693D17"/>
    <w:rsid w:val="00694360"/>
    <w:rsid w:val="00694517"/>
    <w:rsid w:val="00694549"/>
    <w:rsid w:val="006949B1"/>
    <w:rsid w:val="00694C19"/>
    <w:rsid w:val="00694C42"/>
    <w:rsid w:val="00694F90"/>
    <w:rsid w:val="00694FA0"/>
    <w:rsid w:val="006950E2"/>
    <w:rsid w:val="00695203"/>
    <w:rsid w:val="00695490"/>
    <w:rsid w:val="00695A1B"/>
    <w:rsid w:val="00695A29"/>
    <w:rsid w:val="00695A8F"/>
    <w:rsid w:val="00695C4D"/>
    <w:rsid w:val="00695E86"/>
    <w:rsid w:val="00695FEB"/>
    <w:rsid w:val="006961C6"/>
    <w:rsid w:val="00696649"/>
    <w:rsid w:val="00696696"/>
    <w:rsid w:val="006968BC"/>
    <w:rsid w:val="00696BF5"/>
    <w:rsid w:val="00696C1D"/>
    <w:rsid w:val="00696D80"/>
    <w:rsid w:val="00696DD0"/>
    <w:rsid w:val="0069730B"/>
    <w:rsid w:val="006973A4"/>
    <w:rsid w:val="006973FE"/>
    <w:rsid w:val="006975E5"/>
    <w:rsid w:val="006978DC"/>
    <w:rsid w:val="00697D6A"/>
    <w:rsid w:val="00697FC5"/>
    <w:rsid w:val="006A01CF"/>
    <w:rsid w:val="006A0A43"/>
    <w:rsid w:val="006A0D37"/>
    <w:rsid w:val="006A0E0E"/>
    <w:rsid w:val="006A0EDD"/>
    <w:rsid w:val="006A0F4D"/>
    <w:rsid w:val="006A143B"/>
    <w:rsid w:val="006A16BF"/>
    <w:rsid w:val="006A1B80"/>
    <w:rsid w:val="006A1B8B"/>
    <w:rsid w:val="006A1BD9"/>
    <w:rsid w:val="006A1D1E"/>
    <w:rsid w:val="006A2202"/>
    <w:rsid w:val="006A29BF"/>
    <w:rsid w:val="006A2AEB"/>
    <w:rsid w:val="006A2BD9"/>
    <w:rsid w:val="006A2EE1"/>
    <w:rsid w:val="006A36CA"/>
    <w:rsid w:val="006A3C29"/>
    <w:rsid w:val="006A3EF1"/>
    <w:rsid w:val="006A40BC"/>
    <w:rsid w:val="006A4113"/>
    <w:rsid w:val="006A4776"/>
    <w:rsid w:val="006A47A7"/>
    <w:rsid w:val="006A5048"/>
    <w:rsid w:val="006A50EC"/>
    <w:rsid w:val="006A514F"/>
    <w:rsid w:val="006A51FA"/>
    <w:rsid w:val="006A5404"/>
    <w:rsid w:val="006A5543"/>
    <w:rsid w:val="006A56BD"/>
    <w:rsid w:val="006A56C1"/>
    <w:rsid w:val="006A5CA2"/>
    <w:rsid w:val="006A5F8A"/>
    <w:rsid w:val="006A6044"/>
    <w:rsid w:val="006A6104"/>
    <w:rsid w:val="006A64E5"/>
    <w:rsid w:val="006A6663"/>
    <w:rsid w:val="006A66EC"/>
    <w:rsid w:val="006A6CD6"/>
    <w:rsid w:val="006A6E21"/>
    <w:rsid w:val="006A6E39"/>
    <w:rsid w:val="006A6F42"/>
    <w:rsid w:val="006A72DC"/>
    <w:rsid w:val="006A7303"/>
    <w:rsid w:val="006A7378"/>
    <w:rsid w:val="006A784F"/>
    <w:rsid w:val="006A7D9D"/>
    <w:rsid w:val="006A7F16"/>
    <w:rsid w:val="006B0185"/>
    <w:rsid w:val="006B02B2"/>
    <w:rsid w:val="006B07A9"/>
    <w:rsid w:val="006B121C"/>
    <w:rsid w:val="006B14F3"/>
    <w:rsid w:val="006B1541"/>
    <w:rsid w:val="006B17F8"/>
    <w:rsid w:val="006B1876"/>
    <w:rsid w:val="006B24D9"/>
    <w:rsid w:val="006B24ED"/>
    <w:rsid w:val="006B26C9"/>
    <w:rsid w:val="006B2873"/>
    <w:rsid w:val="006B295D"/>
    <w:rsid w:val="006B29D8"/>
    <w:rsid w:val="006B2A82"/>
    <w:rsid w:val="006B2C1E"/>
    <w:rsid w:val="006B2D2D"/>
    <w:rsid w:val="006B2D68"/>
    <w:rsid w:val="006B2FBB"/>
    <w:rsid w:val="006B3121"/>
    <w:rsid w:val="006B3303"/>
    <w:rsid w:val="006B3406"/>
    <w:rsid w:val="006B351A"/>
    <w:rsid w:val="006B3843"/>
    <w:rsid w:val="006B387A"/>
    <w:rsid w:val="006B47FF"/>
    <w:rsid w:val="006B4855"/>
    <w:rsid w:val="006B48F0"/>
    <w:rsid w:val="006B4CB5"/>
    <w:rsid w:val="006B4DC6"/>
    <w:rsid w:val="006B4E1B"/>
    <w:rsid w:val="006B4F51"/>
    <w:rsid w:val="006B54D7"/>
    <w:rsid w:val="006B5874"/>
    <w:rsid w:val="006B5A40"/>
    <w:rsid w:val="006B5E22"/>
    <w:rsid w:val="006B5FBC"/>
    <w:rsid w:val="006B62AE"/>
    <w:rsid w:val="006B6392"/>
    <w:rsid w:val="006B639A"/>
    <w:rsid w:val="006B7358"/>
    <w:rsid w:val="006B73A9"/>
    <w:rsid w:val="006B74B0"/>
    <w:rsid w:val="006B7B65"/>
    <w:rsid w:val="006B7E19"/>
    <w:rsid w:val="006B7E43"/>
    <w:rsid w:val="006B7F03"/>
    <w:rsid w:val="006C0187"/>
    <w:rsid w:val="006C037D"/>
    <w:rsid w:val="006C04E6"/>
    <w:rsid w:val="006C0893"/>
    <w:rsid w:val="006C0925"/>
    <w:rsid w:val="006C0D23"/>
    <w:rsid w:val="006C0DBF"/>
    <w:rsid w:val="006C112C"/>
    <w:rsid w:val="006C12E6"/>
    <w:rsid w:val="006C142B"/>
    <w:rsid w:val="006C1C7D"/>
    <w:rsid w:val="006C1F41"/>
    <w:rsid w:val="006C1FFF"/>
    <w:rsid w:val="006C2080"/>
    <w:rsid w:val="006C2767"/>
    <w:rsid w:val="006C2824"/>
    <w:rsid w:val="006C2F2B"/>
    <w:rsid w:val="006C387F"/>
    <w:rsid w:val="006C3A0A"/>
    <w:rsid w:val="006C3BDA"/>
    <w:rsid w:val="006C4217"/>
    <w:rsid w:val="006C4417"/>
    <w:rsid w:val="006C4554"/>
    <w:rsid w:val="006C47B5"/>
    <w:rsid w:val="006C4865"/>
    <w:rsid w:val="006C4882"/>
    <w:rsid w:val="006C4912"/>
    <w:rsid w:val="006C4A11"/>
    <w:rsid w:val="006C4C4F"/>
    <w:rsid w:val="006C4F23"/>
    <w:rsid w:val="006C4F36"/>
    <w:rsid w:val="006C4FC9"/>
    <w:rsid w:val="006C5465"/>
    <w:rsid w:val="006C550D"/>
    <w:rsid w:val="006C5760"/>
    <w:rsid w:val="006C5969"/>
    <w:rsid w:val="006C5A9A"/>
    <w:rsid w:val="006C5BDF"/>
    <w:rsid w:val="006C6073"/>
    <w:rsid w:val="006C64FF"/>
    <w:rsid w:val="006C6C8D"/>
    <w:rsid w:val="006C7262"/>
    <w:rsid w:val="006C74CC"/>
    <w:rsid w:val="006C77DD"/>
    <w:rsid w:val="006C7B49"/>
    <w:rsid w:val="006C7E35"/>
    <w:rsid w:val="006C7FF7"/>
    <w:rsid w:val="006D00DF"/>
    <w:rsid w:val="006D0BD5"/>
    <w:rsid w:val="006D0E41"/>
    <w:rsid w:val="006D0F00"/>
    <w:rsid w:val="006D10BD"/>
    <w:rsid w:val="006D12A5"/>
    <w:rsid w:val="006D12B2"/>
    <w:rsid w:val="006D14AA"/>
    <w:rsid w:val="006D14E8"/>
    <w:rsid w:val="006D1606"/>
    <w:rsid w:val="006D17A4"/>
    <w:rsid w:val="006D190F"/>
    <w:rsid w:val="006D1AAD"/>
    <w:rsid w:val="006D2109"/>
    <w:rsid w:val="006D216D"/>
    <w:rsid w:val="006D21BF"/>
    <w:rsid w:val="006D21E2"/>
    <w:rsid w:val="006D2A3A"/>
    <w:rsid w:val="006D2A6F"/>
    <w:rsid w:val="006D2C74"/>
    <w:rsid w:val="006D2D4D"/>
    <w:rsid w:val="006D2DD7"/>
    <w:rsid w:val="006D2E66"/>
    <w:rsid w:val="006D32C9"/>
    <w:rsid w:val="006D37A3"/>
    <w:rsid w:val="006D38D6"/>
    <w:rsid w:val="006D38EA"/>
    <w:rsid w:val="006D3E86"/>
    <w:rsid w:val="006D3F38"/>
    <w:rsid w:val="006D3FE1"/>
    <w:rsid w:val="006D3FE4"/>
    <w:rsid w:val="006D4170"/>
    <w:rsid w:val="006D44BF"/>
    <w:rsid w:val="006D45D9"/>
    <w:rsid w:val="006D48C9"/>
    <w:rsid w:val="006D4B14"/>
    <w:rsid w:val="006D4BB4"/>
    <w:rsid w:val="006D4EF4"/>
    <w:rsid w:val="006D5279"/>
    <w:rsid w:val="006D5354"/>
    <w:rsid w:val="006D55A4"/>
    <w:rsid w:val="006D58EA"/>
    <w:rsid w:val="006D5A48"/>
    <w:rsid w:val="006D5C4D"/>
    <w:rsid w:val="006D5C7F"/>
    <w:rsid w:val="006D5D66"/>
    <w:rsid w:val="006D5D99"/>
    <w:rsid w:val="006D617A"/>
    <w:rsid w:val="006D63F0"/>
    <w:rsid w:val="006D648A"/>
    <w:rsid w:val="006D6547"/>
    <w:rsid w:val="006D6A97"/>
    <w:rsid w:val="006D6AA0"/>
    <w:rsid w:val="006D7262"/>
    <w:rsid w:val="006D7B19"/>
    <w:rsid w:val="006D7F8F"/>
    <w:rsid w:val="006E0492"/>
    <w:rsid w:val="006E0BE1"/>
    <w:rsid w:val="006E0E6F"/>
    <w:rsid w:val="006E0FD0"/>
    <w:rsid w:val="006E1484"/>
    <w:rsid w:val="006E1492"/>
    <w:rsid w:val="006E150D"/>
    <w:rsid w:val="006E1716"/>
    <w:rsid w:val="006E17A4"/>
    <w:rsid w:val="006E18EE"/>
    <w:rsid w:val="006E19B8"/>
    <w:rsid w:val="006E1C17"/>
    <w:rsid w:val="006E1EEE"/>
    <w:rsid w:val="006E1F08"/>
    <w:rsid w:val="006E21E2"/>
    <w:rsid w:val="006E2227"/>
    <w:rsid w:val="006E2484"/>
    <w:rsid w:val="006E24CD"/>
    <w:rsid w:val="006E2838"/>
    <w:rsid w:val="006E28F3"/>
    <w:rsid w:val="006E2C53"/>
    <w:rsid w:val="006E3431"/>
    <w:rsid w:val="006E353D"/>
    <w:rsid w:val="006E36D1"/>
    <w:rsid w:val="006E3747"/>
    <w:rsid w:val="006E3CA7"/>
    <w:rsid w:val="006E3E4D"/>
    <w:rsid w:val="006E4BB1"/>
    <w:rsid w:val="006E4DF9"/>
    <w:rsid w:val="006E56FF"/>
    <w:rsid w:val="006E57F8"/>
    <w:rsid w:val="006E58F3"/>
    <w:rsid w:val="006E59F9"/>
    <w:rsid w:val="006E5C55"/>
    <w:rsid w:val="006E60FF"/>
    <w:rsid w:val="006E6693"/>
    <w:rsid w:val="006E6ADF"/>
    <w:rsid w:val="006E6C21"/>
    <w:rsid w:val="006E6F76"/>
    <w:rsid w:val="006E711D"/>
    <w:rsid w:val="006E7175"/>
    <w:rsid w:val="006E71F8"/>
    <w:rsid w:val="006E73C6"/>
    <w:rsid w:val="006E74CF"/>
    <w:rsid w:val="006E753D"/>
    <w:rsid w:val="006E79A7"/>
    <w:rsid w:val="006E7BFE"/>
    <w:rsid w:val="006F033A"/>
    <w:rsid w:val="006F07AA"/>
    <w:rsid w:val="006F0BF1"/>
    <w:rsid w:val="006F130B"/>
    <w:rsid w:val="006F13A6"/>
    <w:rsid w:val="006F1469"/>
    <w:rsid w:val="006F1966"/>
    <w:rsid w:val="006F1D76"/>
    <w:rsid w:val="006F2297"/>
    <w:rsid w:val="006F2356"/>
    <w:rsid w:val="006F2471"/>
    <w:rsid w:val="006F28EF"/>
    <w:rsid w:val="006F296B"/>
    <w:rsid w:val="006F29FF"/>
    <w:rsid w:val="006F2AE4"/>
    <w:rsid w:val="006F2CFF"/>
    <w:rsid w:val="006F2D77"/>
    <w:rsid w:val="006F3117"/>
    <w:rsid w:val="006F3397"/>
    <w:rsid w:val="006F33EA"/>
    <w:rsid w:val="006F3444"/>
    <w:rsid w:val="006F34F5"/>
    <w:rsid w:val="006F350D"/>
    <w:rsid w:val="006F35CA"/>
    <w:rsid w:val="006F3814"/>
    <w:rsid w:val="006F40AB"/>
    <w:rsid w:val="006F413A"/>
    <w:rsid w:val="006F42E4"/>
    <w:rsid w:val="006F4363"/>
    <w:rsid w:val="006F45FC"/>
    <w:rsid w:val="006F4703"/>
    <w:rsid w:val="006F48E2"/>
    <w:rsid w:val="006F49AA"/>
    <w:rsid w:val="006F4BC4"/>
    <w:rsid w:val="006F4E6A"/>
    <w:rsid w:val="006F56EC"/>
    <w:rsid w:val="006F5EBF"/>
    <w:rsid w:val="006F6170"/>
    <w:rsid w:val="006F6313"/>
    <w:rsid w:val="006F63D3"/>
    <w:rsid w:val="006F6869"/>
    <w:rsid w:val="006F71D1"/>
    <w:rsid w:val="006F72B6"/>
    <w:rsid w:val="006F74F7"/>
    <w:rsid w:val="006F75A1"/>
    <w:rsid w:val="006F774D"/>
    <w:rsid w:val="006F79DE"/>
    <w:rsid w:val="0070009A"/>
    <w:rsid w:val="007005A5"/>
    <w:rsid w:val="0070082C"/>
    <w:rsid w:val="00700A24"/>
    <w:rsid w:val="00700A61"/>
    <w:rsid w:val="00700AC9"/>
    <w:rsid w:val="00700DBC"/>
    <w:rsid w:val="00700DED"/>
    <w:rsid w:val="007010A7"/>
    <w:rsid w:val="007010AE"/>
    <w:rsid w:val="007016BB"/>
    <w:rsid w:val="007018FC"/>
    <w:rsid w:val="00701A50"/>
    <w:rsid w:val="00701A99"/>
    <w:rsid w:val="0070203B"/>
    <w:rsid w:val="007022F3"/>
    <w:rsid w:val="00702471"/>
    <w:rsid w:val="0070257A"/>
    <w:rsid w:val="00702690"/>
    <w:rsid w:val="007026E6"/>
    <w:rsid w:val="00702798"/>
    <w:rsid w:val="007028E1"/>
    <w:rsid w:val="007029A8"/>
    <w:rsid w:val="00702A50"/>
    <w:rsid w:val="00703065"/>
    <w:rsid w:val="00703071"/>
    <w:rsid w:val="0070312E"/>
    <w:rsid w:val="00703176"/>
    <w:rsid w:val="00703274"/>
    <w:rsid w:val="007036BB"/>
    <w:rsid w:val="007036D8"/>
    <w:rsid w:val="007038A1"/>
    <w:rsid w:val="0070398D"/>
    <w:rsid w:val="00704066"/>
    <w:rsid w:val="00704408"/>
    <w:rsid w:val="00704844"/>
    <w:rsid w:val="00704D78"/>
    <w:rsid w:val="0070531B"/>
    <w:rsid w:val="007053E8"/>
    <w:rsid w:val="0070573F"/>
    <w:rsid w:val="00705BEE"/>
    <w:rsid w:val="00705ED3"/>
    <w:rsid w:val="00705F83"/>
    <w:rsid w:val="0070604C"/>
    <w:rsid w:val="00706087"/>
    <w:rsid w:val="007064FF"/>
    <w:rsid w:val="007069AF"/>
    <w:rsid w:val="00706BFE"/>
    <w:rsid w:val="00706C32"/>
    <w:rsid w:val="00706CDB"/>
    <w:rsid w:val="00706CE9"/>
    <w:rsid w:val="00706E50"/>
    <w:rsid w:val="00706FC6"/>
    <w:rsid w:val="007070FE"/>
    <w:rsid w:val="0070729A"/>
    <w:rsid w:val="00707499"/>
    <w:rsid w:val="007074B8"/>
    <w:rsid w:val="00710128"/>
    <w:rsid w:val="0071096F"/>
    <w:rsid w:val="00710B1F"/>
    <w:rsid w:val="0071109B"/>
    <w:rsid w:val="0071117D"/>
    <w:rsid w:val="0071138C"/>
    <w:rsid w:val="007116D5"/>
    <w:rsid w:val="00711722"/>
    <w:rsid w:val="007121C9"/>
    <w:rsid w:val="0071239B"/>
    <w:rsid w:val="00712428"/>
    <w:rsid w:val="0071261B"/>
    <w:rsid w:val="00712904"/>
    <w:rsid w:val="007129E9"/>
    <w:rsid w:val="00712A57"/>
    <w:rsid w:val="00712F26"/>
    <w:rsid w:val="0071380F"/>
    <w:rsid w:val="00713D7D"/>
    <w:rsid w:val="00713D86"/>
    <w:rsid w:val="00714241"/>
    <w:rsid w:val="007142D8"/>
    <w:rsid w:val="0071442E"/>
    <w:rsid w:val="007146BA"/>
    <w:rsid w:val="007153FE"/>
    <w:rsid w:val="00715527"/>
    <w:rsid w:val="007155F0"/>
    <w:rsid w:val="007156BE"/>
    <w:rsid w:val="007158BC"/>
    <w:rsid w:val="00715BE7"/>
    <w:rsid w:val="00715D53"/>
    <w:rsid w:val="00715E7E"/>
    <w:rsid w:val="00715FB3"/>
    <w:rsid w:val="00715FBF"/>
    <w:rsid w:val="00716950"/>
    <w:rsid w:val="00717100"/>
    <w:rsid w:val="00717195"/>
    <w:rsid w:val="00717370"/>
    <w:rsid w:val="007173E6"/>
    <w:rsid w:val="00717479"/>
    <w:rsid w:val="00717643"/>
    <w:rsid w:val="007176D1"/>
    <w:rsid w:val="00717A2C"/>
    <w:rsid w:val="00717FA5"/>
    <w:rsid w:val="0072084D"/>
    <w:rsid w:val="0072088D"/>
    <w:rsid w:val="007210EC"/>
    <w:rsid w:val="0072146C"/>
    <w:rsid w:val="00721936"/>
    <w:rsid w:val="00721B2A"/>
    <w:rsid w:val="00722489"/>
    <w:rsid w:val="00722688"/>
    <w:rsid w:val="007228B0"/>
    <w:rsid w:val="00722A39"/>
    <w:rsid w:val="00722CB0"/>
    <w:rsid w:val="00722ED2"/>
    <w:rsid w:val="007236E7"/>
    <w:rsid w:val="0072395F"/>
    <w:rsid w:val="00723DBC"/>
    <w:rsid w:val="00723F68"/>
    <w:rsid w:val="007240B8"/>
    <w:rsid w:val="007246AA"/>
    <w:rsid w:val="0072472D"/>
    <w:rsid w:val="0072486C"/>
    <w:rsid w:val="00724945"/>
    <w:rsid w:val="00724AD4"/>
    <w:rsid w:val="00724B6D"/>
    <w:rsid w:val="00724B94"/>
    <w:rsid w:val="00724C68"/>
    <w:rsid w:val="00724EBB"/>
    <w:rsid w:val="00725478"/>
    <w:rsid w:val="0072562E"/>
    <w:rsid w:val="00725945"/>
    <w:rsid w:val="00725DE0"/>
    <w:rsid w:val="00725F72"/>
    <w:rsid w:val="00725FE7"/>
    <w:rsid w:val="00725FF5"/>
    <w:rsid w:val="007260CE"/>
    <w:rsid w:val="00726129"/>
    <w:rsid w:val="0072617C"/>
    <w:rsid w:val="007261CE"/>
    <w:rsid w:val="00726B7F"/>
    <w:rsid w:val="00726CE0"/>
    <w:rsid w:val="00726E18"/>
    <w:rsid w:val="00726F1E"/>
    <w:rsid w:val="00727144"/>
    <w:rsid w:val="007277AE"/>
    <w:rsid w:val="00727F94"/>
    <w:rsid w:val="00730293"/>
    <w:rsid w:val="00730324"/>
    <w:rsid w:val="00730485"/>
    <w:rsid w:val="00730C04"/>
    <w:rsid w:val="00730C99"/>
    <w:rsid w:val="00730DAA"/>
    <w:rsid w:val="00730E25"/>
    <w:rsid w:val="00730E2F"/>
    <w:rsid w:val="00730F41"/>
    <w:rsid w:val="00731079"/>
    <w:rsid w:val="0073115F"/>
    <w:rsid w:val="0073156F"/>
    <w:rsid w:val="00731689"/>
    <w:rsid w:val="007316B1"/>
    <w:rsid w:val="00732065"/>
    <w:rsid w:val="00732856"/>
    <w:rsid w:val="00732CD0"/>
    <w:rsid w:val="00732CF2"/>
    <w:rsid w:val="00732D46"/>
    <w:rsid w:val="00733114"/>
    <w:rsid w:val="0073338D"/>
    <w:rsid w:val="00733615"/>
    <w:rsid w:val="007336BF"/>
    <w:rsid w:val="0073372B"/>
    <w:rsid w:val="00733924"/>
    <w:rsid w:val="00733A34"/>
    <w:rsid w:val="00733AF1"/>
    <w:rsid w:val="00733B22"/>
    <w:rsid w:val="00733C48"/>
    <w:rsid w:val="00734408"/>
    <w:rsid w:val="007349FA"/>
    <w:rsid w:val="00734A40"/>
    <w:rsid w:val="00734BFF"/>
    <w:rsid w:val="00734C37"/>
    <w:rsid w:val="00734D17"/>
    <w:rsid w:val="007350A8"/>
    <w:rsid w:val="00735666"/>
    <w:rsid w:val="007356D1"/>
    <w:rsid w:val="00735B83"/>
    <w:rsid w:val="00736056"/>
    <w:rsid w:val="00736259"/>
    <w:rsid w:val="00736612"/>
    <w:rsid w:val="0073676D"/>
    <w:rsid w:val="00736FBB"/>
    <w:rsid w:val="007371B3"/>
    <w:rsid w:val="0073731F"/>
    <w:rsid w:val="00737517"/>
    <w:rsid w:val="007376A4"/>
    <w:rsid w:val="007379DA"/>
    <w:rsid w:val="00737C19"/>
    <w:rsid w:val="00740246"/>
    <w:rsid w:val="007405BF"/>
    <w:rsid w:val="00740627"/>
    <w:rsid w:val="007406A0"/>
    <w:rsid w:val="00740877"/>
    <w:rsid w:val="00740A0A"/>
    <w:rsid w:val="007410A9"/>
    <w:rsid w:val="0074110D"/>
    <w:rsid w:val="0074112C"/>
    <w:rsid w:val="00741355"/>
    <w:rsid w:val="0074163F"/>
    <w:rsid w:val="0074171E"/>
    <w:rsid w:val="0074181B"/>
    <w:rsid w:val="00741B55"/>
    <w:rsid w:val="00741D72"/>
    <w:rsid w:val="0074212C"/>
    <w:rsid w:val="007424A1"/>
    <w:rsid w:val="007424FA"/>
    <w:rsid w:val="00742890"/>
    <w:rsid w:val="00742AAF"/>
    <w:rsid w:val="007435BF"/>
    <w:rsid w:val="00743814"/>
    <w:rsid w:val="00743F4D"/>
    <w:rsid w:val="00743F76"/>
    <w:rsid w:val="00744249"/>
    <w:rsid w:val="00744525"/>
    <w:rsid w:val="00744642"/>
    <w:rsid w:val="00744BB4"/>
    <w:rsid w:val="00745270"/>
    <w:rsid w:val="00745753"/>
    <w:rsid w:val="007460BC"/>
    <w:rsid w:val="0074680A"/>
    <w:rsid w:val="00746874"/>
    <w:rsid w:val="0074689A"/>
    <w:rsid w:val="007468B3"/>
    <w:rsid w:val="0074694A"/>
    <w:rsid w:val="00746A5C"/>
    <w:rsid w:val="00746F38"/>
    <w:rsid w:val="007471E0"/>
    <w:rsid w:val="00747284"/>
    <w:rsid w:val="007472A6"/>
    <w:rsid w:val="0074751D"/>
    <w:rsid w:val="00747A49"/>
    <w:rsid w:val="00747CC3"/>
    <w:rsid w:val="00750091"/>
    <w:rsid w:val="007500CC"/>
    <w:rsid w:val="0075063A"/>
    <w:rsid w:val="00750AC6"/>
    <w:rsid w:val="00751203"/>
    <w:rsid w:val="007516F2"/>
    <w:rsid w:val="007518D7"/>
    <w:rsid w:val="007518E3"/>
    <w:rsid w:val="007521B3"/>
    <w:rsid w:val="007522CE"/>
    <w:rsid w:val="00752313"/>
    <w:rsid w:val="00752321"/>
    <w:rsid w:val="00752C2C"/>
    <w:rsid w:val="00752D96"/>
    <w:rsid w:val="00753922"/>
    <w:rsid w:val="00753B2C"/>
    <w:rsid w:val="00753F43"/>
    <w:rsid w:val="00753F48"/>
    <w:rsid w:val="00753F64"/>
    <w:rsid w:val="007546EF"/>
    <w:rsid w:val="00754826"/>
    <w:rsid w:val="0075569D"/>
    <w:rsid w:val="00755C07"/>
    <w:rsid w:val="00755C91"/>
    <w:rsid w:val="00755DB5"/>
    <w:rsid w:val="00755E85"/>
    <w:rsid w:val="00755EB4"/>
    <w:rsid w:val="0075604E"/>
    <w:rsid w:val="0075610B"/>
    <w:rsid w:val="0075668D"/>
    <w:rsid w:val="00756E73"/>
    <w:rsid w:val="0075797A"/>
    <w:rsid w:val="00757E9D"/>
    <w:rsid w:val="0076018E"/>
    <w:rsid w:val="007604C5"/>
    <w:rsid w:val="00761194"/>
    <w:rsid w:val="007612FD"/>
    <w:rsid w:val="007614C0"/>
    <w:rsid w:val="0076168F"/>
    <w:rsid w:val="0076173E"/>
    <w:rsid w:val="00761AFF"/>
    <w:rsid w:val="00761D3B"/>
    <w:rsid w:val="00762131"/>
    <w:rsid w:val="00762189"/>
    <w:rsid w:val="0076220C"/>
    <w:rsid w:val="00762322"/>
    <w:rsid w:val="00762373"/>
    <w:rsid w:val="00762787"/>
    <w:rsid w:val="0076288A"/>
    <w:rsid w:val="007628B4"/>
    <w:rsid w:val="007628C8"/>
    <w:rsid w:val="00762E7F"/>
    <w:rsid w:val="00762F96"/>
    <w:rsid w:val="007633A2"/>
    <w:rsid w:val="007633EA"/>
    <w:rsid w:val="00763678"/>
    <w:rsid w:val="007636D8"/>
    <w:rsid w:val="00763BC3"/>
    <w:rsid w:val="00763C48"/>
    <w:rsid w:val="00764140"/>
    <w:rsid w:val="0076421A"/>
    <w:rsid w:val="00764746"/>
    <w:rsid w:val="00764AA6"/>
    <w:rsid w:val="00764AE0"/>
    <w:rsid w:val="00764DB8"/>
    <w:rsid w:val="00764DFF"/>
    <w:rsid w:val="0076506C"/>
    <w:rsid w:val="00765702"/>
    <w:rsid w:val="0076597D"/>
    <w:rsid w:val="00765B62"/>
    <w:rsid w:val="007662B8"/>
    <w:rsid w:val="007664DD"/>
    <w:rsid w:val="00766728"/>
    <w:rsid w:val="007669D5"/>
    <w:rsid w:val="00766B6D"/>
    <w:rsid w:val="00766F95"/>
    <w:rsid w:val="007671B7"/>
    <w:rsid w:val="00767858"/>
    <w:rsid w:val="00767A96"/>
    <w:rsid w:val="00767B25"/>
    <w:rsid w:val="00767CA8"/>
    <w:rsid w:val="007700E3"/>
    <w:rsid w:val="0077034A"/>
    <w:rsid w:val="0077036B"/>
    <w:rsid w:val="007703A0"/>
    <w:rsid w:val="007703D8"/>
    <w:rsid w:val="00770793"/>
    <w:rsid w:val="00770D38"/>
    <w:rsid w:val="00770E0C"/>
    <w:rsid w:val="00770FD8"/>
    <w:rsid w:val="0077110F"/>
    <w:rsid w:val="00771294"/>
    <w:rsid w:val="00771671"/>
    <w:rsid w:val="00771B63"/>
    <w:rsid w:val="0077219A"/>
    <w:rsid w:val="007723ED"/>
    <w:rsid w:val="0077259E"/>
    <w:rsid w:val="007725C0"/>
    <w:rsid w:val="007726EE"/>
    <w:rsid w:val="00772A61"/>
    <w:rsid w:val="00772C23"/>
    <w:rsid w:val="00772CD4"/>
    <w:rsid w:val="00773226"/>
    <w:rsid w:val="007734E4"/>
    <w:rsid w:val="00773C14"/>
    <w:rsid w:val="007742C1"/>
    <w:rsid w:val="007742D8"/>
    <w:rsid w:val="00774316"/>
    <w:rsid w:val="0077460E"/>
    <w:rsid w:val="007752E8"/>
    <w:rsid w:val="00775352"/>
    <w:rsid w:val="007755DA"/>
    <w:rsid w:val="00775767"/>
    <w:rsid w:val="00775914"/>
    <w:rsid w:val="00775A28"/>
    <w:rsid w:val="00775A91"/>
    <w:rsid w:val="00775C74"/>
    <w:rsid w:val="00776012"/>
    <w:rsid w:val="00776530"/>
    <w:rsid w:val="0077654D"/>
    <w:rsid w:val="007768C7"/>
    <w:rsid w:val="007770AE"/>
    <w:rsid w:val="007770D9"/>
    <w:rsid w:val="00777187"/>
    <w:rsid w:val="007776D2"/>
    <w:rsid w:val="00777A65"/>
    <w:rsid w:val="00777BAB"/>
    <w:rsid w:val="00777BF3"/>
    <w:rsid w:val="00777C15"/>
    <w:rsid w:val="00777F11"/>
    <w:rsid w:val="00777FF2"/>
    <w:rsid w:val="00780487"/>
    <w:rsid w:val="0078063B"/>
    <w:rsid w:val="00780809"/>
    <w:rsid w:val="0078086B"/>
    <w:rsid w:val="00780C18"/>
    <w:rsid w:val="00781002"/>
    <w:rsid w:val="00781082"/>
    <w:rsid w:val="007815B9"/>
    <w:rsid w:val="0078189A"/>
    <w:rsid w:val="007819AB"/>
    <w:rsid w:val="00781A03"/>
    <w:rsid w:val="00781AC4"/>
    <w:rsid w:val="00781D8A"/>
    <w:rsid w:val="00781F03"/>
    <w:rsid w:val="00781F30"/>
    <w:rsid w:val="00781FC9"/>
    <w:rsid w:val="0078209F"/>
    <w:rsid w:val="007821CC"/>
    <w:rsid w:val="00782223"/>
    <w:rsid w:val="0078237C"/>
    <w:rsid w:val="007828A8"/>
    <w:rsid w:val="007828D1"/>
    <w:rsid w:val="0078304B"/>
    <w:rsid w:val="00783150"/>
    <w:rsid w:val="00783483"/>
    <w:rsid w:val="00783512"/>
    <w:rsid w:val="00783908"/>
    <w:rsid w:val="0078396D"/>
    <w:rsid w:val="00783B9B"/>
    <w:rsid w:val="0078411F"/>
    <w:rsid w:val="007842D0"/>
    <w:rsid w:val="0078433D"/>
    <w:rsid w:val="00784607"/>
    <w:rsid w:val="007848A7"/>
    <w:rsid w:val="0078495B"/>
    <w:rsid w:val="00784B31"/>
    <w:rsid w:val="00784C11"/>
    <w:rsid w:val="00784E36"/>
    <w:rsid w:val="00784F40"/>
    <w:rsid w:val="0078507B"/>
    <w:rsid w:val="007850A5"/>
    <w:rsid w:val="0078530D"/>
    <w:rsid w:val="007855A4"/>
    <w:rsid w:val="007855C2"/>
    <w:rsid w:val="0078569D"/>
    <w:rsid w:val="00785981"/>
    <w:rsid w:val="00785BC7"/>
    <w:rsid w:val="00785BCE"/>
    <w:rsid w:val="00786F1F"/>
    <w:rsid w:val="00786F69"/>
    <w:rsid w:val="00786F74"/>
    <w:rsid w:val="00786F80"/>
    <w:rsid w:val="0078714F"/>
    <w:rsid w:val="007872D6"/>
    <w:rsid w:val="0078786F"/>
    <w:rsid w:val="00787CFE"/>
    <w:rsid w:val="00787D95"/>
    <w:rsid w:val="00790853"/>
    <w:rsid w:val="007909C3"/>
    <w:rsid w:val="00790E40"/>
    <w:rsid w:val="00790FAD"/>
    <w:rsid w:val="00791464"/>
    <w:rsid w:val="007914A2"/>
    <w:rsid w:val="00791A7E"/>
    <w:rsid w:val="00791B4C"/>
    <w:rsid w:val="00791D76"/>
    <w:rsid w:val="00791F76"/>
    <w:rsid w:val="00792470"/>
    <w:rsid w:val="00792691"/>
    <w:rsid w:val="00792DAF"/>
    <w:rsid w:val="007932FC"/>
    <w:rsid w:val="007935D7"/>
    <w:rsid w:val="007938DE"/>
    <w:rsid w:val="007940BC"/>
    <w:rsid w:val="0079425E"/>
    <w:rsid w:val="00794BA8"/>
    <w:rsid w:val="00794CFD"/>
    <w:rsid w:val="00794EEF"/>
    <w:rsid w:val="00794FE1"/>
    <w:rsid w:val="00795348"/>
    <w:rsid w:val="007953E8"/>
    <w:rsid w:val="007954FB"/>
    <w:rsid w:val="0079568E"/>
    <w:rsid w:val="00795A08"/>
    <w:rsid w:val="00795D48"/>
    <w:rsid w:val="007963BF"/>
    <w:rsid w:val="0079648C"/>
    <w:rsid w:val="00796522"/>
    <w:rsid w:val="0079707C"/>
    <w:rsid w:val="00797446"/>
    <w:rsid w:val="00797B42"/>
    <w:rsid w:val="00797C19"/>
    <w:rsid w:val="007A02F1"/>
    <w:rsid w:val="007A030D"/>
    <w:rsid w:val="007A046A"/>
    <w:rsid w:val="007A0508"/>
    <w:rsid w:val="007A0547"/>
    <w:rsid w:val="007A05DF"/>
    <w:rsid w:val="007A065B"/>
    <w:rsid w:val="007A08C7"/>
    <w:rsid w:val="007A08DA"/>
    <w:rsid w:val="007A0BA5"/>
    <w:rsid w:val="007A1132"/>
    <w:rsid w:val="007A11CB"/>
    <w:rsid w:val="007A1412"/>
    <w:rsid w:val="007A190D"/>
    <w:rsid w:val="007A19BB"/>
    <w:rsid w:val="007A1B00"/>
    <w:rsid w:val="007A1E25"/>
    <w:rsid w:val="007A2130"/>
    <w:rsid w:val="007A2BD7"/>
    <w:rsid w:val="007A2CCA"/>
    <w:rsid w:val="007A2D2F"/>
    <w:rsid w:val="007A2D60"/>
    <w:rsid w:val="007A348D"/>
    <w:rsid w:val="007A38F0"/>
    <w:rsid w:val="007A41E7"/>
    <w:rsid w:val="007A429F"/>
    <w:rsid w:val="007A4343"/>
    <w:rsid w:val="007A45D4"/>
    <w:rsid w:val="007A46D8"/>
    <w:rsid w:val="007A4904"/>
    <w:rsid w:val="007A494D"/>
    <w:rsid w:val="007A4FBD"/>
    <w:rsid w:val="007A518C"/>
    <w:rsid w:val="007A5ED6"/>
    <w:rsid w:val="007A5FD2"/>
    <w:rsid w:val="007A6061"/>
    <w:rsid w:val="007A608F"/>
    <w:rsid w:val="007A60DD"/>
    <w:rsid w:val="007A61FC"/>
    <w:rsid w:val="007A62E9"/>
    <w:rsid w:val="007A65E9"/>
    <w:rsid w:val="007A67E0"/>
    <w:rsid w:val="007A685A"/>
    <w:rsid w:val="007A6ADA"/>
    <w:rsid w:val="007A6C73"/>
    <w:rsid w:val="007A6E98"/>
    <w:rsid w:val="007A708A"/>
    <w:rsid w:val="007A7192"/>
    <w:rsid w:val="007A7296"/>
    <w:rsid w:val="007A73CF"/>
    <w:rsid w:val="007A7ACE"/>
    <w:rsid w:val="007A7DB8"/>
    <w:rsid w:val="007A7E81"/>
    <w:rsid w:val="007B0466"/>
    <w:rsid w:val="007B0537"/>
    <w:rsid w:val="007B07E8"/>
    <w:rsid w:val="007B09B2"/>
    <w:rsid w:val="007B0C97"/>
    <w:rsid w:val="007B0CFF"/>
    <w:rsid w:val="007B0D85"/>
    <w:rsid w:val="007B139A"/>
    <w:rsid w:val="007B159B"/>
    <w:rsid w:val="007B1908"/>
    <w:rsid w:val="007B19D6"/>
    <w:rsid w:val="007B1A99"/>
    <w:rsid w:val="007B1BF0"/>
    <w:rsid w:val="007B1CDE"/>
    <w:rsid w:val="007B2065"/>
    <w:rsid w:val="007B22B2"/>
    <w:rsid w:val="007B238E"/>
    <w:rsid w:val="007B27C7"/>
    <w:rsid w:val="007B2992"/>
    <w:rsid w:val="007B2A52"/>
    <w:rsid w:val="007B2AD9"/>
    <w:rsid w:val="007B2B18"/>
    <w:rsid w:val="007B2E1F"/>
    <w:rsid w:val="007B2E6B"/>
    <w:rsid w:val="007B3918"/>
    <w:rsid w:val="007B3A22"/>
    <w:rsid w:val="007B3CE2"/>
    <w:rsid w:val="007B3D94"/>
    <w:rsid w:val="007B4170"/>
    <w:rsid w:val="007B4175"/>
    <w:rsid w:val="007B42D0"/>
    <w:rsid w:val="007B465F"/>
    <w:rsid w:val="007B471E"/>
    <w:rsid w:val="007B48EB"/>
    <w:rsid w:val="007B4956"/>
    <w:rsid w:val="007B4B6D"/>
    <w:rsid w:val="007B4C4F"/>
    <w:rsid w:val="007B53DE"/>
    <w:rsid w:val="007B5481"/>
    <w:rsid w:val="007B54B0"/>
    <w:rsid w:val="007B553A"/>
    <w:rsid w:val="007B5CA7"/>
    <w:rsid w:val="007B6153"/>
    <w:rsid w:val="007B61AE"/>
    <w:rsid w:val="007B61FA"/>
    <w:rsid w:val="007B6280"/>
    <w:rsid w:val="007B6530"/>
    <w:rsid w:val="007B6A5B"/>
    <w:rsid w:val="007B6BE5"/>
    <w:rsid w:val="007B6DF8"/>
    <w:rsid w:val="007B6E25"/>
    <w:rsid w:val="007B70F3"/>
    <w:rsid w:val="007B71E0"/>
    <w:rsid w:val="007B72C3"/>
    <w:rsid w:val="007B72C9"/>
    <w:rsid w:val="007B72CD"/>
    <w:rsid w:val="007B75C0"/>
    <w:rsid w:val="007B7628"/>
    <w:rsid w:val="007B7F50"/>
    <w:rsid w:val="007C03F9"/>
    <w:rsid w:val="007C0525"/>
    <w:rsid w:val="007C0C66"/>
    <w:rsid w:val="007C170A"/>
    <w:rsid w:val="007C18E2"/>
    <w:rsid w:val="007C1A5B"/>
    <w:rsid w:val="007C27CD"/>
    <w:rsid w:val="007C282F"/>
    <w:rsid w:val="007C2A8A"/>
    <w:rsid w:val="007C2D5E"/>
    <w:rsid w:val="007C319D"/>
    <w:rsid w:val="007C35A7"/>
    <w:rsid w:val="007C3720"/>
    <w:rsid w:val="007C37E5"/>
    <w:rsid w:val="007C37F5"/>
    <w:rsid w:val="007C41CA"/>
    <w:rsid w:val="007C428D"/>
    <w:rsid w:val="007C42A3"/>
    <w:rsid w:val="007C4345"/>
    <w:rsid w:val="007C484D"/>
    <w:rsid w:val="007C4A66"/>
    <w:rsid w:val="007C4E19"/>
    <w:rsid w:val="007C505F"/>
    <w:rsid w:val="007C5126"/>
    <w:rsid w:val="007C5743"/>
    <w:rsid w:val="007C5792"/>
    <w:rsid w:val="007C58E8"/>
    <w:rsid w:val="007C5B3D"/>
    <w:rsid w:val="007C5DF0"/>
    <w:rsid w:val="007C6416"/>
    <w:rsid w:val="007C64BC"/>
    <w:rsid w:val="007C66D0"/>
    <w:rsid w:val="007C6975"/>
    <w:rsid w:val="007C6D49"/>
    <w:rsid w:val="007C6EE4"/>
    <w:rsid w:val="007C7029"/>
    <w:rsid w:val="007C7177"/>
    <w:rsid w:val="007C717A"/>
    <w:rsid w:val="007C7807"/>
    <w:rsid w:val="007C78C3"/>
    <w:rsid w:val="007C7BA5"/>
    <w:rsid w:val="007C7F61"/>
    <w:rsid w:val="007D0006"/>
    <w:rsid w:val="007D0489"/>
    <w:rsid w:val="007D05DF"/>
    <w:rsid w:val="007D07CF"/>
    <w:rsid w:val="007D084B"/>
    <w:rsid w:val="007D0903"/>
    <w:rsid w:val="007D13CC"/>
    <w:rsid w:val="007D1441"/>
    <w:rsid w:val="007D159A"/>
    <w:rsid w:val="007D163D"/>
    <w:rsid w:val="007D18E7"/>
    <w:rsid w:val="007D21AE"/>
    <w:rsid w:val="007D2297"/>
    <w:rsid w:val="007D25EA"/>
    <w:rsid w:val="007D2750"/>
    <w:rsid w:val="007D2AC3"/>
    <w:rsid w:val="007D2C08"/>
    <w:rsid w:val="007D2C64"/>
    <w:rsid w:val="007D2C99"/>
    <w:rsid w:val="007D2E60"/>
    <w:rsid w:val="007D3CF0"/>
    <w:rsid w:val="007D3E34"/>
    <w:rsid w:val="007D3E82"/>
    <w:rsid w:val="007D3FDC"/>
    <w:rsid w:val="007D473C"/>
    <w:rsid w:val="007D52BC"/>
    <w:rsid w:val="007D58F6"/>
    <w:rsid w:val="007D5CCD"/>
    <w:rsid w:val="007D5D22"/>
    <w:rsid w:val="007D5FCC"/>
    <w:rsid w:val="007D6088"/>
    <w:rsid w:val="007D6357"/>
    <w:rsid w:val="007D7236"/>
    <w:rsid w:val="007D73F1"/>
    <w:rsid w:val="007D76F6"/>
    <w:rsid w:val="007D7E03"/>
    <w:rsid w:val="007D7E97"/>
    <w:rsid w:val="007E0145"/>
    <w:rsid w:val="007E02BB"/>
    <w:rsid w:val="007E043D"/>
    <w:rsid w:val="007E050A"/>
    <w:rsid w:val="007E0AFC"/>
    <w:rsid w:val="007E0BE5"/>
    <w:rsid w:val="007E0C8E"/>
    <w:rsid w:val="007E0DA3"/>
    <w:rsid w:val="007E117E"/>
    <w:rsid w:val="007E1319"/>
    <w:rsid w:val="007E1508"/>
    <w:rsid w:val="007E16DD"/>
    <w:rsid w:val="007E1CCF"/>
    <w:rsid w:val="007E1DDF"/>
    <w:rsid w:val="007E1DFA"/>
    <w:rsid w:val="007E1E07"/>
    <w:rsid w:val="007E1F7D"/>
    <w:rsid w:val="007E2047"/>
    <w:rsid w:val="007E2287"/>
    <w:rsid w:val="007E22CA"/>
    <w:rsid w:val="007E22CF"/>
    <w:rsid w:val="007E2448"/>
    <w:rsid w:val="007E2773"/>
    <w:rsid w:val="007E27DB"/>
    <w:rsid w:val="007E2A1A"/>
    <w:rsid w:val="007E2CD3"/>
    <w:rsid w:val="007E2D55"/>
    <w:rsid w:val="007E329C"/>
    <w:rsid w:val="007E3399"/>
    <w:rsid w:val="007E3530"/>
    <w:rsid w:val="007E361C"/>
    <w:rsid w:val="007E366D"/>
    <w:rsid w:val="007E3787"/>
    <w:rsid w:val="007E3865"/>
    <w:rsid w:val="007E3871"/>
    <w:rsid w:val="007E3D40"/>
    <w:rsid w:val="007E3D81"/>
    <w:rsid w:val="007E3ED8"/>
    <w:rsid w:val="007E4124"/>
    <w:rsid w:val="007E4739"/>
    <w:rsid w:val="007E4D68"/>
    <w:rsid w:val="007E5435"/>
    <w:rsid w:val="007E54CA"/>
    <w:rsid w:val="007E564C"/>
    <w:rsid w:val="007E56DD"/>
    <w:rsid w:val="007E5744"/>
    <w:rsid w:val="007E5785"/>
    <w:rsid w:val="007E5AE8"/>
    <w:rsid w:val="007E5C4E"/>
    <w:rsid w:val="007E5F93"/>
    <w:rsid w:val="007E601F"/>
    <w:rsid w:val="007E612D"/>
    <w:rsid w:val="007E6183"/>
    <w:rsid w:val="007E62A0"/>
    <w:rsid w:val="007E655E"/>
    <w:rsid w:val="007E6AFA"/>
    <w:rsid w:val="007E6D3E"/>
    <w:rsid w:val="007E6D54"/>
    <w:rsid w:val="007E6E4B"/>
    <w:rsid w:val="007E7A34"/>
    <w:rsid w:val="007F02C3"/>
    <w:rsid w:val="007F0401"/>
    <w:rsid w:val="007F0422"/>
    <w:rsid w:val="007F081A"/>
    <w:rsid w:val="007F0936"/>
    <w:rsid w:val="007F0A68"/>
    <w:rsid w:val="007F0F14"/>
    <w:rsid w:val="007F1018"/>
    <w:rsid w:val="007F10C1"/>
    <w:rsid w:val="007F10C2"/>
    <w:rsid w:val="007F1333"/>
    <w:rsid w:val="007F1751"/>
    <w:rsid w:val="007F1792"/>
    <w:rsid w:val="007F19B7"/>
    <w:rsid w:val="007F1ABE"/>
    <w:rsid w:val="007F1E30"/>
    <w:rsid w:val="007F215D"/>
    <w:rsid w:val="007F22C8"/>
    <w:rsid w:val="007F2B46"/>
    <w:rsid w:val="007F2BF4"/>
    <w:rsid w:val="007F2CCB"/>
    <w:rsid w:val="007F2D24"/>
    <w:rsid w:val="007F2FE5"/>
    <w:rsid w:val="007F3188"/>
    <w:rsid w:val="007F3376"/>
    <w:rsid w:val="007F33A6"/>
    <w:rsid w:val="007F382F"/>
    <w:rsid w:val="007F38C3"/>
    <w:rsid w:val="007F3A59"/>
    <w:rsid w:val="007F3B4B"/>
    <w:rsid w:val="007F404D"/>
    <w:rsid w:val="007F42E7"/>
    <w:rsid w:val="007F4813"/>
    <w:rsid w:val="007F486B"/>
    <w:rsid w:val="007F487A"/>
    <w:rsid w:val="007F5264"/>
    <w:rsid w:val="007F550D"/>
    <w:rsid w:val="007F5826"/>
    <w:rsid w:val="007F5989"/>
    <w:rsid w:val="007F5C6A"/>
    <w:rsid w:val="007F5C73"/>
    <w:rsid w:val="007F5D5B"/>
    <w:rsid w:val="007F5E9F"/>
    <w:rsid w:val="007F5FA5"/>
    <w:rsid w:val="007F6364"/>
    <w:rsid w:val="007F63FE"/>
    <w:rsid w:val="007F6FEB"/>
    <w:rsid w:val="007F7022"/>
    <w:rsid w:val="007F723F"/>
    <w:rsid w:val="007F74B7"/>
    <w:rsid w:val="007F7524"/>
    <w:rsid w:val="007F78E6"/>
    <w:rsid w:val="007F7DBA"/>
    <w:rsid w:val="0080072D"/>
    <w:rsid w:val="0080079E"/>
    <w:rsid w:val="00800860"/>
    <w:rsid w:val="008009C5"/>
    <w:rsid w:val="00800C81"/>
    <w:rsid w:val="0080104B"/>
    <w:rsid w:val="00801142"/>
    <w:rsid w:val="00801B69"/>
    <w:rsid w:val="00801D7D"/>
    <w:rsid w:val="0080206E"/>
    <w:rsid w:val="008020B4"/>
    <w:rsid w:val="008021FC"/>
    <w:rsid w:val="0080229B"/>
    <w:rsid w:val="008022B5"/>
    <w:rsid w:val="008024D2"/>
    <w:rsid w:val="008026F0"/>
    <w:rsid w:val="00802931"/>
    <w:rsid w:val="00802D53"/>
    <w:rsid w:val="00802F21"/>
    <w:rsid w:val="00803212"/>
    <w:rsid w:val="00803420"/>
    <w:rsid w:val="0080355B"/>
    <w:rsid w:val="008035D2"/>
    <w:rsid w:val="00803783"/>
    <w:rsid w:val="00803978"/>
    <w:rsid w:val="008039C4"/>
    <w:rsid w:val="00803AEE"/>
    <w:rsid w:val="00803B02"/>
    <w:rsid w:val="00803B9F"/>
    <w:rsid w:val="00803D49"/>
    <w:rsid w:val="00803E79"/>
    <w:rsid w:val="00804783"/>
    <w:rsid w:val="008048D6"/>
    <w:rsid w:val="00804993"/>
    <w:rsid w:val="00804B03"/>
    <w:rsid w:val="00804F34"/>
    <w:rsid w:val="0080543E"/>
    <w:rsid w:val="00805765"/>
    <w:rsid w:val="0080583E"/>
    <w:rsid w:val="0080587C"/>
    <w:rsid w:val="00805AF4"/>
    <w:rsid w:val="00805B69"/>
    <w:rsid w:val="00806037"/>
    <w:rsid w:val="00806770"/>
    <w:rsid w:val="008069E9"/>
    <w:rsid w:val="00806CD8"/>
    <w:rsid w:val="0080746F"/>
    <w:rsid w:val="00807779"/>
    <w:rsid w:val="00807A1C"/>
    <w:rsid w:val="00807B1C"/>
    <w:rsid w:val="00807BA1"/>
    <w:rsid w:val="00807F5E"/>
    <w:rsid w:val="0081081A"/>
    <w:rsid w:val="0081098C"/>
    <w:rsid w:val="00810C47"/>
    <w:rsid w:val="00810DD2"/>
    <w:rsid w:val="00810DED"/>
    <w:rsid w:val="0081109F"/>
    <w:rsid w:val="0081133A"/>
    <w:rsid w:val="008116C1"/>
    <w:rsid w:val="008118C8"/>
    <w:rsid w:val="008119E0"/>
    <w:rsid w:val="00811C82"/>
    <w:rsid w:val="0081219B"/>
    <w:rsid w:val="00812241"/>
    <w:rsid w:val="0081240C"/>
    <w:rsid w:val="008125CA"/>
    <w:rsid w:val="008129AF"/>
    <w:rsid w:val="008139DE"/>
    <w:rsid w:val="008144EF"/>
    <w:rsid w:val="00814939"/>
    <w:rsid w:val="00814B0F"/>
    <w:rsid w:val="00814BD8"/>
    <w:rsid w:val="00814D7A"/>
    <w:rsid w:val="00814DD8"/>
    <w:rsid w:val="00814F03"/>
    <w:rsid w:val="00814F37"/>
    <w:rsid w:val="008152DC"/>
    <w:rsid w:val="0081536D"/>
    <w:rsid w:val="00815AFF"/>
    <w:rsid w:val="00816176"/>
    <w:rsid w:val="008161E7"/>
    <w:rsid w:val="00816677"/>
    <w:rsid w:val="008166C7"/>
    <w:rsid w:val="00816B1A"/>
    <w:rsid w:val="00816FA1"/>
    <w:rsid w:val="00816FD7"/>
    <w:rsid w:val="00817706"/>
    <w:rsid w:val="00817A4A"/>
    <w:rsid w:val="00817CDB"/>
    <w:rsid w:val="00817E60"/>
    <w:rsid w:val="00817F2A"/>
    <w:rsid w:val="0082001A"/>
    <w:rsid w:val="008204F7"/>
    <w:rsid w:val="008206A4"/>
    <w:rsid w:val="00820B2D"/>
    <w:rsid w:val="00820D2B"/>
    <w:rsid w:val="00820F80"/>
    <w:rsid w:val="0082110F"/>
    <w:rsid w:val="008211BA"/>
    <w:rsid w:val="00821337"/>
    <w:rsid w:val="008215C2"/>
    <w:rsid w:val="00821603"/>
    <w:rsid w:val="008218E9"/>
    <w:rsid w:val="00821A8F"/>
    <w:rsid w:val="00821DB5"/>
    <w:rsid w:val="008220EB"/>
    <w:rsid w:val="008223BE"/>
    <w:rsid w:val="008224F5"/>
    <w:rsid w:val="008229F0"/>
    <w:rsid w:val="00822A08"/>
    <w:rsid w:val="00822B24"/>
    <w:rsid w:val="00822BEC"/>
    <w:rsid w:val="00822EB7"/>
    <w:rsid w:val="00823A29"/>
    <w:rsid w:val="00823C34"/>
    <w:rsid w:val="00823CC2"/>
    <w:rsid w:val="00824AFF"/>
    <w:rsid w:val="00824B38"/>
    <w:rsid w:val="00824C28"/>
    <w:rsid w:val="00825064"/>
    <w:rsid w:val="00825207"/>
    <w:rsid w:val="00825485"/>
    <w:rsid w:val="008257A2"/>
    <w:rsid w:val="008257F2"/>
    <w:rsid w:val="008257FF"/>
    <w:rsid w:val="008258A9"/>
    <w:rsid w:val="00825E00"/>
    <w:rsid w:val="008261A5"/>
    <w:rsid w:val="008265F0"/>
    <w:rsid w:val="00826D29"/>
    <w:rsid w:val="0082714A"/>
    <w:rsid w:val="00827399"/>
    <w:rsid w:val="008273D9"/>
    <w:rsid w:val="00827864"/>
    <w:rsid w:val="00827F96"/>
    <w:rsid w:val="00830270"/>
    <w:rsid w:val="00830350"/>
    <w:rsid w:val="00830352"/>
    <w:rsid w:val="00830682"/>
    <w:rsid w:val="008308E9"/>
    <w:rsid w:val="00831376"/>
    <w:rsid w:val="0083171C"/>
    <w:rsid w:val="00831814"/>
    <w:rsid w:val="00831D07"/>
    <w:rsid w:val="00832034"/>
    <w:rsid w:val="00832362"/>
    <w:rsid w:val="00832609"/>
    <w:rsid w:val="00832896"/>
    <w:rsid w:val="00832BEE"/>
    <w:rsid w:val="00832F56"/>
    <w:rsid w:val="00833CAB"/>
    <w:rsid w:val="00833CD6"/>
    <w:rsid w:val="00834105"/>
    <w:rsid w:val="0083428A"/>
    <w:rsid w:val="00834370"/>
    <w:rsid w:val="00834459"/>
    <w:rsid w:val="008345DD"/>
    <w:rsid w:val="008348E2"/>
    <w:rsid w:val="0083501A"/>
    <w:rsid w:val="00835128"/>
    <w:rsid w:val="0083514B"/>
    <w:rsid w:val="0083521B"/>
    <w:rsid w:val="00835687"/>
    <w:rsid w:val="00835880"/>
    <w:rsid w:val="00835CC3"/>
    <w:rsid w:val="00835CF5"/>
    <w:rsid w:val="0083624D"/>
    <w:rsid w:val="00836265"/>
    <w:rsid w:val="00836381"/>
    <w:rsid w:val="008364C8"/>
    <w:rsid w:val="00836CC7"/>
    <w:rsid w:val="00836FC1"/>
    <w:rsid w:val="00836FFF"/>
    <w:rsid w:val="0083729E"/>
    <w:rsid w:val="008372A6"/>
    <w:rsid w:val="008373B7"/>
    <w:rsid w:val="00837486"/>
    <w:rsid w:val="00837553"/>
    <w:rsid w:val="008376E0"/>
    <w:rsid w:val="0083788E"/>
    <w:rsid w:val="00837AEF"/>
    <w:rsid w:val="0084029B"/>
    <w:rsid w:val="00840308"/>
    <w:rsid w:val="00840C9C"/>
    <w:rsid w:val="0084130B"/>
    <w:rsid w:val="00841320"/>
    <w:rsid w:val="0084136F"/>
    <w:rsid w:val="00841515"/>
    <w:rsid w:val="008415C5"/>
    <w:rsid w:val="00841682"/>
    <w:rsid w:val="008416A8"/>
    <w:rsid w:val="008417BC"/>
    <w:rsid w:val="00841984"/>
    <w:rsid w:val="00841A71"/>
    <w:rsid w:val="00841D63"/>
    <w:rsid w:val="00842361"/>
    <w:rsid w:val="008423A9"/>
    <w:rsid w:val="008423BC"/>
    <w:rsid w:val="008425AC"/>
    <w:rsid w:val="00842855"/>
    <w:rsid w:val="008429A9"/>
    <w:rsid w:val="00842B72"/>
    <w:rsid w:val="00842DF4"/>
    <w:rsid w:val="00842EEE"/>
    <w:rsid w:val="00842F74"/>
    <w:rsid w:val="0084312A"/>
    <w:rsid w:val="0084346B"/>
    <w:rsid w:val="0084379D"/>
    <w:rsid w:val="0084390B"/>
    <w:rsid w:val="008439A9"/>
    <w:rsid w:val="00843AB1"/>
    <w:rsid w:val="00843BD4"/>
    <w:rsid w:val="00843C2A"/>
    <w:rsid w:val="00843C3F"/>
    <w:rsid w:val="00843CB0"/>
    <w:rsid w:val="00843DCE"/>
    <w:rsid w:val="0084403B"/>
    <w:rsid w:val="008440F5"/>
    <w:rsid w:val="0084423E"/>
    <w:rsid w:val="00844AE9"/>
    <w:rsid w:val="00844C17"/>
    <w:rsid w:val="0084578E"/>
    <w:rsid w:val="0084591D"/>
    <w:rsid w:val="00845DC3"/>
    <w:rsid w:val="00845DDA"/>
    <w:rsid w:val="00845EF7"/>
    <w:rsid w:val="008463AE"/>
    <w:rsid w:val="00846758"/>
    <w:rsid w:val="008467B3"/>
    <w:rsid w:val="00846BEA"/>
    <w:rsid w:val="00846CD0"/>
    <w:rsid w:val="0084761E"/>
    <w:rsid w:val="008476D0"/>
    <w:rsid w:val="00847C45"/>
    <w:rsid w:val="00847D4E"/>
    <w:rsid w:val="00847FD5"/>
    <w:rsid w:val="00850043"/>
    <w:rsid w:val="00850074"/>
    <w:rsid w:val="0085025D"/>
    <w:rsid w:val="00850294"/>
    <w:rsid w:val="00850997"/>
    <w:rsid w:val="008509CF"/>
    <w:rsid w:val="00850DBC"/>
    <w:rsid w:val="00850FB9"/>
    <w:rsid w:val="008512E0"/>
    <w:rsid w:val="008513FB"/>
    <w:rsid w:val="00851430"/>
    <w:rsid w:val="0085154D"/>
    <w:rsid w:val="00851628"/>
    <w:rsid w:val="00851810"/>
    <w:rsid w:val="00851B62"/>
    <w:rsid w:val="00851C4A"/>
    <w:rsid w:val="00851EDF"/>
    <w:rsid w:val="00852107"/>
    <w:rsid w:val="0085242F"/>
    <w:rsid w:val="00852747"/>
    <w:rsid w:val="00852806"/>
    <w:rsid w:val="00852891"/>
    <w:rsid w:val="008528C2"/>
    <w:rsid w:val="00852A3F"/>
    <w:rsid w:val="00852EBB"/>
    <w:rsid w:val="00853071"/>
    <w:rsid w:val="0085318B"/>
    <w:rsid w:val="00853417"/>
    <w:rsid w:val="008537E8"/>
    <w:rsid w:val="008539DF"/>
    <w:rsid w:val="00854150"/>
    <w:rsid w:val="00854435"/>
    <w:rsid w:val="0085486E"/>
    <w:rsid w:val="00854D8E"/>
    <w:rsid w:val="00855068"/>
    <w:rsid w:val="008551C8"/>
    <w:rsid w:val="008555D8"/>
    <w:rsid w:val="00855F39"/>
    <w:rsid w:val="0085653C"/>
    <w:rsid w:val="008566D7"/>
    <w:rsid w:val="00856B8C"/>
    <w:rsid w:val="00856C28"/>
    <w:rsid w:val="00857383"/>
    <w:rsid w:val="00857504"/>
    <w:rsid w:val="00857837"/>
    <w:rsid w:val="00857C01"/>
    <w:rsid w:val="00857C4E"/>
    <w:rsid w:val="00857FBB"/>
    <w:rsid w:val="008602FA"/>
    <w:rsid w:val="00861A32"/>
    <w:rsid w:val="00861E83"/>
    <w:rsid w:val="00862601"/>
    <w:rsid w:val="008628B8"/>
    <w:rsid w:val="008628DE"/>
    <w:rsid w:val="008629F0"/>
    <w:rsid w:val="00862C99"/>
    <w:rsid w:val="00862E5B"/>
    <w:rsid w:val="00863876"/>
    <w:rsid w:val="008638DF"/>
    <w:rsid w:val="00863A84"/>
    <w:rsid w:val="00863D77"/>
    <w:rsid w:val="00863E66"/>
    <w:rsid w:val="0086404F"/>
    <w:rsid w:val="0086483D"/>
    <w:rsid w:val="008649B1"/>
    <w:rsid w:val="00864EE6"/>
    <w:rsid w:val="00864F86"/>
    <w:rsid w:val="00864F92"/>
    <w:rsid w:val="00864FC9"/>
    <w:rsid w:val="008651DC"/>
    <w:rsid w:val="008652FE"/>
    <w:rsid w:val="00865C31"/>
    <w:rsid w:val="00865E1C"/>
    <w:rsid w:val="00866FBC"/>
    <w:rsid w:val="00866FD5"/>
    <w:rsid w:val="00867193"/>
    <w:rsid w:val="00867363"/>
    <w:rsid w:val="008673EB"/>
    <w:rsid w:val="00867862"/>
    <w:rsid w:val="00867CAF"/>
    <w:rsid w:val="00867D0D"/>
    <w:rsid w:val="00867EEE"/>
    <w:rsid w:val="0087012F"/>
    <w:rsid w:val="008704D5"/>
    <w:rsid w:val="0087093F"/>
    <w:rsid w:val="00870BD1"/>
    <w:rsid w:val="00871451"/>
    <w:rsid w:val="008718B0"/>
    <w:rsid w:val="00871B7D"/>
    <w:rsid w:val="00871EEF"/>
    <w:rsid w:val="00872178"/>
    <w:rsid w:val="008723AF"/>
    <w:rsid w:val="008723B5"/>
    <w:rsid w:val="00872BBC"/>
    <w:rsid w:val="00872D3B"/>
    <w:rsid w:val="00872EF0"/>
    <w:rsid w:val="0087305D"/>
    <w:rsid w:val="00873595"/>
    <w:rsid w:val="00873A01"/>
    <w:rsid w:val="00873A90"/>
    <w:rsid w:val="00873AFF"/>
    <w:rsid w:val="00873CB0"/>
    <w:rsid w:val="00873DFE"/>
    <w:rsid w:val="00874157"/>
    <w:rsid w:val="008741F5"/>
    <w:rsid w:val="008744B5"/>
    <w:rsid w:val="00874566"/>
    <w:rsid w:val="00874CC5"/>
    <w:rsid w:val="00874ED0"/>
    <w:rsid w:val="00874F61"/>
    <w:rsid w:val="00875082"/>
    <w:rsid w:val="00875092"/>
    <w:rsid w:val="00875096"/>
    <w:rsid w:val="008752D4"/>
    <w:rsid w:val="0087574E"/>
    <w:rsid w:val="00875F6F"/>
    <w:rsid w:val="008763A7"/>
    <w:rsid w:val="008766AE"/>
    <w:rsid w:val="008767C8"/>
    <w:rsid w:val="00876951"/>
    <w:rsid w:val="00876B30"/>
    <w:rsid w:val="00876D00"/>
    <w:rsid w:val="00877096"/>
    <w:rsid w:val="008771B4"/>
    <w:rsid w:val="0087728F"/>
    <w:rsid w:val="00877518"/>
    <w:rsid w:val="008776C7"/>
    <w:rsid w:val="00877767"/>
    <w:rsid w:val="00877AEC"/>
    <w:rsid w:val="008800E1"/>
    <w:rsid w:val="00880284"/>
    <w:rsid w:val="008807E3"/>
    <w:rsid w:val="008807F4"/>
    <w:rsid w:val="00880938"/>
    <w:rsid w:val="0088098B"/>
    <w:rsid w:val="00880A82"/>
    <w:rsid w:val="00880CA2"/>
    <w:rsid w:val="00880EDE"/>
    <w:rsid w:val="00881067"/>
    <w:rsid w:val="00881233"/>
    <w:rsid w:val="0088155B"/>
    <w:rsid w:val="00881D43"/>
    <w:rsid w:val="00881DB3"/>
    <w:rsid w:val="0088215C"/>
    <w:rsid w:val="008821CF"/>
    <w:rsid w:val="00882540"/>
    <w:rsid w:val="00882917"/>
    <w:rsid w:val="00882A9B"/>
    <w:rsid w:val="00882C3D"/>
    <w:rsid w:val="00882F1A"/>
    <w:rsid w:val="008836FF"/>
    <w:rsid w:val="008837CB"/>
    <w:rsid w:val="0088381C"/>
    <w:rsid w:val="00883B31"/>
    <w:rsid w:val="00883B48"/>
    <w:rsid w:val="00883CC6"/>
    <w:rsid w:val="00883D99"/>
    <w:rsid w:val="00883ED8"/>
    <w:rsid w:val="00883F48"/>
    <w:rsid w:val="00884177"/>
    <w:rsid w:val="0088419C"/>
    <w:rsid w:val="008843F9"/>
    <w:rsid w:val="00884627"/>
    <w:rsid w:val="00884719"/>
    <w:rsid w:val="00884DB1"/>
    <w:rsid w:val="00885155"/>
    <w:rsid w:val="00885517"/>
    <w:rsid w:val="00885532"/>
    <w:rsid w:val="00885587"/>
    <w:rsid w:val="00885832"/>
    <w:rsid w:val="008858F5"/>
    <w:rsid w:val="00885900"/>
    <w:rsid w:val="00885987"/>
    <w:rsid w:val="00885C51"/>
    <w:rsid w:val="00885F30"/>
    <w:rsid w:val="008867BE"/>
    <w:rsid w:val="008868CA"/>
    <w:rsid w:val="00886AAC"/>
    <w:rsid w:val="00887052"/>
    <w:rsid w:val="0088724D"/>
    <w:rsid w:val="008873CF"/>
    <w:rsid w:val="008875F1"/>
    <w:rsid w:val="008876DF"/>
    <w:rsid w:val="00887793"/>
    <w:rsid w:val="00887820"/>
    <w:rsid w:val="0088784C"/>
    <w:rsid w:val="0088786F"/>
    <w:rsid w:val="00887AD3"/>
    <w:rsid w:val="00887CA6"/>
    <w:rsid w:val="00887E6B"/>
    <w:rsid w:val="008901C6"/>
    <w:rsid w:val="0089021F"/>
    <w:rsid w:val="00890257"/>
    <w:rsid w:val="00890824"/>
    <w:rsid w:val="00890BAE"/>
    <w:rsid w:val="00890CD2"/>
    <w:rsid w:val="00890F04"/>
    <w:rsid w:val="00891381"/>
    <w:rsid w:val="008914B0"/>
    <w:rsid w:val="0089151C"/>
    <w:rsid w:val="00891B47"/>
    <w:rsid w:val="00891CA8"/>
    <w:rsid w:val="00891DBB"/>
    <w:rsid w:val="00891F05"/>
    <w:rsid w:val="00891FE5"/>
    <w:rsid w:val="008922BA"/>
    <w:rsid w:val="00892318"/>
    <w:rsid w:val="00892A09"/>
    <w:rsid w:val="00892A4D"/>
    <w:rsid w:val="00892D09"/>
    <w:rsid w:val="00893291"/>
    <w:rsid w:val="0089337C"/>
    <w:rsid w:val="008936E2"/>
    <w:rsid w:val="0089379C"/>
    <w:rsid w:val="00893BB1"/>
    <w:rsid w:val="00893C70"/>
    <w:rsid w:val="00893E1A"/>
    <w:rsid w:val="00894230"/>
    <w:rsid w:val="00894BB7"/>
    <w:rsid w:val="00894C6B"/>
    <w:rsid w:val="00894E32"/>
    <w:rsid w:val="00895083"/>
    <w:rsid w:val="00895093"/>
    <w:rsid w:val="008951DF"/>
    <w:rsid w:val="0089523D"/>
    <w:rsid w:val="00895A8F"/>
    <w:rsid w:val="00895F76"/>
    <w:rsid w:val="00895FF0"/>
    <w:rsid w:val="008960FF"/>
    <w:rsid w:val="008962B9"/>
    <w:rsid w:val="008963CF"/>
    <w:rsid w:val="00896405"/>
    <w:rsid w:val="00896561"/>
    <w:rsid w:val="0089670D"/>
    <w:rsid w:val="00896998"/>
    <w:rsid w:val="00896AC4"/>
    <w:rsid w:val="00896AF9"/>
    <w:rsid w:val="00896F42"/>
    <w:rsid w:val="00897A7D"/>
    <w:rsid w:val="00897DA6"/>
    <w:rsid w:val="00897FB6"/>
    <w:rsid w:val="008A00D8"/>
    <w:rsid w:val="008A016E"/>
    <w:rsid w:val="008A029D"/>
    <w:rsid w:val="008A02A9"/>
    <w:rsid w:val="008A0683"/>
    <w:rsid w:val="008A0760"/>
    <w:rsid w:val="008A08D3"/>
    <w:rsid w:val="008A0A12"/>
    <w:rsid w:val="008A0FD7"/>
    <w:rsid w:val="008A10A0"/>
    <w:rsid w:val="008A1330"/>
    <w:rsid w:val="008A1588"/>
    <w:rsid w:val="008A1596"/>
    <w:rsid w:val="008A18F5"/>
    <w:rsid w:val="008A1A3D"/>
    <w:rsid w:val="008A1D12"/>
    <w:rsid w:val="008A1F03"/>
    <w:rsid w:val="008A20FA"/>
    <w:rsid w:val="008A280D"/>
    <w:rsid w:val="008A2B4D"/>
    <w:rsid w:val="008A2E57"/>
    <w:rsid w:val="008A3353"/>
    <w:rsid w:val="008A366D"/>
    <w:rsid w:val="008A36B7"/>
    <w:rsid w:val="008A44EC"/>
    <w:rsid w:val="008A47C1"/>
    <w:rsid w:val="008A5228"/>
    <w:rsid w:val="008A5240"/>
    <w:rsid w:val="008A56AB"/>
    <w:rsid w:val="008A57A9"/>
    <w:rsid w:val="008A5838"/>
    <w:rsid w:val="008A58A3"/>
    <w:rsid w:val="008A5C32"/>
    <w:rsid w:val="008A5CC6"/>
    <w:rsid w:val="008A60FA"/>
    <w:rsid w:val="008A61D8"/>
    <w:rsid w:val="008A62ED"/>
    <w:rsid w:val="008A65CF"/>
    <w:rsid w:val="008A65FD"/>
    <w:rsid w:val="008A68DA"/>
    <w:rsid w:val="008A6B41"/>
    <w:rsid w:val="008A6B83"/>
    <w:rsid w:val="008A6BAF"/>
    <w:rsid w:val="008A6BC6"/>
    <w:rsid w:val="008A6C10"/>
    <w:rsid w:val="008A6E1D"/>
    <w:rsid w:val="008A7029"/>
    <w:rsid w:val="008A70CF"/>
    <w:rsid w:val="008A7322"/>
    <w:rsid w:val="008A739F"/>
    <w:rsid w:val="008A7A9C"/>
    <w:rsid w:val="008A7BE5"/>
    <w:rsid w:val="008B039F"/>
    <w:rsid w:val="008B05DD"/>
    <w:rsid w:val="008B0820"/>
    <w:rsid w:val="008B0927"/>
    <w:rsid w:val="008B0AE3"/>
    <w:rsid w:val="008B0BDE"/>
    <w:rsid w:val="008B1238"/>
    <w:rsid w:val="008B1357"/>
    <w:rsid w:val="008B16CF"/>
    <w:rsid w:val="008B19BF"/>
    <w:rsid w:val="008B1A7D"/>
    <w:rsid w:val="008B1C94"/>
    <w:rsid w:val="008B2011"/>
    <w:rsid w:val="008B2415"/>
    <w:rsid w:val="008B24CB"/>
    <w:rsid w:val="008B27B6"/>
    <w:rsid w:val="008B2907"/>
    <w:rsid w:val="008B29AE"/>
    <w:rsid w:val="008B2A85"/>
    <w:rsid w:val="008B2B3D"/>
    <w:rsid w:val="008B2E6F"/>
    <w:rsid w:val="008B2FAC"/>
    <w:rsid w:val="008B3092"/>
    <w:rsid w:val="008B3213"/>
    <w:rsid w:val="008B3549"/>
    <w:rsid w:val="008B3737"/>
    <w:rsid w:val="008B3A5D"/>
    <w:rsid w:val="008B3CEA"/>
    <w:rsid w:val="008B3D68"/>
    <w:rsid w:val="008B403D"/>
    <w:rsid w:val="008B4786"/>
    <w:rsid w:val="008B479D"/>
    <w:rsid w:val="008B48E2"/>
    <w:rsid w:val="008B4A85"/>
    <w:rsid w:val="008B4C12"/>
    <w:rsid w:val="008B4CF9"/>
    <w:rsid w:val="008B4E73"/>
    <w:rsid w:val="008B4ECF"/>
    <w:rsid w:val="008B5BCC"/>
    <w:rsid w:val="008B5C06"/>
    <w:rsid w:val="008B5E82"/>
    <w:rsid w:val="008B6B1F"/>
    <w:rsid w:val="008B6C31"/>
    <w:rsid w:val="008B6F3B"/>
    <w:rsid w:val="008B74BD"/>
    <w:rsid w:val="008B7ADE"/>
    <w:rsid w:val="008B7AE8"/>
    <w:rsid w:val="008B7E0B"/>
    <w:rsid w:val="008B7EE9"/>
    <w:rsid w:val="008B7FC3"/>
    <w:rsid w:val="008C00CC"/>
    <w:rsid w:val="008C00E1"/>
    <w:rsid w:val="008C015C"/>
    <w:rsid w:val="008C023E"/>
    <w:rsid w:val="008C026C"/>
    <w:rsid w:val="008C0935"/>
    <w:rsid w:val="008C0AC4"/>
    <w:rsid w:val="008C0B1B"/>
    <w:rsid w:val="008C0C9E"/>
    <w:rsid w:val="008C107A"/>
    <w:rsid w:val="008C1150"/>
    <w:rsid w:val="008C14CC"/>
    <w:rsid w:val="008C1C10"/>
    <w:rsid w:val="008C21A0"/>
    <w:rsid w:val="008C2457"/>
    <w:rsid w:val="008C248E"/>
    <w:rsid w:val="008C2B0D"/>
    <w:rsid w:val="008C2E95"/>
    <w:rsid w:val="008C2ECB"/>
    <w:rsid w:val="008C368A"/>
    <w:rsid w:val="008C3780"/>
    <w:rsid w:val="008C380B"/>
    <w:rsid w:val="008C4112"/>
    <w:rsid w:val="008C419F"/>
    <w:rsid w:val="008C42EE"/>
    <w:rsid w:val="008C494B"/>
    <w:rsid w:val="008C5070"/>
    <w:rsid w:val="008C53B7"/>
    <w:rsid w:val="008C5422"/>
    <w:rsid w:val="008C54FB"/>
    <w:rsid w:val="008C56CB"/>
    <w:rsid w:val="008C58F0"/>
    <w:rsid w:val="008C5C03"/>
    <w:rsid w:val="008C6127"/>
    <w:rsid w:val="008C650A"/>
    <w:rsid w:val="008C66B7"/>
    <w:rsid w:val="008C68B2"/>
    <w:rsid w:val="008C6B5C"/>
    <w:rsid w:val="008C6B74"/>
    <w:rsid w:val="008C6ED7"/>
    <w:rsid w:val="008C6F07"/>
    <w:rsid w:val="008C6F86"/>
    <w:rsid w:val="008C7010"/>
    <w:rsid w:val="008C719F"/>
    <w:rsid w:val="008C71CD"/>
    <w:rsid w:val="008C7260"/>
    <w:rsid w:val="008C7958"/>
    <w:rsid w:val="008C79C2"/>
    <w:rsid w:val="008C7AA0"/>
    <w:rsid w:val="008C7B5D"/>
    <w:rsid w:val="008C7DAB"/>
    <w:rsid w:val="008D01A1"/>
    <w:rsid w:val="008D0319"/>
    <w:rsid w:val="008D06E0"/>
    <w:rsid w:val="008D0DC9"/>
    <w:rsid w:val="008D1126"/>
    <w:rsid w:val="008D11D0"/>
    <w:rsid w:val="008D11D9"/>
    <w:rsid w:val="008D1251"/>
    <w:rsid w:val="008D1A0F"/>
    <w:rsid w:val="008D1A68"/>
    <w:rsid w:val="008D1D32"/>
    <w:rsid w:val="008D1F18"/>
    <w:rsid w:val="008D204C"/>
    <w:rsid w:val="008D22BD"/>
    <w:rsid w:val="008D24D5"/>
    <w:rsid w:val="008D253F"/>
    <w:rsid w:val="008D2580"/>
    <w:rsid w:val="008D29BA"/>
    <w:rsid w:val="008D29BF"/>
    <w:rsid w:val="008D2F6C"/>
    <w:rsid w:val="008D2F6D"/>
    <w:rsid w:val="008D301F"/>
    <w:rsid w:val="008D3043"/>
    <w:rsid w:val="008D3133"/>
    <w:rsid w:val="008D344F"/>
    <w:rsid w:val="008D351B"/>
    <w:rsid w:val="008D38F9"/>
    <w:rsid w:val="008D403C"/>
    <w:rsid w:val="008D41FB"/>
    <w:rsid w:val="008D4370"/>
    <w:rsid w:val="008D497E"/>
    <w:rsid w:val="008D4BD9"/>
    <w:rsid w:val="008D4DC8"/>
    <w:rsid w:val="008D4E42"/>
    <w:rsid w:val="008D5D02"/>
    <w:rsid w:val="008D5D25"/>
    <w:rsid w:val="008D60F6"/>
    <w:rsid w:val="008D6118"/>
    <w:rsid w:val="008D6740"/>
    <w:rsid w:val="008D6760"/>
    <w:rsid w:val="008D6DAD"/>
    <w:rsid w:val="008D6F30"/>
    <w:rsid w:val="008D7054"/>
    <w:rsid w:val="008D7352"/>
    <w:rsid w:val="008D73F4"/>
    <w:rsid w:val="008D796B"/>
    <w:rsid w:val="008D7ABA"/>
    <w:rsid w:val="008D7EDE"/>
    <w:rsid w:val="008D7FCF"/>
    <w:rsid w:val="008E010E"/>
    <w:rsid w:val="008E04CB"/>
    <w:rsid w:val="008E09AA"/>
    <w:rsid w:val="008E0A80"/>
    <w:rsid w:val="008E0CDA"/>
    <w:rsid w:val="008E1082"/>
    <w:rsid w:val="008E14EC"/>
    <w:rsid w:val="008E1791"/>
    <w:rsid w:val="008E1AA2"/>
    <w:rsid w:val="008E1B96"/>
    <w:rsid w:val="008E1D43"/>
    <w:rsid w:val="008E25E5"/>
    <w:rsid w:val="008E278F"/>
    <w:rsid w:val="008E27FD"/>
    <w:rsid w:val="008E2B4A"/>
    <w:rsid w:val="008E3008"/>
    <w:rsid w:val="008E3528"/>
    <w:rsid w:val="008E384C"/>
    <w:rsid w:val="008E3B92"/>
    <w:rsid w:val="008E40F6"/>
    <w:rsid w:val="008E4157"/>
    <w:rsid w:val="008E45B7"/>
    <w:rsid w:val="008E4806"/>
    <w:rsid w:val="008E4BB4"/>
    <w:rsid w:val="008E4FC4"/>
    <w:rsid w:val="008E4FF9"/>
    <w:rsid w:val="008E5136"/>
    <w:rsid w:val="008E59B6"/>
    <w:rsid w:val="008E5B9A"/>
    <w:rsid w:val="008E5EF0"/>
    <w:rsid w:val="008E630B"/>
    <w:rsid w:val="008E66CB"/>
    <w:rsid w:val="008E6A22"/>
    <w:rsid w:val="008E6C80"/>
    <w:rsid w:val="008E6F23"/>
    <w:rsid w:val="008E713D"/>
    <w:rsid w:val="008E7717"/>
    <w:rsid w:val="008E7824"/>
    <w:rsid w:val="008F0342"/>
    <w:rsid w:val="008F0BF9"/>
    <w:rsid w:val="008F1251"/>
    <w:rsid w:val="008F17C1"/>
    <w:rsid w:val="008F1C04"/>
    <w:rsid w:val="008F1D81"/>
    <w:rsid w:val="008F1F6B"/>
    <w:rsid w:val="008F1F93"/>
    <w:rsid w:val="008F221D"/>
    <w:rsid w:val="008F2417"/>
    <w:rsid w:val="008F2427"/>
    <w:rsid w:val="008F25E3"/>
    <w:rsid w:val="008F312E"/>
    <w:rsid w:val="008F3303"/>
    <w:rsid w:val="008F340E"/>
    <w:rsid w:val="008F350B"/>
    <w:rsid w:val="008F3532"/>
    <w:rsid w:val="008F35AD"/>
    <w:rsid w:val="008F38A0"/>
    <w:rsid w:val="008F4004"/>
    <w:rsid w:val="008F41F8"/>
    <w:rsid w:val="008F467A"/>
    <w:rsid w:val="008F5035"/>
    <w:rsid w:val="008F517A"/>
    <w:rsid w:val="008F538A"/>
    <w:rsid w:val="008F53EB"/>
    <w:rsid w:val="008F5493"/>
    <w:rsid w:val="008F568A"/>
    <w:rsid w:val="008F5A48"/>
    <w:rsid w:val="008F5AB3"/>
    <w:rsid w:val="008F5D40"/>
    <w:rsid w:val="008F6266"/>
    <w:rsid w:val="008F633F"/>
    <w:rsid w:val="008F634F"/>
    <w:rsid w:val="008F65A9"/>
    <w:rsid w:val="008F66E9"/>
    <w:rsid w:val="008F67B9"/>
    <w:rsid w:val="008F68AA"/>
    <w:rsid w:val="008F6BA3"/>
    <w:rsid w:val="008F6BD7"/>
    <w:rsid w:val="008F6C48"/>
    <w:rsid w:val="008F74AD"/>
    <w:rsid w:val="008F74F3"/>
    <w:rsid w:val="008F7669"/>
    <w:rsid w:val="008F788A"/>
    <w:rsid w:val="008F793D"/>
    <w:rsid w:val="008F7A13"/>
    <w:rsid w:val="008F7C08"/>
    <w:rsid w:val="008F7D7F"/>
    <w:rsid w:val="008F7ECC"/>
    <w:rsid w:val="00900B3E"/>
    <w:rsid w:val="00900B7D"/>
    <w:rsid w:val="00900BE4"/>
    <w:rsid w:val="00900D7B"/>
    <w:rsid w:val="00900F9A"/>
    <w:rsid w:val="0090105F"/>
    <w:rsid w:val="009010F6"/>
    <w:rsid w:val="009012A1"/>
    <w:rsid w:val="00901308"/>
    <w:rsid w:val="00901575"/>
    <w:rsid w:val="009015CC"/>
    <w:rsid w:val="0090164F"/>
    <w:rsid w:val="00901951"/>
    <w:rsid w:val="00901F89"/>
    <w:rsid w:val="00902443"/>
    <w:rsid w:val="00902708"/>
    <w:rsid w:val="0090291D"/>
    <w:rsid w:val="009031AB"/>
    <w:rsid w:val="00903235"/>
    <w:rsid w:val="0090359E"/>
    <w:rsid w:val="00903616"/>
    <w:rsid w:val="009037B9"/>
    <w:rsid w:val="009037DC"/>
    <w:rsid w:val="009038EB"/>
    <w:rsid w:val="00903F8F"/>
    <w:rsid w:val="00903FA8"/>
    <w:rsid w:val="00904459"/>
    <w:rsid w:val="00904618"/>
    <w:rsid w:val="0090475D"/>
    <w:rsid w:val="009047EB"/>
    <w:rsid w:val="00904888"/>
    <w:rsid w:val="00904899"/>
    <w:rsid w:val="00904CA6"/>
    <w:rsid w:val="0090513F"/>
    <w:rsid w:val="0090538F"/>
    <w:rsid w:val="0090571D"/>
    <w:rsid w:val="00905809"/>
    <w:rsid w:val="00905B16"/>
    <w:rsid w:val="00905BEB"/>
    <w:rsid w:val="00905DB1"/>
    <w:rsid w:val="00905E62"/>
    <w:rsid w:val="00905E89"/>
    <w:rsid w:val="009060D9"/>
    <w:rsid w:val="0090622B"/>
    <w:rsid w:val="0090626C"/>
    <w:rsid w:val="00906956"/>
    <w:rsid w:val="00906BB8"/>
    <w:rsid w:val="00906DAD"/>
    <w:rsid w:val="009071F2"/>
    <w:rsid w:val="00907301"/>
    <w:rsid w:val="009075ED"/>
    <w:rsid w:val="009077D5"/>
    <w:rsid w:val="009078F8"/>
    <w:rsid w:val="009079BD"/>
    <w:rsid w:val="00907A77"/>
    <w:rsid w:val="00910C2C"/>
    <w:rsid w:val="009114B9"/>
    <w:rsid w:val="009115AE"/>
    <w:rsid w:val="009119B7"/>
    <w:rsid w:val="00911C1A"/>
    <w:rsid w:val="00911C50"/>
    <w:rsid w:val="00911E4F"/>
    <w:rsid w:val="009121E8"/>
    <w:rsid w:val="00912973"/>
    <w:rsid w:val="009129A2"/>
    <w:rsid w:val="00912F03"/>
    <w:rsid w:val="00913358"/>
    <w:rsid w:val="009133F0"/>
    <w:rsid w:val="00913818"/>
    <w:rsid w:val="0091389F"/>
    <w:rsid w:val="009139C7"/>
    <w:rsid w:val="00913D99"/>
    <w:rsid w:val="00913DE3"/>
    <w:rsid w:val="009147C1"/>
    <w:rsid w:val="00914E1A"/>
    <w:rsid w:val="00914EBD"/>
    <w:rsid w:val="00915024"/>
    <w:rsid w:val="00915277"/>
    <w:rsid w:val="00915B4F"/>
    <w:rsid w:val="00916534"/>
    <w:rsid w:val="00916673"/>
    <w:rsid w:val="0091688A"/>
    <w:rsid w:val="00916962"/>
    <w:rsid w:val="00916DB3"/>
    <w:rsid w:val="00917704"/>
    <w:rsid w:val="00917818"/>
    <w:rsid w:val="00917C05"/>
    <w:rsid w:val="00917C08"/>
    <w:rsid w:val="00917D5F"/>
    <w:rsid w:val="00917E89"/>
    <w:rsid w:val="00920F8F"/>
    <w:rsid w:val="009210E1"/>
    <w:rsid w:val="00921795"/>
    <w:rsid w:val="00921E15"/>
    <w:rsid w:val="009221B4"/>
    <w:rsid w:val="00922359"/>
    <w:rsid w:val="0092259E"/>
    <w:rsid w:val="009226BC"/>
    <w:rsid w:val="009227DB"/>
    <w:rsid w:val="00922BE0"/>
    <w:rsid w:val="00922C4A"/>
    <w:rsid w:val="00922D68"/>
    <w:rsid w:val="00922E3E"/>
    <w:rsid w:val="009232EF"/>
    <w:rsid w:val="009234E3"/>
    <w:rsid w:val="009234F0"/>
    <w:rsid w:val="009235D8"/>
    <w:rsid w:val="0092392A"/>
    <w:rsid w:val="00923BDE"/>
    <w:rsid w:val="00923D02"/>
    <w:rsid w:val="00923EBD"/>
    <w:rsid w:val="00924036"/>
    <w:rsid w:val="00924299"/>
    <w:rsid w:val="00924364"/>
    <w:rsid w:val="0092458D"/>
    <w:rsid w:val="00924723"/>
    <w:rsid w:val="00924795"/>
    <w:rsid w:val="00924CB3"/>
    <w:rsid w:val="00925031"/>
    <w:rsid w:val="009250E8"/>
    <w:rsid w:val="00925185"/>
    <w:rsid w:val="00925205"/>
    <w:rsid w:val="0092520B"/>
    <w:rsid w:val="00925216"/>
    <w:rsid w:val="00925710"/>
    <w:rsid w:val="00925F41"/>
    <w:rsid w:val="009263E4"/>
    <w:rsid w:val="00926733"/>
    <w:rsid w:val="00926C10"/>
    <w:rsid w:val="00926F1F"/>
    <w:rsid w:val="0092765B"/>
    <w:rsid w:val="00927B00"/>
    <w:rsid w:val="00927DF0"/>
    <w:rsid w:val="00927F5D"/>
    <w:rsid w:val="00930409"/>
    <w:rsid w:val="0093063C"/>
    <w:rsid w:val="0093082F"/>
    <w:rsid w:val="009308B8"/>
    <w:rsid w:val="00930D0D"/>
    <w:rsid w:val="00931C1B"/>
    <w:rsid w:val="00931EEB"/>
    <w:rsid w:val="00931F25"/>
    <w:rsid w:val="0093233B"/>
    <w:rsid w:val="009324F5"/>
    <w:rsid w:val="0093255A"/>
    <w:rsid w:val="00932653"/>
    <w:rsid w:val="009332DE"/>
    <w:rsid w:val="00933313"/>
    <w:rsid w:val="00933393"/>
    <w:rsid w:val="00933876"/>
    <w:rsid w:val="009339F7"/>
    <w:rsid w:val="00933A6C"/>
    <w:rsid w:val="00933BB9"/>
    <w:rsid w:val="00933DF7"/>
    <w:rsid w:val="0093407E"/>
    <w:rsid w:val="00934533"/>
    <w:rsid w:val="00934798"/>
    <w:rsid w:val="00934D04"/>
    <w:rsid w:val="00934F49"/>
    <w:rsid w:val="00935668"/>
    <w:rsid w:val="009356C5"/>
    <w:rsid w:val="0093571E"/>
    <w:rsid w:val="00935C52"/>
    <w:rsid w:val="00935EF2"/>
    <w:rsid w:val="009360D3"/>
    <w:rsid w:val="00936CF8"/>
    <w:rsid w:val="009371E4"/>
    <w:rsid w:val="00937536"/>
    <w:rsid w:val="00937862"/>
    <w:rsid w:val="00937A00"/>
    <w:rsid w:val="00937B97"/>
    <w:rsid w:val="00937B9E"/>
    <w:rsid w:val="00937C9C"/>
    <w:rsid w:val="00937CC3"/>
    <w:rsid w:val="00937D17"/>
    <w:rsid w:val="0094018B"/>
    <w:rsid w:val="00940423"/>
    <w:rsid w:val="009404BD"/>
    <w:rsid w:val="00940504"/>
    <w:rsid w:val="0094051A"/>
    <w:rsid w:val="00940554"/>
    <w:rsid w:val="009405D5"/>
    <w:rsid w:val="00940931"/>
    <w:rsid w:val="00941066"/>
    <w:rsid w:val="009410B1"/>
    <w:rsid w:val="009413D0"/>
    <w:rsid w:val="00941579"/>
    <w:rsid w:val="009417DB"/>
    <w:rsid w:val="00941CFF"/>
    <w:rsid w:val="00941D17"/>
    <w:rsid w:val="00941D75"/>
    <w:rsid w:val="00942014"/>
    <w:rsid w:val="00942095"/>
    <w:rsid w:val="0094262A"/>
    <w:rsid w:val="009429BD"/>
    <w:rsid w:val="00942B3E"/>
    <w:rsid w:val="00942BAF"/>
    <w:rsid w:val="00942E2B"/>
    <w:rsid w:val="00943B6D"/>
    <w:rsid w:val="00943BB7"/>
    <w:rsid w:val="00943D27"/>
    <w:rsid w:val="00944021"/>
    <w:rsid w:val="009444A9"/>
    <w:rsid w:val="00944A7F"/>
    <w:rsid w:val="00944AB7"/>
    <w:rsid w:val="00944BCF"/>
    <w:rsid w:val="00944C46"/>
    <w:rsid w:val="00944D35"/>
    <w:rsid w:val="00944EF7"/>
    <w:rsid w:val="00945158"/>
    <w:rsid w:val="00945217"/>
    <w:rsid w:val="009457A1"/>
    <w:rsid w:val="00945CB6"/>
    <w:rsid w:val="00945CFD"/>
    <w:rsid w:val="00945D2B"/>
    <w:rsid w:val="00945FD9"/>
    <w:rsid w:val="0094609E"/>
    <w:rsid w:val="0094616B"/>
    <w:rsid w:val="00946564"/>
    <w:rsid w:val="009465F7"/>
    <w:rsid w:val="00946620"/>
    <w:rsid w:val="00946FF5"/>
    <w:rsid w:val="009475C7"/>
    <w:rsid w:val="0094788F"/>
    <w:rsid w:val="00947C5A"/>
    <w:rsid w:val="009500BC"/>
    <w:rsid w:val="009500CB"/>
    <w:rsid w:val="009500ED"/>
    <w:rsid w:val="0095026D"/>
    <w:rsid w:val="00950A25"/>
    <w:rsid w:val="00950BFF"/>
    <w:rsid w:val="00950C12"/>
    <w:rsid w:val="00950E3B"/>
    <w:rsid w:val="00950FD9"/>
    <w:rsid w:val="0095105C"/>
    <w:rsid w:val="00951505"/>
    <w:rsid w:val="009524B3"/>
    <w:rsid w:val="0095251B"/>
    <w:rsid w:val="00952563"/>
    <w:rsid w:val="0095286C"/>
    <w:rsid w:val="0095355E"/>
    <w:rsid w:val="00953A7D"/>
    <w:rsid w:val="00953ADB"/>
    <w:rsid w:val="00953E81"/>
    <w:rsid w:val="00953E89"/>
    <w:rsid w:val="009542B3"/>
    <w:rsid w:val="00955337"/>
    <w:rsid w:val="0095535C"/>
    <w:rsid w:val="009556BA"/>
    <w:rsid w:val="00955A68"/>
    <w:rsid w:val="00955A7E"/>
    <w:rsid w:val="00955BF7"/>
    <w:rsid w:val="00955C16"/>
    <w:rsid w:val="009560F0"/>
    <w:rsid w:val="00956249"/>
    <w:rsid w:val="009563CB"/>
    <w:rsid w:val="009568EB"/>
    <w:rsid w:val="00956B49"/>
    <w:rsid w:val="0095724C"/>
    <w:rsid w:val="009572B5"/>
    <w:rsid w:val="009574F4"/>
    <w:rsid w:val="0095754A"/>
    <w:rsid w:val="00957848"/>
    <w:rsid w:val="009578BD"/>
    <w:rsid w:val="0095795E"/>
    <w:rsid w:val="009579CE"/>
    <w:rsid w:val="00957CDD"/>
    <w:rsid w:val="00957DA9"/>
    <w:rsid w:val="00957DF7"/>
    <w:rsid w:val="00960067"/>
    <w:rsid w:val="0096047F"/>
    <w:rsid w:val="0096083E"/>
    <w:rsid w:val="0096085C"/>
    <w:rsid w:val="009613E4"/>
    <w:rsid w:val="00961DBA"/>
    <w:rsid w:val="009621DB"/>
    <w:rsid w:val="00962358"/>
    <w:rsid w:val="009623F3"/>
    <w:rsid w:val="00962634"/>
    <w:rsid w:val="0096285E"/>
    <w:rsid w:val="00962A59"/>
    <w:rsid w:val="00963016"/>
    <w:rsid w:val="0096318A"/>
    <w:rsid w:val="0096361E"/>
    <w:rsid w:val="0096387F"/>
    <w:rsid w:val="00963983"/>
    <w:rsid w:val="00963A4D"/>
    <w:rsid w:val="00963DA8"/>
    <w:rsid w:val="00963F85"/>
    <w:rsid w:val="00964027"/>
    <w:rsid w:val="009644C2"/>
    <w:rsid w:val="00964599"/>
    <w:rsid w:val="00964B8F"/>
    <w:rsid w:val="009652D7"/>
    <w:rsid w:val="0096535B"/>
    <w:rsid w:val="00965AA6"/>
    <w:rsid w:val="00965ABA"/>
    <w:rsid w:val="00965B5C"/>
    <w:rsid w:val="00965D81"/>
    <w:rsid w:val="00965FDA"/>
    <w:rsid w:val="0096622F"/>
    <w:rsid w:val="00966655"/>
    <w:rsid w:val="00966872"/>
    <w:rsid w:val="00966A90"/>
    <w:rsid w:val="00966B51"/>
    <w:rsid w:val="00966CA9"/>
    <w:rsid w:val="00966DA2"/>
    <w:rsid w:val="00966EB9"/>
    <w:rsid w:val="00966F47"/>
    <w:rsid w:val="00967615"/>
    <w:rsid w:val="00967A82"/>
    <w:rsid w:val="00967C54"/>
    <w:rsid w:val="00967DD7"/>
    <w:rsid w:val="00967F32"/>
    <w:rsid w:val="0097062C"/>
    <w:rsid w:val="009706A2"/>
    <w:rsid w:val="009709FC"/>
    <w:rsid w:val="00970A80"/>
    <w:rsid w:val="00970FA5"/>
    <w:rsid w:val="00971106"/>
    <w:rsid w:val="0097138F"/>
    <w:rsid w:val="00971D3C"/>
    <w:rsid w:val="00971E5B"/>
    <w:rsid w:val="00971F05"/>
    <w:rsid w:val="00972743"/>
    <w:rsid w:val="00972800"/>
    <w:rsid w:val="00972813"/>
    <w:rsid w:val="00972EDD"/>
    <w:rsid w:val="0097317A"/>
    <w:rsid w:val="00973244"/>
    <w:rsid w:val="009735F4"/>
    <w:rsid w:val="00973871"/>
    <w:rsid w:val="0097393F"/>
    <w:rsid w:val="0097396E"/>
    <w:rsid w:val="00973D70"/>
    <w:rsid w:val="00973E3A"/>
    <w:rsid w:val="00974006"/>
    <w:rsid w:val="0097409C"/>
    <w:rsid w:val="009742A0"/>
    <w:rsid w:val="009742AA"/>
    <w:rsid w:val="009744A0"/>
    <w:rsid w:val="0097450D"/>
    <w:rsid w:val="0097451D"/>
    <w:rsid w:val="0097465E"/>
    <w:rsid w:val="00974D29"/>
    <w:rsid w:val="00974EA1"/>
    <w:rsid w:val="00974F09"/>
    <w:rsid w:val="00975134"/>
    <w:rsid w:val="009752EF"/>
    <w:rsid w:val="00975549"/>
    <w:rsid w:val="00975645"/>
    <w:rsid w:val="009758E2"/>
    <w:rsid w:val="00975CA0"/>
    <w:rsid w:val="00975F64"/>
    <w:rsid w:val="00975F89"/>
    <w:rsid w:val="009760CB"/>
    <w:rsid w:val="009760EC"/>
    <w:rsid w:val="0097648D"/>
    <w:rsid w:val="009766CD"/>
    <w:rsid w:val="00976780"/>
    <w:rsid w:val="00976B0B"/>
    <w:rsid w:val="0097702E"/>
    <w:rsid w:val="0097733F"/>
    <w:rsid w:val="00977494"/>
    <w:rsid w:val="009776F7"/>
    <w:rsid w:val="0097771D"/>
    <w:rsid w:val="0097788A"/>
    <w:rsid w:val="009778DA"/>
    <w:rsid w:val="00977BB3"/>
    <w:rsid w:val="00977CEB"/>
    <w:rsid w:val="00980018"/>
    <w:rsid w:val="009800D3"/>
    <w:rsid w:val="009805D0"/>
    <w:rsid w:val="00980972"/>
    <w:rsid w:val="00980C0E"/>
    <w:rsid w:val="00980DD7"/>
    <w:rsid w:val="009810ED"/>
    <w:rsid w:val="009818D9"/>
    <w:rsid w:val="00981A58"/>
    <w:rsid w:val="00981A83"/>
    <w:rsid w:val="009822D8"/>
    <w:rsid w:val="00982563"/>
    <w:rsid w:val="009825F4"/>
    <w:rsid w:val="00982A5C"/>
    <w:rsid w:val="00982BD8"/>
    <w:rsid w:val="00982F1B"/>
    <w:rsid w:val="00983096"/>
    <w:rsid w:val="00983739"/>
    <w:rsid w:val="00983D06"/>
    <w:rsid w:val="0098435D"/>
    <w:rsid w:val="009843EC"/>
    <w:rsid w:val="0098460B"/>
    <w:rsid w:val="0098498A"/>
    <w:rsid w:val="00984B8C"/>
    <w:rsid w:val="00985622"/>
    <w:rsid w:val="00985B47"/>
    <w:rsid w:val="0098600C"/>
    <w:rsid w:val="009862E6"/>
    <w:rsid w:val="0098634D"/>
    <w:rsid w:val="009863B6"/>
    <w:rsid w:val="009864D3"/>
    <w:rsid w:val="00986B0A"/>
    <w:rsid w:val="00986F2F"/>
    <w:rsid w:val="00986FCE"/>
    <w:rsid w:val="00987206"/>
    <w:rsid w:val="00987999"/>
    <w:rsid w:val="00987D87"/>
    <w:rsid w:val="00987DBD"/>
    <w:rsid w:val="00987FBF"/>
    <w:rsid w:val="00990662"/>
    <w:rsid w:val="00990816"/>
    <w:rsid w:val="00990857"/>
    <w:rsid w:val="00990DC0"/>
    <w:rsid w:val="00990E25"/>
    <w:rsid w:val="00990E45"/>
    <w:rsid w:val="00990EEF"/>
    <w:rsid w:val="00991179"/>
    <w:rsid w:val="009912E6"/>
    <w:rsid w:val="009919FB"/>
    <w:rsid w:val="00991E21"/>
    <w:rsid w:val="00992052"/>
    <w:rsid w:val="009920CF"/>
    <w:rsid w:val="00993268"/>
    <w:rsid w:val="00993CFE"/>
    <w:rsid w:val="00993D26"/>
    <w:rsid w:val="00993DC6"/>
    <w:rsid w:val="00993FB0"/>
    <w:rsid w:val="00994029"/>
    <w:rsid w:val="0099465A"/>
    <w:rsid w:val="0099479B"/>
    <w:rsid w:val="009948B2"/>
    <w:rsid w:val="00994A9C"/>
    <w:rsid w:val="0099539C"/>
    <w:rsid w:val="00995456"/>
    <w:rsid w:val="0099573D"/>
    <w:rsid w:val="0099597B"/>
    <w:rsid w:val="00995A96"/>
    <w:rsid w:val="00995AA8"/>
    <w:rsid w:val="0099664A"/>
    <w:rsid w:val="00996AB7"/>
    <w:rsid w:val="009970F8"/>
    <w:rsid w:val="00997260"/>
    <w:rsid w:val="009975FA"/>
    <w:rsid w:val="0099795F"/>
    <w:rsid w:val="0099798F"/>
    <w:rsid w:val="00997F3F"/>
    <w:rsid w:val="009A0494"/>
    <w:rsid w:val="009A0B38"/>
    <w:rsid w:val="009A0E16"/>
    <w:rsid w:val="009A0E17"/>
    <w:rsid w:val="009A0F6D"/>
    <w:rsid w:val="009A0FE1"/>
    <w:rsid w:val="009A12AA"/>
    <w:rsid w:val="009A15B5"/>
    <w:rsid w:val="009A1AC4"/>
    <w:rsid w:val="009A1B49"/>
    <w:rsid w:val="009A1F86"/>
    <w:rsid w:val="009A1F92"/>
    <w:rsid w:val="009A2073"/>
    <w:rsid w:val="009A2448"/>
    <w:rsid w:val="009A26A4"/>
    <w:rsid w:val="009A2D75"/>
    <w:rsid w:val="009A2ED3"/>
    <w:rsid w:val="009A2FF8"/>
    <w:rsid w:val="009A31FF"/>
    <w:rsid w:val="009A364E"/>
    <w:rsid w:val="009A37E7"/>
    <w:rsid w:val="009A3B85"/>
    <w:rsid w:val="009A3E7F"/>
    <w:rsid w:val="009A4243"/>
    <w:rsid w:val="009A4310"/>
    <w:rsid w:val="009A4A5B"/>
    <w:rsid w:val="009A4B0A"/>
    <w:rsid w:val="009A4D59"/>
    <w:rsid w:val="009A50D8"/>
    <w:rsid w:val="009A5969"/>
    <w:rsid w:val="009A5F6B"/>
    <w:rsid w:val="009A60AC"/>
    <w:rsid w:val="009A6233"/>
    <w:rsid w:val="009A625E"/>
    <w:rsid w:val="009A68D9"/>
    <w:rsid w:val="009A6CDD"/>
    <w:rsid w:val="009A6F4B"/>
    <w:rsid w:val="009A745C"/>
    <w:rsid w:val="009A7B21"/>
    <w:rsid w:val="009B0730"/>
    <w:rsid w:val="009B0F28"/>
    <w:rsid w:val="009B1123"/>
    <w:rsid w:val="009B132C"/>
    <w:rsid w:val="009B14DF"/>
    <w:rsid w:val="009B17CD"/>
    <w:rsid w:val="009B1D42"/>
    <w:rsid w:val="009B1D57"/>
    <w:rsid w:val="009B216A"/>
    <w:rsid w:val="009B2269"/>
    <w:rsid w:val="009B28EC"/>
    <w:rsid w:val="009B2B61"/>
    <w:rsid w:val="009B3010"/>
    <w:rsid w:val="009B352C"/>
    <w:rsid w:val="009B3837"/>
    <w:rsid w:val="009B38F0"/>
    <w:rsid w:val="009B3ABC"/>
    <w:rsid w:val="009B3D23"/>
    <w:rsid w:val="009B3D3C"/>
    <w:rsid w:val="009B40B8"/>
    <w:rsid w:val="009B4333"/>
    <w:rsid w:val="009B438D"/>
    <w:rsid w:val="009B44EA"/>
    <w:rsid w:val="009B4822"/>
    <w:rsid w:val="009B51FC"/>
    <w:rsid w:val="009B526B"/>
    <w:rsid w:val="009B5349"/>
    <w:rsid w:val="009B57E3"/>
    <w:rsid w:val="009B5951"/>
    <w:rsid w:val="009B6657"/>
    <w:rsid w:val="009B70FB"/>
    <w:rsid w:val="009B71A3"/>
    <w:rsid w:val="009B77EF"/>
    <w:rsid w:val="009B7864"/>
    <w:rsid w:val="009B7A16"/>
    <w:rsid w:val="009B7E7A"/>
    <w:rsid w:val="009C019C"/>
    <w:rsid w:val="009C0444"/>
    <w:rsid w:val="009C0551"/>
    <w:rsid w:val="009C08AA"/>
    <w:rsid w:val="009C0B4D"/>
    <w:rsid w:val="009C18E0"/>
    <w:rsid w:val="009C1B2F"/>
    <w:rsid w:val="009C1D73"/>
    <w:rsid w:val="009C1DDD"/>
    <w:rsid w:val="009C2476"/>
    <w:rsid w:val="009C2499"/>
    <w:rsid w:val="009C27C1"/>
    <w:rsid w:val="009C282F"/>
    <w:rsid w:val="009C2A32"/>
    <w:rsid w:val="009C32CD"/>
    <w:rsid w:val="009C3C23"/>
    <w:rsid w:val="009C3C5A"/>
    <w:rsid w:val="009C417F"/>
    <w:rsid w:val="009C4572"/>
    <w:rsid w:val="009C46AA"/>
    <w:rsid w:val="009C4800"/>
    <w:rsid w:val="009C4A51"/>
    <w:rsid w:val="009C4B02"/>
    <w:rsid w:val="009C5085"/>
    <w:rsid w:val="009C581C"/>
    <w:rsid w:val="009C5840"/>
    <w:rsid w:val="009C5B2C"/>
    <w:rsid w:val="009C5E2F"/>
    <w:rsid w:val="009C6512"/>
    <w:rsid w:val="009C6864"/>
    <w:rsid w:val="009C712A"/>
    <w:rsid w:val="009C76C8"/>
    <w:rsid w:val="009C795C"/>
    <w:rsid w:val="009C7CBB"/>
    <w:rsid w:val="009C7E5F"/>
    <w:rsid w:val="009C7EB7"/>
    <w:rsid w:val="009D055A"/>
    <w:rsid w:val="009D0A50"/>
    <w:rsid w:val="009D0CCF"/>
    <w:rsid w:val="009D0E1E"/>
    <w:rsid w:val="009D16C8"/>
    <w:rsid w:val="009D1C86"/>
    <w:rsid w:val="009D1E66"/>
    <w:rsid w:val="009D21DB"/>
    <w:rsid w:val="009D225A"/>
    <w:rsid w:val="009D2393"/>
    <w:rsid w:val="009D2B40"/>
    <w:rsid w:val="009D2E49"/>
    <w:rsid w:val="009D2EC0"/>
    <w:rsid w:val="009D2EF6"/>
    <w:rsid w:val="009D319C"/>
    <w:rsid w:val="009D3582"/>
    <w:rsid w:val="009D384B"/>
    <w:rsid w:val="009D3A6A"/>
    <w:rsid w:val="009D3CEB"/>
    <w:rsid w:val="009D4623"/>
    <w:rsid w:val="009D495D"/>
    <w:rsid w:val="009D496E"/>
    <w:rsid w:val="009D4B4E"/>
    <w:rsid w:val="009D4D7E"/>
    <w:rsid w:val="009D511F"/>
    <w:rsid w:val="009D5166"/>
    <w:rsid w:val="009D52E4"/>
    <w:rsid w:val="009D55AB"/>
    <w:rsid w:val="009D5C6B"/>
    <w:rsid w:val="009D6097"/>
    <w:rsid w:val="009D663C"/>
    <w:rsid w:val="009D6E87"/>
    <w:rsid w:val="009D70C9"/>
    <w:rsid w:val="009D7114"/>
    <w:rsid w:val="009D7470"/>
    <w:rsid w:val="009D79F0"/>
    <w:rsid w:val="009D7EF8"/>
    <w:rsid w:val="009E0287"/>
    <w:rsid w:val="009E0486"/>
    <w:rsid w:val="009E05A1"/>
    <w:rsid w:val="009E118E"/>
    <w:rsid w:val="009E132A"/>
    <w:rsid w:val="009E158E"/>
    <w:rsid w:val="009E17C4"/>
    <w:rsid w:val="009E17FC"/>
    <w:rsid w:val="009E1A95"/>
    <w:rsid w:val="009E1B24"/>
    <w:rsid w:val="009E1F1B"/>
    <w:rsid w:val="009E21D0"/>
    <w:rsid w:val="009E227E"/>
    <w:rsid w:val="009E32C9"/>
    <w:rsid w:val="009E38B7"/>
    <w:rsid w:val="009E3908"/>
    <w:rsid w:val="009E3A25"/>
    <w:rsid w:val="009E3E11"/>
    <w:rsid w:val="009E3E63"/>
    <w:rsid w:val="009E42D6"/>
    <w:rsid w:val="009E4B9D"/>
    <w:rsid w:val="009E4BBE"/>
    <w:rsid w:val="009E4CCE"/>
    <w:rsid w:val="009E4D08"/>
    <w:rsid w:val="009E4D59"/>
    <w:rsid w:val="009E4E57"/>
    <w:rsid w:val="009E50D0"/>
    <w:rsid w:val="009E558E"/>
    <w:rsid w:val="009E5DAF"/>
    <w:rsid w:val="009E5DB6"/>
    <w:rsid w:val="009E5E4D"/>
    <w:rsid w:val="009E5F0D"/>
    <w:rsid w:val="009E6103"/>
    <w:rsid w:val="009E6E4F"/>
    <w:rsid w:val="009E6F7F"/>
    <w:rsid w:val="009E7021"/>
    <w:rsid w:val="009E7461"/>
    <w:rsid w:val="009E746A"/>
    <w:rsid w:val="009E7723"/>
    <w:rsid w:val="009E7754"/>
    <w:rsid w:val="009E7BDB"/>
    <w:rsid w:val="009E7D11"/>
    <w:rsid w:val="009E7D7A"/>
    <w:rsid w:val="009F01CD"/>
    <w:rsid w:val="009F0236"/>
    <w:rsid w:val="009F0525"/>
    <w:rsid w:val="009F07C9"/>
    <w:rsid w:val="009F08D2"/>
    <w:rsid w:val="009F0B05"/>
    <w:rsid w:val="009F0F00"/>
    <w:rsid w:val="009F14FE"/>
    <w:rsid w:val="009F159E"/>
    <w:rsid w:val="009F16E2"/>
    <w:rsid w:val="009F2565"/>
    <w:rsid w:val="009F2A16"/>
    <w:rsid w:val="009F2A46"/>
    <w:rsid w:val="009F2BB8"/>
    <w:rsid w:val="009F2CE7"/>
    <w:rsid w:val="009F2F55"/>
    <w:rsid w:val="009F3060"/>
    <w:rsid w:val="009F342E"/>
    <w:rsid w:val="009F362D"/>
    <w:rsid w:val="009F3E5E"/>
    <w:rsid w:val="009F4238"/>
    <w:rsid w:val="009F4736"/>
    <w:rsid w:val="009F48B2"/>
    <w:rsid w:val="009F4C16"/>
    <w:rsid w:val="009F52A4"/>
    <w:rsid w:val="009F5F22"/>
    <w:rsid w:val="009F5FF6"/>
    <w:rsid w:val="009F620F"/>
    <w:rsid w:val="009F69D0"/>
    <w:rsid w:val="009F6CDB"/>
    <w:rsid w:val="009F6CFA"/>
    <w:rsid w:val="009F6E7D"/>
    <w:rsid w:val="009F714F"/>
    <w:rsid w:val="009F76AF"/>
    <w:rsid w:val="009F7C46"/>
    <w:rsid w:val="009F7E94"/>
    <w:rsid w:val="009F7F4C"/>
    <w:rsid w:val="00A000A7"/>
    <w:rsid w:val="00A00B71"/>
    <w:rsid w:val="00A00BB1"/>
    <w:rsid w:val="00A010FB"/>
    <w:rsid w:val="00A0117A"/>
    <w:rsid w:val="00A01658"/>
    <w:rsid w:val="00A01C54"/>
    <w:rsid w:val="00A025B0"/>
    <w:rsid w:val="00A025BA"/>
    <w:rsid w:val="00A027A7"/>
    <w:rsid w:val="00A0295B"/>
    <w:rsid w:val="00A02DC6"/>
    <w:rsid w:val="00A02E8B"/>
    <w:rsid w:val="00A03125"/>
    <w:rsid w:val="00A034A8"/>
    <w:rsid w:val="00A03681"/>
    <w:rsid w:val="00A03A96"/>
    <w:rsid w:val="00A03CD2"/>
    <w:rsid w:val="00A03D23"/>
    <w:rsid w:val="00A04207"/>
    <w:rsid w:val="00A04231"/>
    <w:rsid w:val="00A0433D"/>
    <w:rsid w:val="00A04567"/>
    <w:rsid w:val="00A045C7"/>
    <w:rsid w:val="00A047CA"/>
    <w:rsid w:val="00A04966"/>
    <w:rsid w:val="00A04B36"/>
    <w:rsid w:val="00A04D2B"/>
    <w:rsid w:val="00A04D7D"/>
    <w:rsid w:val="00A04DE4"/>
    <w:rsid w:val="00A05823"/>
    <w:rsid w:val="00A058EC"/>
    <w:rsid w:val="00A05DC3"/>
    <w:rsid w:val="00A06081"/>
    <w:rsid w:val="00A06194"/>
    <w:rsid w:val="00A061B9"/>
    <w:rsid w:val="00A0692F"/>
    <w:rsid w:val="00A070E5"/>
    <w:rsid w:val="00A071A6"/>
    <w:rsid w:val="00A07415"/>
    <w:rsid w:val="00A07CB5"/>
    <w:rsid w:val="00A07E7B"/>
    <w:rsid w:val="00A105EA"/>
    <w:rsid w:val="00A10E2C"/>
    <w:rsid w:val="00A10EF9"/>
    <w:rsid w:val="00A11391"/>
    <w:rsid w:val="00A117DA"/>
    <w:rsid w:val="00A11C25"/>
    <w:rsid w:val="00A11C3E"/>
    <w:rsid w:val="00A11C5F"/>
    <w:rsid w:val="00A11CBA"/>
    <w:rsid w:val="00A12034"/>
    <w:rsid w:val="00A12619"/>
    <w:rsid w:val="00A1267C"/>
    <w:rsid w:val="00A12795"/>
    <w:rsid w:val="00A127EE"/>
    <w:rsid w:val="00A12807"/>
    <w:rsid w:val="00A12EB8"/>
    <w:rsid w:val="00A12F9E"/>
    <w:rsid w:val="00A134CE"/>
    <w:rsid w:val="00A13600"/>
    <w:rsid w:val="00A13757"/>
    <w:rsid w:val="00A13A96"/>
    <w:rsid w:val="00A13B02"/>
    <w:rsid w:val="00A13E78"/>
    <w:rsid w:val="00A13EB7"/>
    <w:rsid w:val="00A13F62"/>
    <w:rsid w:val="00A13FA1"/>
    <w:rsid w:val="00A14057"/>
    <w:rsid w:val="00A14059"/>
    <w:rsid w:val="00A14150"/>
    <w:rsid w:val="00A14632"/>
    <w:rsid w:val="00A14890"/>
    <w:rsid w:val="00A14F84"/>
    <w:rsid w:val="00A14FB8"/>
    <w:rsid w:val="00A14FE8"/>
    <w:rsid w:val="00A152C9"/>
    <w:rsid w:val="00A157D9"/>
    <w:rsid w:val="00A170A3"/>
    <w:rsid w:val="00A17283"/>
    <w:rsid w:val="00A17A87"/>
    <w:rsid w:val="00A17B3A"/>
    <w:rsid w:val="00A17F0E"/>
    <w:rsid w:val="00A204D9"/>
    <w:rsid w:val="00A2057A"/>
    <w:rsid w:val="00A20804"/>
    <w:rsid w:val="00A20F94"/>
    <w:rsid w:val="00A2104A"/>
    <w:rsid w:val="00A21091"/>
    <w:rsid w:val="00A215BA"/>
    <w:rsid w:val="00A21717"/>
    <w:rsid w:val="00A21950"/>
    <w:rsid w:val="00A219FD"/>
    <w:rsid w:val="00A21EA6"/>
    <w:rsid w:val="00A22184"/>
    <w:rsid w:val="00A2254A"/>
    <w:rsid w:val="00A225DD"/>
    <w:rsid w:val="00A227CF"/>
    <w:rsid w:val="00A2289A"/>
    <w:rsid w:val="00A229A0"/>
    <w:rsid w:val="00A22C03"/>
    <w:rsid w:val="00A22EBF"/>
    <w:rsid w:val="00A22F1A"/>
    <w:rsid w:val="00A2328E"/>
    <w:rsid w:val="00A234B2"/>
    <w:rsid w:val="00A23685"/>
    <w:rsid w:val="00A23728"/>
    <w:rsid w:val="00A2398C"/>
    <w:rsid w:val="00A23A22"/>
    <w:rsid w:val="00A23BD0"/>
    <w:rsid w:val="00A23C58"/>
    <w:rsid w:val="00A23C9B"/>
    <w:rsid w:val="00A23E54"/>
    <w:rsid w:val="00A243A5"/>
    <w:rsid w:val="00A246C8"/>
    <w:rsid w:val="00A247C3"/>
    <w:rsid w:val="00A24A90"/>
    <w:rsid w:val="00A24D67"/>
    <w:rsid w:val="00A2571B"/>
    <w:rsid w:val="00A25745"/>
    <w:rsid w:val="00A25754"/>
    <w:rsid w:val="00A258FC"/>
    <w:rsid w:val="00A25E54"/>
    <w:rsid w:val="00A25EE1"/>
    <w:rsid w:val="00A26154"/>
    <w:rsid w:val="00A261E8"/>
    <w:rsid w:val="00A265D9"/>
    <w:rsid w:val="00A2686D"/>
    <w:rsid w:val="00A2697E"/>
    <w:rsid w:val="00A269DB"/>
    <w:rsid w:val="00A269EA"/>
    <w:rsid w:val="00A26ADF"/>
    <w:rsid w:val="00A26E8C"/>
    <w:rsid w:val="00A27110"/>
    <w:rsid w:val="00A2759F"/>
    <w:rsid w:val="00A275A6"/>
    <w:rsid w:val="00A3068F"/>
    <w:rsid w:val="00A30D63"/>
    <w:rsid w:val="00A30DE9"/>
    <w:rsid w:val="00A30E47"/>
    <w:rsid w:val="00A31347"/>
    <w:rsid w:val="00A314E1"/>
    <w:rsid w:val="00A3176B"/>
    <w:rsid w:val="00A31778"/>
    <w:rsid w:val="00A31A8F"/>
    <w:rsid w:val="00A31BC9"/>
    <w:rsid w:val="00A320CA"/>
    <w:rsid w:val="00A32145"/>
    <w:rsid w:val="00A322BC"/>
    <w:rsid w:val="00A327DC"/>
    <w:rsid w:val="00A3295F"/>
    <w:rsid w:val="00A32DBA"/>
    <w:rsid w:val="00A33043"/>
    <w:rsid w:val="00A3316B"/>
    <w:rsid w:val="00A331D1"/>
    <w:rsid w:val="00A3341B"/>
    <w:rsid w:val="00A33442"/>
    <w:rsid w:val="00A33508"/>
    <w:rsid w:val="00A33574"/>
    <w:rsid w:val="00A335BD"/>
    <w:rsid w:val="00A33AF0"/>
    <w:rsid w:val="00A343C0"/>
    <w:rsid w:val="00A3470F"/>
    <w:rsid w:val="00A34832"/>
    <w:rsid w:val="00A34FD3"/>
    <w:rsid w:val="00A356EE"/>
    <w:rsid w:val="00A35903"/>
    <w:rsid w:val="00A35942"/>
    <w:rsid w:val="00A3610B"/>
    <w:rsid w:val="00A363BB"/>
    <w:rsid w:val="00A36499"/>
    <w:rsid w:val="00A36543"/>
    <w:rsid w:val="00A3662E"/>
    <w:rsid w:val="00A36747"/>
    <w:rsid w:val="00A370EC"/>
    <w:rsid w:val="00A376DE"/>
    <w:rsid w:val="00A3777B"/>
    <w:rsid w:val="00A37E4D"/>
    <w:rsid w:val="00A37E66"/>
    <w:rsid w:val="00A4004B"/>
    <w:rsid w:val="00A400D1"/>
    <w:rsid w:val="00A40495"/>
    <w:rsid w:val="00A404B5"/>
    <w:rsid w:val="00A40616"/>
    <w:rsid w:val="00A407F0"/>
    <w:rsid w:val="00A40AAA"/>
    <w:rsid w:val="00A40B4F"/>
    <w:rsid w:val="00A40C79"/>
    <w:rsid w:val="00A415C4"/>
    <w:rsid w:val="00A41642"/>
    <w:rsid w:val="00A41699"/>
    <w:rsid w:val="00A4199A"/>
    <w:rsid w:val="00A41C6A"/>
    <w:rsid w:val="00A421F3"/>
    <w:rsid w:val="00A42348"/>
    <w:rsid w:val="00A423E6"/>
    <w:rsid w:val="00A42538"/>
    <w:rsid w:val="00A427BA"/>
    <w:rsid w:val="00A429A7"/>
    <w:rsid w:val="00A42C05"/>
    <w:rsid w:val="00A42EB2"/>
    <w:rsid w:val="00A42FCE"/>
    <w:rsid w:val="00A43040"/>
    <w:rsid w:val="00A43041"/>
    <w:rsid w:val="00A4329C"/>
    <w:rsid w:val="00A435A7"/>
    <w:rsid w:val="00A4430F"/>
    <w:rsid w:val="00A44316"/>
    <w:rsid w:val="00A445BF"/>
    <w:rsid w:val="00A44743"/>
    <w:rsid w:val="00A448A2"/>
    <w:rsid w:val="00A44E78"/>
    <w:rsid w:val="00A44EB4"/>
    <w:rsid w:val="00A4522B"/>
    <w:rsid w:val="00A45307"/>
    <w:rsid w:val="00A45C0F"/>
    <w:rsid w:val="00A46647"/>
    <w:rsid w:val="00A46E0A"/>
    <w:rsid w:val="00A47041"/>
    <w:rsid w:val="00A474A7"/>
    <w:rsid w:val="00A478FA"/>
    <w:rsid w:val="00A479FD"/>
    <w:rsid w:val="00A47ABE"/>
    <w:rsid w:val="00A47C86"/>
    <w:rsid w:val="00A5023A"/>
    <w:rsid w:val="00A507EA"/>
    <w:rsid w:val="00A50AC6"/>
    <w:rsid w:val="00A5173C"/>
    <w:rsid w:val="00A51785"/>
    <w:rsid w:val="00A51A33"/>
    <w:rsid w:val="00A52328"/>
    <w:rsid w:val="00A5248F"/>
    <w:rsid w:val="00A52551"/>
    <w:rsid w:val="00A5269C"/>
    <w:rsid w:val="00A526B1"/>
    <w:rsid w:val="00A52702"/>
    <w:rsid w:val="00A52A2F"/>
    <w:rsid w:val="00A52ECF"/>
    <w:rsid w:val="00A533A8"/>
    <w:rsid w:val="00A53D8A"/>
    <w:rsid w:val="00A54085"/>
    <w:rsid w:val="00A543FF"/>
    <w:rsid w:val="00A5458C"/>
    <w:rsid w:val="00A54A17"/>
    <w:rsid w:val="00A54A26"/>
    <w:rsid w:val="00A54DAF"/>
    <w:rsid w:val="00A54F5B"/>
    <w:rsid w:val="00A5611E"/>
    <w:rsid w:val="00A56310"/>
    <w:rsid w:val="00A563AA"/>
    <w:rsid w:val="00A56A70"/>
    <w:rsid w:val="00A56B89"/>
    <w:rsid w:val="00A56E81"/>
    <w:rsid w:val="00A57066"/>
    <w:rsid w:val="00A5722B"/>
    <w:rsid w:val="00A575E6"/>
    <w:rsid w:val="00A5791E"/>
    <w:rsid w:val="00A57AE3"/>
    <w:rsid w:val="00A57BA5"/>
    <w:rsid w:val="00A57CF5"/>
    <w:rsid w:val="00A60408"/>
    <w:rsid w:val="00A60C7F"/>
    <w:rsid w:val="00A60D82"/>
    <w:rsid w:val="00A60E36"/>
    <w:rsid w:val="00A60E60"/>
    <w:rsid w:val="00A610FF"/>
    <w:rsid w:val="00A612D7"/>
    <w:rsid w:val="00A61385"/>
    <w:rsid w:val="00A61B5F"/>
    <w:rsid w:val="00A61CE0"/>
    <w:rsid w:val="00A61ED5"/>
    <w:rsid w:val="00A61EDC"/>
    <w:rsid w:val="00A61F45"/>
    <w:rsid w:val="00A62304"/>
    <w:rsid w:val="00A62429"/>
    <w:rsid w:val="00A62999"/>
    <w:rsid w:val="00A62A2A"/>
    <w:rsid w:val="00A62BC1"/>
    <w:rsid w:val="00A62D39"/>
    <w:rsid w:val="00A62EFB"/>
    <w:rsid w:val="00A63236"/>
    <w:rsid w:val="00A636D3"/>
    <w:rsid w:val="00A63779"/>
    <w:rsid w:val="00A637C8"/>
    <w:rsid w:val="00A63B11"/>
    <w:rsid w:val="00A63E0E"/>
    <w:rsid w:val="00A63E6D"/>
    <w:rsid w:val="00A63EBA"/>
    <w:rsid w:val="00A6431A"/>
    <w:rsid w:val="00A6464E"/>
    <w:rsid w:val="00A64C68"/>
    <w:rsid w:val="00A64D11"/>
    <w:rsid w:val="00A6513D"/>
    <w:rsid w:val="00A65824"/>
    <w:rsid w:val="00A65B2A"/>
    <w:rsid w:val="00A65E05"/>
    <w:rsid w:val="00A66304"/>
    <w:rsid w:val="00A6647A"/>
    <w:rsid w:val="00A665DD"/>
    <w:rsid w:val="00A666A8"/>
    <w:rsid w:val="00A6698C"/>
    <w:rsid w:val="00A66DC1"/>
    <w:rsid w:val="00A66E39"/>
    <w:rsid w:val="00A66F22"/>
    <w:rsid w:val="00A67128"/>
    <w:rsid w:val="00A67244"/>
    <w:rsid w:val="00A67414"/>
    <w:rsid w:val="00A674DC"/>
    <w:rsid w:val="00A676A0"/>
    <w:rsid w:val="00A6771A"/>
    <w:rsid w:val="00A67AC1"/>
    <w:rsid w:val="00A70120"/>
    <w:rsid w:val="00A70884"/>
    <w:rsid w:val="00A7089C"/>
    <w:rsid w:val="00A70A66"/>
    <w:rsid w:val="00A70ACE"/>
    <w:rsid w:val="00A70B1C"/>
    <w:rsid w:val="00A70D0D"/>
    <w:rsid w:val="00A70DA1"/>
    <w:rsid w:val="00A71011"/>
    <w:rsid w:val="00A710D4"/>
    <w:rsid w:val="00A710DD"/>
    <w:rsid w:val="00A7166C"/>
    <w:rsid w:val="00A716D9"/>
    <w:rsid w:val="00A71AC2"/>
    <w:rsid w:val="00A71B60"/>
    <w:rsid w:val="00A71B7B"/>
    <w:rsid w:val="00A71C54"/>
    <w:rsid w:val="00A71D14"/>
    <w:rsid w:val="00A72858"/>
    <w:rsid w:val="00A72D85"/>
    <w:rsid w:val="00A730A1"/>
    <w:rsid w:val="00A73B3C"/>
    <w:rsid w:val="00A73B92"/>
    <w:rsid w:val="00A73D07"/>
    <w:rsid w:val="00A73D4C"/>
    <w:rsid w:val="00A7407A"/>
    <w:rsid w:val="00A74704"/>
    <w:rsid w:val="00A74D3C"/>
    <w:rsid w:val="00A751C8"/>
    <w:rsid w:val="00A757B8"/>
    <w:rsid w:val="00A75890"/>
    <w:rsid w:val="00A75978"/>
    <w:rsid w:val="00A75BF6"/>
    <w:rsid w:val="00A75C97"/>
    <w:rsid w:val="00A75D66"/>
    <w:rsid w:val="00A75E56"/>
    <w:rsid w:val="00A76855"/>
    <w:rsid w:val="00A76A1E"/>
    <w:rsid w:val="00A76C79"/>
    <w:rsid w:val="00A76CB0"/>
    <w:rsid w:val="00A77623"/>
    <w:rsid w:val="00A7785D"/>
    <w:rsid w:val="00A77CC0"/>
    <w:rsid w:val="00A77DBB"/>
    <w:rsid w:val="00A77E25"/>
    <w:rsid w:val="00A77F44"/>
    <w:rsid w:val="00A80A02"/>
    <w:rsid w:val="00A80FD3"/>
    <w:rsid w:val="00A81021"/>
    <w:rsid w:val="00A81446"/>
    <w:rsid w:val="00A815D6"/>
    <w:rsid w:val="00A81817"/>
    <w:rsid w:val="00A81940"/>
    <w:rsid w:val="00A81D18"/>
    <w:rsid w:val="00A81D63"/>
    <w:rsid w:val="00A81E6A"/>
    <w:rsid w:val="00A82018"/>
    <w:rsid w:val="00A820F9"/>
    <w:rsid w:val="00A8229F"/>
    <w:rsid w:val="00A824EC"/>
    <w:rsid w:val="00A8252B"/>
    <w:rsid w:val="00A825A5"/>
    <w:rsid w:val="00A826C6"/>
    <w:rsid w:val="00A82963"/>
    <w:rsid w:val="00A829B2"/>
    <w:rsid w:val="00A829C7"/>
    <w:rsid w:val="00A82C9A"/>
    <w:rsid w:val="00A82D42"/>
    <w:rsid w:val="00A82DE5"/>
    <w:rsid w:val="00A83421"/>
    <w:rsid w:val="00A836DB"/>
    <w:rsid w:val="00A83977"/>
    <w:rsid w:val="00A83A15"/>
    <w:rsid w:val="00A83BB3"/>
    <w:rsid w:val="00A83DAF"/>
    <w:rsid w:val="00A8448B"/>
    <w:rsid w:val="00A84A47"/>
    <w:rsid w:val="00A84BB4"/>
    <w:rsid w:val="00A84D83"/>
    <w:rsid w:val="00A84DD6"/>
    <w:rsid w:val="00A8511F"/>
    <w:rsid w:val="00A85209"/>
    <w:rsid w:val="00A85910"/>
    <w:rsid w:val="00A8593C"/>
    <w:rsid w:val="00A85C68"/>
    <w:rsid w:val="00A86572"/>
    <w:rsid w:val="00A86D9E"/>
    <w:rsid w:val="00A86E1E"/>
    <w:rsid w:val="00A86F09"/>
    <w:rsid w:val="00A872FC"/>
    <w:rsid w:val="00A87454"/>
    <w:rsid w:val="00A8757B"/>
    <w:rsid w:val="00A8760E"/>
    <w:rsid w:val="00A8786C"/>
    <w:rsid w:val="00A901DB"/>
    <w:rsid w:val="00A90265"/>
    <w:rsid w:val="00A90477"/>
    <w:rsid w:val="00A904D0"/>
    <w:rsid w:val="00A905BD"/>
    <w:rsid w:val="00A90830"/>
    <w:rsid w:val="00A908AC"/>
    <w:rsid w:val="00A90B21"/>
    <w:rsid w:val="00A90D4F"/>
    <w:rsid w:val="00A90EFE"/>
    <w:rsid w:val="00A91801"/>
    <w:rsid w:val="00A919FA"/>
    <w:rsid w:val="00A91A0C"/>
    <w:rsid w:val="00A91C49"/>
    <w:rsid w:val="00A91EDD"/>
    <w:rsid w:val="00A92647"/>
    <w:rsid w:val="00A933D2"/>
    <w:rsid w:val="00A933E2"/>
    <w:rsid w:val="00A937E5"/>
    <w:rsid w:val="00A93AC6"/>
    <w:rsid w:val="00A93E19"/>
    <w:rsid w:val="00A93E58"/>
    <w:rsid w:val="00A93F71"/>
    <w:rsid w:val="00A94022"/>
    <w:rsid w:val="00A948A8"/>
    <w:rsid w:val="00A94B73"/>
    <w:rsid w:val="00A94CE7"/>
    <w:rsid w:val="00A94E39"/>
    <w:rsid w:val="00A94F80"/>
    <w:rsid w:val="00A957C1"/>
    <w:rsid w:val="00A957D2"/>
    <w:rsid w:val="00A958F0"/>
    <w:rsid w:val="00A959CA"/>
    <w:rsid w:val="00A95A4C"/>
    <w:rsid w:val="00A9619E"/>
    <w:rsid w:val="00A96417"/>
    <w:rsid w:val="00A9682F"/>
    <w:rsid w:val="00A97987"/>
    <w:rsid w:val="00A97EAC"/>
    <w:rsid w:val="00A97F14"/>
    <w:rsid w:val="00AA009F"/>
    <w:rsid w:val="00AA0B37"/>
    <w:rsid w:val="00AA0C64"/>
    <w:rsid w:val="00AA0DA8"/>
    <w:rsid w:val="00AA1247"/>
    <w:rsid w:val="00AA16D0"/>
    <w:rsid w:val="00AA1840"/>
    <w:rsid w:val="00AA1931"/>
    <w:rsid w:val="00AA1EB4"/>
    <w:rsid w:val="00AA1FF1"/>
    <w:rsid w:val="00AA21D8"/>
    <w:rsid w:val="00AA22BA"/>
    <w:rsid w:val="00AA2366"/>
    <w:rsid w:val="00AA2401"/>
    <w:rsid w:val="00AA2AE0"/>
    <w:rsid w:val="00AA31AF"/>
    <w:rsid w:val="00AA3501"/>
    <w:rsid w:val="00AA3648"/>
    <w:rsid w:val="00AA36AB"/>
    <w:rsid w:val="00AA3B87"/>
    <w:rsid w:val="00AA3E2C"/>
    <w:rsid w:val="00AA3E47"/>
    <w:rsid w:val="00AA409A"/>
    <w:rsid w:val="00AA42DD"/>
    <w:rsid w:val="00AA43DF"/>
    <w:rsid w:val="00AA44C2"/>
    <w:rsid w:val="00AA4674"/>
    <w:rsid w:val="00AA46BF"/>
    <w:rsid w:val="00AA473E"/>
    <w:rsid w:val="00AA49F8"/>
    <w:rsid w:val="00AA4B7E"/>
    <w:rsid w:val="00AA5001"/>
    <w:rsid w:val="00AA539A"/>
    <w:rsid w:val="00AA5640"/>
    <w:rsid w:val="00AA665B"/>
    <w:rsid w:val="00AA66A2"/>
    <w:rsid w:val="00AA67AE"/>
    <w:rsid w:val="00AA6D35"/>
    <w:rsid w:val="00AA702B"/>
    <w:rsid w:val="00AA747F"/>
    <w:rsid w:val="00AA77EC"/>
    <w:rsid w:val="00AA77F9"/>
    <w:rsid w:val="00AA79E2"/>
    <w:rsid w:val="00AA79F3"/>
    <w:rsid w:val="00AA7D6B"/>
    <w:rsid w:val="00AB006F"/>
    <w:rsid w:val="00AB0701"/>
    <w:rsid w:val="00AB0862"/>
    <w:rsid w:val="00AB093D"/>
    <w:rsid w:val="00AB0A60"/>
    <w:rsid w:val="00AB0DD5"/>
    <w:rsid w:val="00AB0E95"/>
    <w:rsid w:val="00AB0EB5"/>
    <w:rsid w:val="00AB0FE3"/>
    <w:rsid w:val="00AB11B9"/>
    <w:rsid w:val="00AB142A"/>
    <w:rsid w:val="00AB15DC"/>
    <w:rsid w:val="00AB17DA"/>
    <w:rsid w:val="00AB1937"/>
    <w:rsid w:val="00AB193E"/>
    <w:rsid w:val="00AB1B5D"/>
    <w:rsid w:val="00AB25CD"/>
    <w:rsid w:val="00AB2A42"/>
    <w:rsid w:val="00AB2B18"/>
    <w:rsid w:val="00AB2F12"/>
    <w:rsid w:val="00AB3246"/>
    <w:rsid w:val="00AB33D6"/>
    <w:rsid w:val="00AB342B"/>
    <w:rsid w:val="00AB3658"/>
    <w:rsid w:val="00AB3870"/>
    <w:rsid w:val="00AB39C0"/>
    <w:rsid w:val="00AB3C6D"/>
    <w:rsid w:val="00AB3D69"/>
    <w:rsid w:val="00AB3F77"/>
    <w:rsid w:val="00AB40CF"/>
    <w:rsid w:val="00AB40D0"/>
    <w:rsid w:val="00AB4290"/>
    <w:rsid w:val="00AB46D2"/>
    <w:rsid w:val="00AB52A5"/>
    <w:rsid w:val="00AB5325"/>
    <w:rsid w:val="00AB53D2"/>
    <w:rsid w:val="00AB57F2"/>
    <w:rsid w:val="00AB5B72"/>
    <w:rsid w:val="00AB5C1E"/>
    <w:rsid w:val="00AB5FFE"/>
    <w:rsid w:val="00AB6036"/>
    <w:rsid w:val="00AB6A6D"/>
    <w:rsid w:val="00AB6C07"/>
    <w:rsid w:val="00AB6D40"/>
    <w:rsid w:val="00AB7064"/>
    <w:rsid w:val="00AB7308"/>
    <w:rsid w:val="00AB7622"/>
    <w:rsid w:val="00AB783E"/>
    <w:rsid w:val="00AB7DF5"/>
    <w:rsid w:val="00AC0078"/>
    <w:rsid w:val="00AC04EF"/>
    <w:rsid w:val="00AC0B87"/>
    <w:rsid w:val="00AC16DC"/>
    <w:rsid w:val="00AC1AD4"/>
    <w:rsid w:val="00AC1ED8"/>
    <w:rsid w:val="00AC2053"/>
    <w:rsid w:val="00AC286A"/>
    <w:rsid w:val="00AC2CBA"/>
    <w:rsid w:val="00AC2EF8"/>
    <w:rsid w:val="00AC2F49"/>
    <w:rsid w:val="00AC34C5"/>
    <w:rsid w:val="00AC35A7"/>
    <w:rsid w:val="00AC36A9"/>
    <w:rsid w:val="00AC3843"/>
    <w:rsid w:val="00AC3AA5"/>
    <w:rsid w:val="00AC3C77"/>
    <w:rsid w:val="00AC3D8C"/>
    <w:rsid w:val="00AC3DBE"/>
    <w:rsid w:val="00AC3E9A"/>
    <w:rsid w:val="00AC4389"/>
    <w:rsid w:val="00AC43AC"/>
    <w:rsid w:val="00AC4A1F"/>
    <w:rsid w:val="00AC4E63"/>
    <w:rsid w:val="00AC53F9"/>
    <w:rsid w:val="00AC5961"/>
    <w:rsid w:val="00AC5A56"/>
    <w:rsid w:val="00AC5FF5"/>
    <w:rsid w:val="00AC6205"/>
    <w:rsid w:val="00AC686E"/>
    <w:rsid w:val="00AC69F5"/>
    <w:rsid w:val="00AC6B32"/>
    <w:rsid w:val="00AC6BA8"/>
    <w:rsid w:val="00AC6D6A"/>
    <w:rsid w:val="00AC6E39"/>
    <w:rsid w:val="00AC7006"/>
    <w:rsid w:val="00AC70C7"/>
    <w:rsid w:val="00AC71E2"/>
    <w:rsid w:val="00AC725C"/>
    <w:rsid w:val="00AC7591"/>
    <w:rsid w:val="00AC7692"/>
    <w:rsid w:val="00AC78AA"/>
    <w:rsid w:val="00AD00FE"/>
    <w:rsid w:val="00AD0146"/>
    <w:rsid w:val="00AD0340"/>
    <w:rsid w:val="00AD069E"/>
    <w:rsid w:val="00AD0F1E"/>
    <w:rsid w:val="00AD147A"/>
    <w:rsid w:val="00AD1810"/>
    <w:rsid w:val="00AD231D"/>
    <w:rsid w:val="00AD2392"/>
    <w:rsid w:val="00AD2551"/>
    <w:rsid w:val="00AD26F1"/>
    <w:rsid w:val="00AD283A"/>
    <w:rsid w:val="00AD2910"/>
    <w:rsid w:val="00AD29F2"/>
    <w:rsid w:val="00AD331A"/>
    <w:rsid w:val="00AD3420"/>
    <w:rsid w:val="00AD34BA"/>
    <w:rsid w:val="00AD3628"/>
    <w:rsid w:val="00AD36A6"/>
    <w:rsid w:val="00AD375F"/>
    <w:rsid w:val="00AD3837"/>
    <w:rsid w:val="00AD38BC"/>
    <w:rsid w:val="00AD38EB"/>
    <w:rsid w:val="00AD3A79"/>
    <w:rsid w:val="00AD3CBE"/>
    <w:rsid w:val="00AD3EFC"/>
    <w:rsid w:val="00AD4141"/>
    <w:rsid w:val="00AD44DE"/>
    <w:rsid w:val="00AD4588"/>
    <w:rsid w:val="00AD46C3"/>
    <w:rsid w:val="00AD47FA"/>
    <w:rsid w:val="00AD48AA"/>
    <w:rsid w:val="00AD4D6D"/>
    <w:rsid w:val="00AD4E5F"/>
    <w:rsid w:val="00AD4F72"/>
    <w:rsid w:val="00AD52AB"/>
    <w:rsid w:val="00AD547C"/>
    <w:rsid w:val="00AD55C2"/>
    <w:rsid w:val="00AD5644"/>
    <w:rsid w:val="00AD57DF"/>
    <w:rsid w:val="00AD5C89"/>
    <w:rsid w:val="00AD651C"/>
    <w:rsid w:val="00AD682A"/>
    <w:rsid w:val="00AD688C"/>
    <w:rsid w:val="00AD68A8"/>
    <w:rsid w:val="00AD69EC"/>
    <w:rsid w:val="00AD6A37"/>
    <w:rsid w:val="00AD7173"/>
    <w:rsid w:val="00AD72D1"/>
    <w:rsid w:val="00AD775E"/>
    <w:rsid w:val="00AD7919"/>
    <w:rsid w:val="00AD7C0E"/>
    <w:rsid w:val="00AD7E12"/>
    <w:rsid w:val="00AD7FDD"/>
    <w:rsid w:val="00AE01B8"/>
    <w:rsid w:val="00AE0226"/>
    <w:rsid w:val="00AE043F"/>
    <w:rsid w:val="00AE0449"/>
    <w:rsid w:val="00AE0774"/>
    <w:rsid w:val="00AE09FC"/>
    <w:rsid w:val="00AE0A66"/>
    <w:rsid w:val="00AE0F34"/>
    <w:rsid w:val="00AE124A"/>
    <w:rsid w:val="00AE13A6"/>
    <w:rsid w:val="00AE16FB"/>
    <w:rsid w:val="00AE1B9F"/>
    <w:rsid w:val="00AE2666"/>
    <w:rsid w:val="00AE26CF"/>
    <w:rsid w:val="00AE2A5C"/>
    <w:rsid w:val="00AE2A62"/>
    <w:rsid w:val="00AE2C7B"/>
    <w:rsid w:val="00AE2DE0"/>
    <w:rsid w:val="00AE3138"/>
    <w:rsid w:val="00AE34A8"/>
    <w:rsid w:val="00AE3ACC"/>
    <w:rsid w:val="00AE494C"/>
    <w:rsid w:val="00AE4960"/>
    <w:rsid w:val="00AE501F"/>
    <w:rsid w:val="00AE5226"/>
    <w:rsid w:val="00AE535E"/>
    <w:rsid w:val="00AE542A"/>
    <w:rsid w:val="00AE544A"/>
    <w:rsid w:val="00AE5AD1"/>
    <w:rsid w:val="00AE5B3A"/>
    <w:rsid w:val="00AE6407"/>
    <w:rsid w:val="00AE6637"/>
    <w:rsid w:val="00AE668B"/>
    <w:rsid w:val="00AE6B86"/>
    <w:rsid w:val="00AE6D21"/>
    <w:rsid w:val="00AE6ED2"/>
    <w:rsid w:val="00AE7026"/>
    <w:rsid w:val="00AE70EE"/>
    <w:rsid w:val="00AE7AA8"/>
    <w:rsid w:val="00AE7D93"/>
    <w:rsid w:val="00AE7DA6"/>
    <w:rsid w:val="00AE7F18"/>
    <w:rsid w:val="00AF01CA"/>
    <w:rsid w:val="00AF029C"/>
    <w:rsid w:val="00AF0496"/>
    <w:rsid w:val="00AF0691"/>
    <w:rsid w:val="00AF0ACD"/>
    <w:rsid w:val="00AF0F53"/>
    <w:rsid w:val="00AF14E4"/>
    <w:rsid w:val="00AF163F"/>
    <w:rsid w:val="00AF16A2"/>
    <w:rsid w:val="00AF1D11"/>
    <w:rsid w:val="00AF2355"/>
    <w:rsid w:val="00AF242F"/>
    <w:rsid w:val="00AF2439"/>
    <w:rsid w:val="00AF262D"/>
    <w:rsid w:val="00AF28D4"/>
    <w:rsid w:val="00AF2F11"/>
    <w:rsid w:val="00AF32A5"/>
    <w:rsid w:val="00AF3308"/>
    <w:rsid w:val="00AF33FE"/>
    <w:rsid w:val="00AF3532"/>
    <w:rsid w:val="00AF3587"/>
    <w:rsid w:val="00AF38A4"/>
    <w:rsid w:val="00AF3A44"/>
    <w:rsid w:val="00AF3E3D"/>
    <w:rsid w:val="00AF3F64"/>
    <w:rsid w:val="00AF40D0"/>
    <w:rsid w:val="00AF4238"/>
    <w:rsid w:val="00AF42A3"/>
    <w:rsid w:val="00AF470F"/>
    <w:rsid w:val="00AF47B5"/>
    <w:rsid w:val="00AF48AE"/>
    <w:rsid w:val="00AF4992"/>
    <w:rsid w:val="00AF4E9C"/>
    <w:rsid w:val="00AF511A"/>
    <w:rsid w:val="00AF5286"/>
    <w:rsid w:val="00AF542E"/>
    <w:rsid w:val="00AF5528"/>
    <w:rsid w:val="00AF561F"/>
    <w:rsid w:val="00AF5625"/>
    <w:rsid w:val="00AF57E9"/>
    <w:rsid w:val="00AF5907"/>
    <w:rsid w:val="00AF5DD9"/>
    <w:rsid w:val="00AF6181"/>
    <w:rsid w:val="00AF62F4"/>
    <w:rsid w:val="00AF632E"/>
    <w:rsid w:val="00AF63CA"/>
    <w:rsid w:val="00AF63F0"/>
    <w:rsid w:val="00AF66DB"/>
    <w:rsid w:val="00AF6811"/>
    <w:rsid w:val="00AF69CC"/>
    <w:rsid w:val="00AF6C4B"/>
    <w:rsid w:val="00AF6E09"/>
    <w:rsid w:val="00AF7034"/>
    <w:rsid w:val="00AF7152"/>
    <w:rsid w:val="00AF7A24"/>
    <w:rsid w:val="00AF7CCA"/>
    <w:rsid w:val="00B0060D"/>
    <w:rsid w:val="00B00666"/>
    <w:rsid w:val="00B017E5"/>
    <w:rsid w:val="00B0181E"/>
    <w:rsid w:val="00B01D83"/>
    <w:rsid w:val="00B02133"/>
    <w:rsid w:val="00B02164"/>
    <w:rsid w:val="00B021FC"/>
    <w:rsid w:val="00B02376"/>
    <w:rsid w:val="00B02788"/>
    <w:rsid w:val="00B0280C"/>
    <w:rsid w:val="00B02955"/>
    <w:rsid w:val="00B02A56"/>
    <w:rsid w:val="00B02F6A"/>
    <w:rsid w:val="00B0325D"/>
    <w:rsid w:val="00B037FA"/>
    <w:rsid w:val="00B0388B"/>
    <w:rsid w:val="00B04017"/>
    <w:rsid w:val="00B04197"/>
    <w:rsid w:val="00B04438"/>
    <w:rsid w:val="00B04862"/>
    <w:rsid w:val="00B04983"/>
    <w:rsid w:val="00B054E9"/>
    <w:rsid w:val="00B0559D"/>
    <w:rsid w:val="00B05E4F"/>
    <w:rsid w:val="00B0638D"/>
    <w:rsid w:val="00B06805"/>
    <w:rsid w:val="00B06C6E"/>
    <w:rsid w:val="00B06D79"/>
    <w:rsid w:val="00B06DA0"/>
    <w:rsid w:val="00B06FD1"/>
    <w:rsid w:val="00B07116"/>
    <w:rsid w:val="00B074C8"/>
    <w:rsid w:val="00B079BC"/>
    <w:rsid w:val="00B07BB6"/>
    <w:rsid w:val="00B10407"/>
    <w:rsid w:val="00B10411"/>
    <w:rsid w:val="00B10447"/>
    <w:rsid w:val="00B106E1"/>
    <w:rsid w:val="00B107E0"/>
    <w:rsid w:val="00B10862"/>
    <w:rsid w:val="00B10A63"/>
    <w:rsid w:val="00B10C6B"/>
    <w:rsid w:val="00B10CD3"/>
    <w:rsid w:val="00B110AA"/>
    <w:rsid w:val="00B110E0"/>
    <w:rsid w:val="00B11668"/>
    <w:rsid w:val="00B117B8"/>
    <w:rsid w:val="00B1193F"/>
    <w:rsid w:val="00B11E1F"/>
    <w:rsid w:val="00B12444"/>
    <w:rsid w:val="00B1270C"/>
    <w:rsid w:val="00B129AF"/>
    <w:rsid w:val="00B12BB2"/>
    <w:rsid w:val="00B12D32"/>
    <w:rsid w:val="00B12D73"/>
    <w:rsid w:val="00B130A5"/>
    <w:rsid w:val="00B13217"/>
    <w:rsid w:val="00B1324F"/>
    <w:rsid w:val="00B13316"/>
    <w:rsid w:val="00B13647"/>
    <w:rsid w:val="00B13696"/>
    <w:rsid w:val="00B13930"/>
    <w:rsid w:val="00B13AD3"/>
    <w:rsid w:val="00B13BF8"/>
    <w:rsid w:val="00B13C1D"/>
    <w:rsid w:val="00B13E4D"/>
    <w:rsid w:val="00B13F18"/>
    <w:rsid w:val="00B140DB"/>
    <w:rsid w:val="00B141F2"/>
    <w:rsid w:val="00B1499F"/>
    <w:rsid w:val="00B14E12"/>
    <w:rsid w:val="00B152B1"/>
    <w:rsid w:val="00B154CB"/>
    <w:rsid w:val="00B15858"/>
    <w:rsid w:val="00B158B1"/>
    <w:rsid w:val="00B15B77"/>
    <w:rsid w:val="00B15C89"/>
    <w:rsid w:val="00B1659E"/>
    <w:rsid w:val="00B1674E"/>
    <w:rsid w:val="00B1675C"/>
    <w:rsid w:val="00B168A7"/>
    <w:rsid w:val="00B168B8"/>
    <w:rsid w:val="00B16A3A"/>
    <w:rsid w:val="00B16E64"/>
    <w:rsid w:val="00B16FE9"/>
    <w:rsid w:val="00B17317"/>
    <w:rsid w:val="00B174A6"/>
    <w:rsid w:val="00B175BD"/>
    <w:rsid w:val="00B176CD"/>
    <w:rsid w:val="00B17840"/>
    <w:rsid w:val="00B17843"/>
    <w:rsid w:val="00B17923"/>
    <w:rsid w:val="00B17B0F"/>
    <w:rsid w:val="00B17E2D"/>
    <w:rsid w:val="00B17EAB"/>
    <w:rsid w:val="00B2000E"/>
    <w:rsid w:val="00B2003F"/>
    <w:rsid w:val="00B2062A"/>
    <w:rsid w:val="00B20644"/>
    <w:rsid w:val="00B20763"/>
    <w:rsid w:val="00B20F72"/>
    <w:rsid w:val="00B21208"/>
    <w:rsid w:val="00B2152D"/>
    <w:rsid w:val="00B215FD"/>
    <w:rsid w:val="00B21ACB"/>
    <w:rsid w:val="00B22731"/>
    <w:rsid w:val="00B22A2D"/>
    <w:rsid w:val="00B22AF9"/>
    <w:rsid w:val="00B22C74"/>
    <w:rsid w:val="00B22D21"/>
    <w:rsid w:val="00B22E6D"/>
    <w:rsid w:val="00B230AA"/>
    <w:rsid w:val="00B2315F"/>
    <w:rsid w:val="00B23567"/>
    <w:rsid w:val="00B236DD"/>
    <w:rsid w:val="00B23737"/>
    <w:rsid w:val="00B23B3F"/>
    <w:rsid w:val="00B23BBD"/>
    <w:rsid w:val="00B23E16"/>
    <w:rsid w:val="00B23E2E"/>
    <w:rsid w:val="00B240A3"/>
    <w:rsid w:val="00B24AD1"/>
    <w:rsid w:val="00B25259"/>
    <w:rsid w:val="00B2526B"/>
    <w:rsid w:val="00B252F5"/>
    <w:rsid w:val="00B256DC"/>
    <w:rsid w:val="00B258A8"/>
    <w:rsid w:val="00B25F57"/>
    <w:rsid w:val="00B2626E"/>
    <w:rsid w:val="00B267CE"/>
    <w:rsid w:val="00B26833"/>
    <w:rsid w:val="00B269DC"/>
    <w:rsid w:val="00B26EB3"/>
    <w:rsid w:val="00B27675"/>
    <w:rsid w:val="00B2785E"/>
    <w:rsid w:val="00B27CF7"/>
    <w:rsid w:val="00B27F8A"/>
    <w:rsid w:val="00B301D4"/>
    <w:rsid w:val="00B30814"/>
    <w:rsid w:val="00B30855"/>
    <w:rsid w:val="00B3085F"/>
    <w:rsid w:val="00B30B9C"/>
    <w:rsid w:val="00B30C5B"/>
    <w:rsid w:val="00B30DB3"/>
    <w:rsid w:val="00B30FC2"/>
    <w:rsid w:val="00B31344"/>
    <w:rsid w:val="00B31645"/>
    <w:rsid w:val="00B31B9F"/>
    <w:rsid w:val="00B31CC4"/>
    <w:rsid w:val="00B3241F"/>
    <w:rsid w:val="00B324B7"/>
    <w:rsid w:val="00B3329C"/>
    <w:rsid w:val="00B332D4"/>
    <w:rsid w:val="00B3347B"/>
    <w:rsid w:val="00B3363E"/>
    <w:rsid w:val="00B3457B"/>
    <w:rsid w:val="00B346F0"/>
    <w:rsid w:val="00B34999"/>
    <w:rsid w:val="00B34B79"/>
    <w:rsid w:val="00B34B9C"/>
    <w:rsid w:val="00B34E75"/>
    <w:rsid w:val="00B34F2A"/>
    <w:rsid w:val="00B35102"/>
    <w:rsid w:val="00B358D6"/>
    <w:rsid w:val="00B35D3E"/>
    <w:rsid w:val="00B3604A"/>
    <w:rsid w:val="00B36379"/>
    <w:rsid w:val="00B3682F"/>
    <w:rsid w:val="00B36FC6"/>
    <w:rsid w:val="00B370B9"/>
    <w:rsid w:val="00B3710B"/>
    <w:rsid w:val="00B373BE"/>
    <w:rsid w:val="00B374B9"/>
    <w:rsid w:val="00B37583"/>
    <w:rsid w:val="00B37C28"/>
    <w:rsid w:val="00B37F78"/>
    <w:rsid w:val="00B4062D"/>
    <w:rsid w:val="00B4089A"/>
    <w:rsid w:val="00B40907"/>
    <w:rsid w:val="00B40B1B"/>
    <w:rsid w:val="00B40BC4"/>
    <w:rsid w:val="00B40C4A"/>
    <w:rsid w:val="00B40D9A"/>
    <w:rsid w:val="00B40DF4"/>
    <w:rsid w:val="00B4118E"/>
    <w:rsid w:val="00B414EE"/>
    <w:rsid w:val="00B41F2A"/>
    <w:rsid w:val="00B42017"/>
    <w:rsid w:val="00B42363"/>
    <w:rsid w:val="00B42C73"/>
    <w:rsid w:val="00B43510"/>
    <w:rsid w:val="00B435FA"/>
    <w:rsid w:val="00B43752"/>
    <w:rsid w:val="00B43AF6"/>
    <w:rsid w:val="00B43FA3"/>
    <w:rsid w:val="00B441F9"/>
    <w:rsid w:val="00B44205"/>
    <w:rsid w:val="00B443E3"/>
    <w:rsid w:val="00B4451D"/>
    <w:rsid w:val="00B44AE7"/>
    <w:rsid w:val="00B44BFD"/>
    <w:rsid w:val="00B44F74"/>
    <w:rsid w:val="00B450A4"/>
    <w:rsid w:val="00B45614"/>
    <w:rsid w:val="00B45683"/>
    <w:rsid w:val="00B456A1"/>
    <w:rsid w:val="00B45744"/>
    <w:rsid w:val="00B45931"/>
    <w:rsid w:val="00B45BF8"/>
    <w:rsid w:val="00B46272"/>
    <w:rsid w:val="00B467C0"/>
    <w:rsid w:val="00B46BDB"/>
    <w:rsid w:val="00B46E51"/>
    <w:rsid w:val="00B4706A"/>
    <w:rsid w:val="00B472A5"/>
    <w:rsid w:val="00B472CE"/>
    <w:rsid w:val="00B47431"/>
    <w:rsid w:val="00B474A2"/>
    <w:rsid w:val="00B47516"/>
    <w:rsid w:val="00B47794"/>
    <w:rsid w:val="00B47F23"/>
    <w:rsid w:val="00B501DC"/>
    <w:rsid w:val="00B50276"/>
    <w:rsid w:val="00B50500"/>
    <w:rsid w:val="00B50A68"/>
    <w:rsid w:val="00B50C20"/>
    <w:rsid w:val="00B50DEB"/>
    <w:rsid w:val="00B51089"/>
    <w:rsid w:val="00B514E2"/>
    <w:rsid w:val="00B5151C"/>
    <w:rsid w:val="00B515DA"/>
    <w:rsid w:val="00B516CB"/>
    <w:rsid w:val="00B52826"/>
    <w:rsid w:val="00B5287E"/>
    <w:rsid w:val="00B52AE2"/>
    <w:rsid w:val="00B52F8D"/>
    <w:rsid w:val="00B53141"/>
    <w:rsid w:val="00B53C75"/>
    <w:rsid w:val="00B54000"/>
    <w:rsid w:val="00B542EC"/>
    <w:rsid w:val="00B54741"/>
    <w:rsid w:val="00B54A6B"/>
    <w:rsid w:val="00B54B83"/>
    <w:rsid w:val="00B553F9"/>
    <w:rsid w:val="00B555BC"/>
    <w:rsid w:val="00B5560E"/>
    <w:rsid w:val="00B5595B"/>
    <w:rsid w:val="00B55B4D"/>
    <w:rsid w:val="00B55CB6"/>
    <w:rsid w:val="00B55EAF"/>
    <w:rsid w:val="00B55F85"/>
    <w:rsid w:val="00B5635B"/>
    <w:rsid w:val="00B5698E"/>
    <w:rsid w:val="00B56E99"/>
    <w:rsid w:val="00B57113"/>
    <w:rsid w:val="00B57599"/>
    <w:rsid w:val="00B57702"/>
    <w:rsid w:val="00B5771B"/>
    <w:rsid w:val="00B5774D"/>
    <w:rsid w:val="00B57856"/>
    <w:rsid w:val="00B57941"/>
    <w:rsid w:val="00B57C06"/>
    <w:rsid w:val="00B57C66"/>
    <w:rsid w:val="00B57F99"/>
    <w:rsid w:val="00B60041"/>
    <w:rsid w:val="00B6063C"/>
    <w:rsid w:val="00B60AFC"/>
    <w:rsid w:val="00B60C87"/>
    <w:rsid w:val="00B60D33"/>
    <w:rsid w:val="00B61102"/>
    <w:rsid w:val="00B61159"/>
    <w:rsid w:val="00B6128A"/>
    <w:rsid w:val="00B61BB7"/>
    <w:rsid w:val="00B61BE9"/>
    <w:rsid w:val="00B61F47"/>
    <w:rsid w:val="00B62110"/>
    <w:rsid w:val="00B62433"/>
    <w:rsid w:val="00B62CC4"/>
    <w:rsid w:val="00B62CCF"/>
    <w:rsid w:val="00B62D7E"/>
    <w:rsid w:val="00B62DC3"/>
    <w:rsid w:val="00B62EAB"/>
    <w:rsid w:val="00B630B1"/>
    <w:rsid w:val="00B6344D"/>
    <w:rsid w:val="00B63829"/>
    <w:rsid w:val="00B6433D"/>
    <w:rsid w:val="00B64881"/>
    <w:rsid w:val="00B64CA1"/>
    <w:rsid w:val="00B64CB9"/>
    <w:rsid w:val="00B64DAF"/>
    <w:rsid w:val="00B653D8"/>
    <w:rsid w:val="00B653EE"/>
    <w:rsid w:val="00B6545C"/>
    <w:rsid w:val="00B65597"/>
    <w:rsid w:val="00B65958"/>
    <w:rsid w:val="00B65975"/>
    <w:rsid w:val="00B65D68"/>
    <w:rsid w:val="00B65DF3"/>
    <w:rsid w:val="00B65F5D"/>
    <w:rsid w:val="00B666B7"/>
    <w:rsid w:val="00B66A2B"/>
    <w:rsid w:val="00B67AA8"/>
    <w:rsid w:val="00B70512"/>
    <w:rsid w:val="00B70860"/>
    <w:rsid w:val="00B70AF0"/>
    <w:rsid w:val="00B70B3D"/>
    <w:rsid w:val="00B70E54"/>
    <w:rsid w:val="00B710AB"/>
    <w:rsid w:val="00B714C0"/>
    <w:rsid w:val="00B71A75"/>
    <w:rsid w:val="00B721E9"/>
    <w:rsid w:val="00B7228D"/>
    <w:rsid w:val="00B725CC"/>
    <w:rsid w:val="00B7267F"/>
    <w:rsid w:val="00B72CA1"/>
    <w:rsid w:val="00B72E6D"/>
    <w:rsid w:val="00B732B2"/>
    <w:rsid w:val="00B73503"/>
    <w:rsid w:val="00B7357A"/>
    <w:rsid w:val="00B736AE"/>
    <w:rsid w:val="00B73836"/>
    <w:rsid w:val="00B73A5F"/>
    <w:rsid w:val="00B742D6"/>
    <w:rsid w:val="00B74730"/>
    <w:rsid w:val="00B74ADC"/>
    <w:rsid w:val="00B74D9F"/>
    <w:rsid w:val="00B74EFB"/>
    <w:rsid w:val="00B74F40"/>
    <w:rsid w:val="00B74F4E"/>
    <w:rsid w:val="00B7509C"/>
    <w:rsid w:val="00B752B8"/>
    <w:rsid w:val="00B75489"/>
    <w:rsid w:val="00B763A6"/>
    <w:rsid w:val="00B76475"/>
    <w:rsid w:val="00B766EE"/>
    <w:rsid w:val="00B76708"/>
    <w:rsid w:val="00B76A7F"/>
    <w:rsid w:val="00B76B1D"/>
    <w:rsid w:val="00B77165"/>
    <w:rsid w:val="00B77171"/>
    <w:rsid w:val="00B772D8"/>
    <w:rsid w:val="00B776EA"/>
    <w:rsid w:val="00B77735"/>
    <w:rsid w:val="00B7773C"/>
    <w:rsid w:val="00B777CD"/>
    <w:rsid w:val="00B77EB1"/>
    <w:rsid w:val="00B8071F"/>
    <w:rsid w:val="00B80732"/>
    <w:rsid w:val="00B80753"/>
    <w:rsid w:val="00B807EB"/>
    <w:rsid w:val="00B8101E"/>
    <w:rsid w:val="00B81619"/>
    <w:rsid w:val="00B81756"/>
    <w:rsid w:val="00B818A7"/>
    <w:rsid w:val="00B81900"/>
    <w:rsid w:val="00B82693"/>
    <w:rsid w:val="00B82D9B"/>
    <w:rsid w:val="00B830F4"/>
    <w:rsid w:val="00B83732"/>
    <w:rsid w:val="00B839A0"/>
    <w:rsid w:val="00B83C77"/>
    <w:rsid w:val="00B83FA6"/>
    <w:rsid w:val="00B848D9"/>
    <w:rsid w:val="00B848DA"/>
    <w:rsid w:val="00B8492B"/>
    <w:rsid w:val="00B84C75"/>
    <w:rsid w:val="00B84D74"/>
    <w:rsid w:val="00B85303"/>
    <w:rsid w:val="00B85AB8"/>
    <w:rsid w:val="00B85EBE"/>
    <w:rsid w:val="00B85ED0"/>
    <w:rsid w:val="00B86698"/>
    <w:rsid w:val="00B8671D"/>
    <w:rsid w:val="00B869F2"/>
    <w:rsid w:val="00B86B07"/>
    <w:rsid w:val="00B87159"/>
    <w:rsid w:val="00B877D7"/>
    <w:rsid w:val="00B879E0"/>
    <w:rsid w:val="00B87AE0"/>
    <w:rsid w:val="00B87B77"/>
    <w:rsid w:val="00B9016C"/>
    <w:rsid w:val="00B90460"/>
    <w:rsid w:val="00B90BD1"/>
    <w:rsid w:val="00B9123D"/>
    <w:rsid w:val="00B91B85"/>
    <w:rsid w:val="00B91FBF"/>
    <w:rsid w:val="00B9223E"/>
    <w:rsid w:val="00B9235B"/>
    <w:rsid w:val="00B92588"/>
    <w:rsid w:val="00B92B5A"/>
    <w:rsid w:val="00B92B78"/>
    <w:rsid w:val="00B92E62"/>
    <w:rsid w:val="00B9324A"/>
    <w:rsid w:val="00B93447"/>
    <w:rsid w:val="00B93450"/>
    <w:rsid w:val="00B939A5"/>
    <w:rsid w:val="00B93AD5"/>
    <w:rsid w:val="00B93B34"/>
    <w:rsid w:val="00B93DAB"/>
    <w:rsid w:val="00B93EBC"/>
    <w:rsid w:val="00B93F10"/>
    <w:rsid w:val="00B93FE1"/>
    <w:rsid w:val="00B940BF"/>
    <w:rsid w:val="00B941B3"/>
    <w:rsid w:val="00B94298"/>
    <w:rsid w:val="00B942BD"/>
    <w:rsid w:val="00B9442F"/>
    <w:rsid w:val="00B947EE"/>
    <w:rsid w:val="00B94A71"/>
    <w:rsid w:val="00B94B22"/>
    <w:rsid w:val="00B94BAC"/>
    <w:rsid w:val="00B94CD3"/>
    <w:rsid w:val="00B94E18"/>
    <w:rsid w:val="00B95156"/>
    <w:rsid w:val="00B95173"/>
    <w:rsid w:val="00B95263"/>
    <w:rsid w:val="00B95330"/>
    <w:rsid w:val="00B9542F"/>
    <w:rsid w:val="00B95677"/>
    <w:rsid w:val="00B95BB6"/>
    <w:rsid w:val="00B95C91"/>
    <w:rsid w:val="00B95E6F"/>
    <w:rsid w:val="00B95F82"/>
    <w:rsid w:val="00B9614D"/>
    <w:rsid w:val="00B973DE"/>
    <w:rsid w:val="00B9742F"/>
    <w:rsid w:val="00BA0104"/>
    <w:rsid w:val="00BA01E3"/>
    <w:rsid w:val="00BA0257"/>
    <w:rsid w:val="00BA0534"/>
    <w:rsid w:val="00BA0D39"/>
    <w:rsid w:val="00BA0D57"/>
    <w:rsid w:val="00BA0E44"/>
    <w:rsid w:val="00BA12F9"/>
    <w:rsid w:val="00BA146C"/>
    <w:rsid w:val="00BA19D8"/>
    <w:rsid w:val="00BA1A1C"/>
    <w:rsid w:val="00BA1B09"/>
    <w:rsid w:val="00BA23D4"/>
    <w:rsid w:val="00BA24CB"/>
    <w:rsid w:val="00BA274A"/>
    <w:rsid w:val="00BA27AF"/>
    <w:rsid w:val="00BA2EC3"/>
    <w:rsid w:val="00BA3091"/>
    <w:rsid w:val="00BA340B"/>
    <w:rsid w:val="00BA3448"/>
    <w:rsid w:val="00BA352F"/>
    <w:rsid w:val="00BA3650"/>
    <w:rsid w:val="00BA37F7"/>
    <w:rsid w:val="00BA38AE"/>
    <w:rsid w:val="00BA408B"/>
    <w:rsid w:val="00BA442C"/>
    <w:rsid w:val="00BA47B6"/>
    <w:rsid w:val="00BA4939"/>
    <w:rsid w:val="00BA49AD"/>
    <w:rsid w:val="00BA49D6"/>
    <w:rsid w:val="00BA4A2A"/>
    <w:rsid w:val="00BA4BD3"/>
    <w:rsid w:val="00BA4CBC"/>
    <w:rsid w:val="00BA4CE2"/>
    <w:rsid w:val="00BA5094"/>
    <w:rsid w:val="00BA5601"/>
    <w:rsid w:val="00BA5696"/>
    <w:rsid w:val="00BA56B9"/>
    <w:rsid w:val="00BA577D"/>
    <w:rsid w:val="00BA596F"/>
    <w:rsid w:val="00BA5BB6"/>
    <w:rsid w:val="00BA5EEE"/>
    <w:rsid w:val="00BA6550"/>
    <w:rsid w:val="00BA65AC"/>
    <w:rsid w:val="00BA6C41"/>
    <w:rsid w:val="00BA6E76"/>
    <w:rsid w:val="00BA6E94"/>
    <w:rsid w:val="00BA6FF7"/>
    <w:rsid w:val="00BA7FA3"/>
    <w:rsid w:val="00BA7FBA"/>
    <w:rsid w:val="00BB0257"/>
    <w:rsid w:val="00BB0599"/>
    <w:rsid w:val="00BB05C3"/>
    <w:rsid w:val="00BB0641"/>
    <w:rsid w:val="00BB0903"/>
    <w:rsid w:val="00BB0D75"/>
    <w:rsid w:val="00BB0FF7"/>
    <w:rsid w:val="00BB15DB"/>
    <w:rsid w:val="00BB180E"/>
    <w:rsid w:val="00BB19F2"/>
    <w:rsid w:val="00BB1A57"/>
    <w:rsid w:val="00BB1CC1"/>
    <w:rsid w:val="00BB1D15"/>
    <w:rsid w:val="00BB1DA6"/>
    <w:rsid w:val="00BB1DB5"/>
    <w:rsid w:val="00BB2011"/>
    <w:rsid w:val="00BB2221"/>
    <w:rsid w:val="00BB28B2"/>
    <w:rsid w:val="00BB2A6F"/>
    <w:rsid w:val="00BB2ADF"/>
    <w:rsid w:val="00BB2B78"/>
    <w:rsid w:val="00BB30F9"/>
    <w:rsid w:val="00BB32A5"/>
    <w:rsid w:val="00BB3A78"/>
    <w:rsid w:val="00BB3A7E"/>
    <w:rsid w:val="00BB3D4E"/>
    <w:rsid w:val="00BB3EDE"/>
    <w:rsid w:val="00BB3FC8"/>
    <w:rsid w:val="00BB41AB"/>
    <w:rsid w:val="00BB4275"/>
    <w:rsid w:val="00BB4606"/>
    <w:rsid w:val="00BB4659"/>
    <w:rsid w:val="00BB4ABD"/>
    <w:rsid w:val="00BB4B7D"/>
    <w:rsid w:val="00BB4BB7"/>
    <w:rsid w:val="00BB4D27"/>
    <w:rsid w:val="00BB4D85"/>
    <w:rsid w:val="00BB4EC0"/>
    <w:rsid w:val="00BB4F57"/>
    <w:rsid w:val="00BB52A3"/>
    <w:rsid w:val="00BB53FB"/>
    <w:rsid w:val="00BB549E"/>
    <w:rsid w:val="00BB5850"/>
    <w:rsid w:val="00BB59F1"/>
    <w:rsid w:val="00BB5A58"/>
    <w:rsid w:val="00BB5C27"/>
    <w:rsid w:val="00BB5C29"/>
    <w:rsid w:val="00BB5F31"/>
    <w:rsid w:val="00BB5FF6"/>
    <w:rsid w:val="00BB61F0"/>
    <w:rsid w:val="00BB6338"/>
    <w:rsid w:val="00BB6675"/>
    <w:rsid w:val="00BB669A"/>
    <w:rsid w:val="00BB67FE"/>
    <w:rsid w:val="00BB6977"/>
    <w:rsid w:val="00BB7413"/>
    <w:rsid w:val="00BB7957"/>
    <w:rsid w:val="00BB7E28"/>
    <w:rsid w:val="00BC006C"/>
    <w:rsid w:val="00BC0121"/>
    <w:rsid w:val="00BC035B"/>
    <w:rsid w:val="00BC079E"/>
    <w:rsid w:val="00BC0B3C"/>
    <w:rsid w:val="00BC0EBB"/>
    <w:rsid w:val="00BC11BF"/>
    <w:rsid w:val="00BC14CD"/>
    <w:rsid w:val="00BC1681"/>
    <w:rsid w:val="00BC17E0"/>
    <w:rsid w:val="00BC1BDB"/>
    <w:rsid w:val="00BC2122"/>
    <w:rsid w:val="00BC24C1"/>
    <w:rsid w:val="00BC262A"/>
    <w:rsid w:val="00BC289F"/>
    <w:rsid w:val="00BC28AD"/>
    <w:rsid w:val="00BC2C0F"/>
    <w:rsid w:val="00BC31FE"/>
    <w:rsid w:val="00BC3262"/>
    <w:rsid w:val="00BC349D"/>
    <w:rsid w:val="00BC3568"/>
    <w:rsid w:val="00BC3748"/>
    <w:rsid w:val="00BC408D"/>
    <w:rsid w:val="00BC40E7"/>
    <w:rsid w:val="00BC44C5"/>
    <w:rsid w:val="00BC47BD"/>
    <w:rsid w:val="00BC4A66"/>
    <w:rsid w:val="00BC4BEF"/>
    <w:rsid w:val="00BC4D01"/>
    <w:rsid w:val="00BC4D21"/>
    <w:rsid w:val="00BC4DC9"/>
    <w:rsid w:val="00BC4FA1"/>
    <w:rsid w:val="00BC5302"/>
    <w:rsid w:val="00BC540A"/>
    <w:rsid w:val="00BC577C"/>
    <w:rsid w:val="00BC59B8"/>
    <w:rsid w:val="00BC5A77"/>
    <w:rsid w:val="00BC5BF3"/>
    <w:rsid w:val="00BC60B5"/>
    <w:rsid w:val="00BC64DD"/>
    <w:rsid w:val="00BC6753"/>
    <w:rsid w:val="00BC6C8E"/>
    <w:rsid w:val="00BC6FC9"/>
    <w:rsid w:val="00BC7152"/>
    <w:rsid w:val="00BC762B"/>
    <w:rsid w:val="00BC765C"/>
    <w:rsid w:val="00BC7F08"/>
    <w:rsid w:val="00BD004B"/>
    <w:rsid w:val="00BD0092"/>
    <w:rsid w:val="00BD0325"/>
    <w:rsid w:val="00BD08F8"/>
    <w:rsid w:val="00BD0E4A"/>
    <w:rsid w:val="00BD0F00"/>
    <w:rsid w:val="00BD1423"/>
    <w:rsid w:val="00BD196F"/>
    <w:rsid w:val="00BD21CA"/>
    <w:rsid w:val="00BD2645"/>
    <w:rsid w:val="00BD277F"/>
    <w:rsid w:val="00BD29E4"/>
    <w:rsid w:val="00BD29FF"/>
    <w:rsid w:val="00BD2BAE"/>
    <w:rsid w:val="00BD2FBE"/>
    <w:rsid w:val="00BD3016"/>
    <w:rsid w:val="00BD306E"/>
    <w:rsid w:val="00BD3139"/>
    <w:rsid w:val="00BD3964"/>
    <w:rsid w:val="00BD3B19"/>
    <w:rsid w:val="00BD3C85"/>
    <w:rsid w:val="00BD3F7E"/>
    <w:rsid w:val="00BD421B"/>
    <w:rsid w:val="00BD45E8"/>
    <w:rsid w:val="00BD4655"/>
    <w:rsid w:val="00BD47D1"/>
    <w:rsid w:val="00BD4A44"/>
    <w:rsid w:val="00BD4CD6"/>
    <w:rsid w:val="00BD57B4"/>
    <w:rsid w:val="00BD5CEF"/>
    <w:rsid w:val="00BD6294"/>
    <w:rsid w:val="00BD6FA3"/>
    <w:rsid w:val="00BD7145"/>
    <w:rsid w:val="00BD7786"/>
    <w:rsid w:val="00BD7AD0"/>
    <w:rsid w:val="00BD7BEC"/>
    <w:rsid w:val="00BD7E88"/>
    <w:rsid w:val="00BE004A"/>
    <w:rsid w:val="00BE0492"/>
    <w:rsid w:val="00BE0DC6"/>
    <w:rsid w:val="00BE0E08"/>
    <w:rsid w:val="00BE14B7"/>
    <w:rsid w:val="00BE157B"/>
    <w:rsid w:val="00BE185A"/>
    <w:rsid w:val="00BE1ED0"/>
    <w:rsid w:val="00BE2615"/>
    <w:rsid w:val="00BE26E6"/>
    <w:rsid w:val="00BE2936"/>
    <w:rsid w:val="00BE2C40"/>
    <w:rsid w:val="00BE2D16"/>
    <w:rsid w:val="00BE2F4D"/>
    <w:rsid w:val="00BE31BA"/>
    <w:rsid w:val="00BE3450"/>
    <w:rsid w:val="00BE36A3"/>
    <w:rsid w:val="00BE36E7"/>
    <w:rsid w:val="00BE3745"/>
    <w:rsid w:val="00BE3F3D"/>
    <w:rsid w:val="00BE4F66"/>
    <w:rsid w:val="00BE527C"/>
    <w:rsid w:val="00BE529D"/>
    <w:rsid w:val="00BE52B0"/>
    <w:rsid w:val="00BE552B"/>
    <w:rsid w:val="00BE55F4"/>
    <w:rsid w:val="00BE56FC"/>
    <w:rsid w:val="00BE59F3"/>
    <w:rsid w:val="00BE5C8E"/>
    <w:rsid w:val="00BE5E94"/>
    <w:rsid w:val="00BE68D9"/>
    <w:rsid w:val="00BE6B0C"/>
    <w:rsid w:val="00BE6BEA"/>
    <w:rsid w:val="00BE7228"/>
    <w:rsid w:val="00BE77DA"/>
    <w:rsid w:val="00BE7A0B"/>
    <w:rsid w:val="00BE7AC0"/>
    <w:rsid w:val="00BE7D2E"/>
    <w:rsid w:val="00BE7F79"/>
    <w:rsid w:val="00BF0598"/>
    <w:rsid w:val="00BF0637"/>
    <w:rsid w:val="00BF072C"/>
    <w:rsid w:val="00BF0AED"/>
    <w:rsid w:val="00BF0AEF"/>
    <w:rsid w:val="00BF0B99"/>
    <w:rsid w:val="00BF0CFC"/>
    <w:rsid w:val="00BF0E8A"/>
    <w:rsid w:val="00BF1418"/>
    <w:rsid w:val="00BF1485"/>
    <w:rsid w:val="00BF1942"/>
    <w:rsid w:val="00BF1B56"/>
    <w:rsid w:val="00BF1FD9"/>
    <w:rsid w:val="00BF225D"/>
    <w:rsid w:val="00BF246A"/>
    <w:rsid w:val="00BF261D"/>
    <w:rsid w:val="00BF285A"/>
    <w:rsid w:val="00BF294D"/>
    <w:rsid w:val="00BF339C"/>
    <w:rsid w:val="00BF38A7"/>
    <w:rsid w:val="00BF3A26"/>
    <w:rsid w:val="00BF3A9F"/>
    <w:rsid w:val="00BF3F2C"/>
    <w:rsid w:val="00BF405F"/>
    <w:rsid w:val="00BF4542"/>
    <w:rsid w:val="00BF48C6"/>
    <w:rsid w:val="00BF4911"/>
    <w:rsid w:val="00BF4FCF"/>
    <w:rsid w:val="00BF5644"/>
    <w:rsid w:val="00BF61D3"/>
    <w:rsid w:val="00BF63F8"/>
    <w:rsid w:val="00BF657F"/>
    <w:rsid w:val="00BF65D4"/>
    <w:rsid w:val="00BF6643"/>
    <w:rsid w:val="00BF66A2"/>
    <w:rsid w:val="00BF67E5"/>
    <w:rsid w:val="00BF6984"/>
    <w:rsid w:val="00BF6E2B"/>
    <w:rsid w:val="00BF7210"/>
    <w:rsid w:val="00BF74FA"/>
    <w:rsid w:val="00BF7696"/>
    <w:rsid w:val="00C003B2"/>
    <w:rsid w:val="00C004EE"/>
    <w:rsid w:val="00C0054E"/>
    <w:rsid w:val="00C00706"/>
    <w:rsid w:val="00C00DA9"/>
    <w:rsid w:val="00C00DF0"/>
    <w:rsid w:val="00C00FA4"/>
    <w:rsid w:val="00C011FB"/>
    <w:rsid w:val="00C015D9"/>
    <w:rsid w:val="00C01B9B"/>
    <w:rsid w:val="00C02287"/>
    <w:rsid w:val="00C02443"/>
    <w:rsid w:val="00C0293C"/>
    <w:rsid w:val="00C02CBC"/>
    <w:rsid w:val="00C02D09"/>
    <w:rsid w:val="00C02FF2"/>
    <w:rsid w:val="00C0349B"/>
    <w:rsid w:val="00C034AE"/>
    <w:rsid w:val="00C0368E"/>
    <w:rsid w:val="00C036F0"/>
    <w:rsid w:val="00C03ECD"/>
    <w:rsid w:val="00C04A6C"/>
    <w:rsid w:val="00C04B23"/>
    <w:rsid w:val="00C04C88"/>
    <w:rsid w:val="00C04CDE"/>
    <w:rsid w:val="00C04E6B"/>
    <w:rsid w:val="00C04EA0"/>
    <w:rsid w:val="00C04FBF"/>
    <w:rsid w:val="00C0504F"/>
    <w:rsid w:val="00C05173"/>
    <w:rsid w:val="00C0547C"/>
    <w:rsid w:val="00C05578"/>
    <w:rsid w:val="00C05B8E"/>
    <w:rsid w:val="00C061AE"/>
    <w:rsid w:val="00C061F4"/>
    <w:rsid w:val="00C06765"/>
    <w:rsid w:val="00C0677F"/>
    <w:rsid w:val="00C06CB8"/>
    <w:rsid w:val="00C06D39"/>
    <w:rsid w:val="00C06D78"/>
    <w:rsid w:val="00C06E7D"/>
    <w:rsid w:val="00C06F8D"/>
    <w:rsid w:val="00C0750D"/>
    <w:rsid w:val="00C0766D"/>
    <w:rsid w:val="00C07700"/>
    <w:rsid w:val="00C07870"/>
    <w:rsid w:val="00C078FD"/>
    <w:rsid w:val="00C07E22"/>
    <w:rsid w:val="00C10126"/>
    <w:rsid w:val="00C10C09"/>
    <w:rsid w:val="00C10E26"/>
    <w:rsid w:val="00C11073"/>
    <w:rsid w:val="00C111CC"/>
    <w:rsid w:val="00C11554"/>
    <w:rsid w:val="00C11649"/>
    <w:rsid w:val="00C117F4"/>
    <w:rsid w:val="00C11A13"/>
    <w:rsid w:val="00C11BDD"/>
    <w:rsid w:val="00C121AD"/>
    <w:rsid w:val="00C12363"/>
    <w:rsid w:val="00C129BC"/>
    <w:rsid w:val="00C12E54"/>
    <w:rsid w:val="00C12E8B"/>
    <w:rsid w:val="00C1314D"/>
    <w:rsid w:val="00C13156"/>
    <w:rsid w:val="00C131F1"/>
    <w:rsid w:val="00C1349F"/>
    <w:rsid w:val="00C13A5E"/>
    <w:rsid w:val="00C13A65"/>
    <w:rsid w:val="00C13FD7"/>
    <w:rsid w:val="00C14657"/>
    <w:rsid w:val="00C14687"/>
    <w:rsid w:val="00C14841"/>
    <w:rsid w:val="00C148BE"/>
    <w:rsid w:val="00C14A43"/>
    <w:rsid w:val="00C14D12"/>
    <w:rsid w:val="00C14D9B"/>
    <w:rsid w:val="00C14F56"/>
    <w:rsid w:val="00C15178"/>
    <w:rsid w:val="00C1519D"/>
    <w:rsid w:val="00C151A7"/>
    <w:rsid w:val="00C15505"/>
    <w:rsid w:val="00C15A11"/>
    <w:rsid w:val="00C15C4A"/>
    <w:rsid w:val="00C15CF2"/>
    <w:rsid w:val="00C16455"/>
    <w:rsid w:val="00C169D2"/>
    <w:rsid w:val="00C16B6D"/>
    <w:rsid w:val="00C16BE3"/>
    <w:rsid w:val="00C16BE6"/>
    <w:rsid w:val="00C16D88"/>
    <w:rsid w:val="00C16FC1"/>
    <w:rsid w:val="00C17A04"/>
    <w:rsid w:val="00C17EFF"/>
    <w:rsid w:val="00C17FB7"/>
    <w:rsid w:val="00C2004B"/>
    <w:rsid w:val="00C2016D"/>
    <w:rsid w:val="00C20341"/>
    <w:rsid w:val="00C20386"/>
    <w:rsid w:val="00C20413"/>
    <w:rsid w:val="00C20414"/>
    <w:rsid w:val="00C205EA"/>
    <w:rsid w:val="00C20691"/>
    <w:rsid w:val="00C206E4"/>
    <w:rsid w:val="00C20D23"/>
    <w:rsid w:val="00C20F8C"/>
    <w:rsid w:val="00C21911"/>
    <w:rsid w:val="00C21DE9"/>
    <w:rsid w:val="00C21ED1"/>
    <w:rsid w:val="00C22096"/>
    <w:rsid w:val="00C22260"/>
    <w:rsid w:val="00C22671"/>
    <w:rsid w:val="00C22D2C"/>
    <w:rsid w:val="00C22F9C"/>
    <w:rsid w:val="00C23097"/>
    <w:rsid w:val="00C230B2"/>
    <w:rsid w:val="00C237FC"/>
    <w:rsid w:val="00C23831"/>
    <w:rsid w:val="00C23CC3"/>
    <w:rsid w:val="00C2426C"/>
    <w:rsid w:val="00C24CC6"/>
    <w:rsid w:val="00C24DA8"/>
    <w:rsid w:val="00C24E70"/>
    <w:rsid w:val="00C250E3"/>
    <w:rsid w:val="00C25573"/>
    <w:rsid w:val="00C255AA"/>
    <w:rsid w:val="00C257F3"/>
    <w:rsid w:val="00C25BF9"/>
    <w:rsid w:val="00C26812"/>
    <w:rsid w:val="00C26A97"/>
    <w:rsid w:val="00C26E21"/>
    <w:rsid w:val="00C26EB8"/>
    <w:rsid w:val="00C270F6"/>
    <w:rsid w:val="00C2720E"/>
    <w:rsid w:val="00C2722B"/>
    <w:rsid w:val="00C27473"/>
    <w:rsid w:val="00C27546"/>
    <w:rsid w:val="00C27573"/>
    <w:rsid w:val="00C277F1"/>
    <w:rsid w:val="00C27B0D"/>
    <w:rsid w:val="00C27BAC"/>
    <w:rsid w:val="00C27F10"/>
    <w:rsid w:val="00C301E1"/>
    <w:rsid w:val="00C30C00"/>
    <w:rsid w:val="00C30D99"/>
    <w:rsid w:val="00C30E76"/>
    <w:rsid w:val="00C30EEB"/>
    <w:rsid w:val="00C31141"/>
    <w:rsid w:val="00C318B8"/>
    <w:rsid w:val="00C31B93"/>
    <w:rsid w:val="00C321CA"/>
    <w:rsid w:val="00C322D2"/>
    <w:rsid w:val="00C32327"/>
    <w:rsid w:val="00C32509"/>
    <w:rsid w:val="00C32746"/>
    <w:rsid w:val="00C32A15"/>
    <w:rsid w:val="00C32F8A"/>
    <w:rsid w:val="00C32FC0"/>
    <w:rsid w:val="00C330D1"/>
    <w:rsid w:val="00C334B3"/>
    <w:rsid w:val="00C33729"/>
    <w:rsid w:val="00C33D6E"/>
    <w:rsid w:val="00C33E18"/>
    <w:rsid w:val="00C343DD"/>
    <w:rsid w:val="00C346A1"/>
    <w:rsid w:val="00C34781"/>
    <w:rsid w:val="00C347F8"/>
    <w:rsid w:val="00C348CD"/>
    <w:rsid w:val="00C34932"/>
    <w:rsid w:val="00C34B6E"/>
    <w:rsid w:val="00C34BF9"/>
    <w:rsid w:val="00C34C89"/>
    <w:rsid w:val="00C34DE9"/>
    <w:rsid w:val="00C34E2E"/>
    <w:rsid w:val="00C34EDA"/>
    <w:rsid w:val="00C355B0"/>
    <w:rsid w:val="00C358BB"/>
    <w:rsid w:val="00C35AD7"/>
    <w:rsid w:val="00C3635A"/>
    <w:rsid w:val="00C363CA"/>
    <w:rsid w:val="00C36B8A"/>
    <w:rsid w:val="00C36D2A"/>
    <w:rsid w:val="00C36FD7"/>
    <w:rsid w:val="00C370CF"/>
    <w:rsid w:val="00C375C3"/>
    <w:rsid w:val="00C378B4"/>
    <w:rsid w:val="00C37AE4"/>
    <w:rsid w:val="00C37D03"/>
    <w:rsid w:val="00C37E1B"/>
    <w:rsid w:val="00C37EA3"/>
    <w:rsid w:val="00C40A24"/>
    <w:rsid w:val="00C40ADB"/>
    <w:rsid w:val="00C40BCD"/>
    <w:rsid w:val="00C41337"/>
    <w:rsid w:val="00C413C8"/>
    <w:rsid w:val="00C41961"/>
    <w:rsid w:val="00C41964"/>
    <w:rsid w:val="00C41B99"/>
    <w:rsid w:val="00C41BB0"/>
    <w:rsid w:val="00C41CD5"/>
    <w:rsid w:val="00C41F07"/>
    <w:rsid w:val="00C420FD"/>
    <w:rsid w:val="00C42287"/>
    <w:rsid w:val="00C425C4"/>
    <w:rsid w:val="00C42959"/>
    <w:rsid w:val="00C43238"/>
    <w:rsid w:val="00C433CE"/>
    <w:rsid w:val="00C43DEB"/>
    <w:rsid w:val="00C44233"/>
    <w:rsid w:val="00C44261"/>
    <w:rsid w:val="00C4427C"/>
    <w:rsid w:val="00C44374"/>
    <w:rsid w:val="00C445BD"/>
    <w:rsid w:val="00C44F92"/>
    <w:rsid w:val="00C4502E"/>
    <w:rsid w:val="00C4598C"/>
    <w:rsid w:val="00C45AC4"/>
    <w:rsid w:val="00C45FB1"/>
    <w:rsid w:val="00C4613B"/>
    <w:rsid w:val="00C4634A"/>
    <w:rsid w:val="00C463E1"/>
    <w:rsid w:val="00C46730"/>
    <w:rsid w:val="00C46AFB"/>
    <w:rsid w:val="00C46CD6"/>
    <w:rsid w:val="00C476E5"/>
    <w:rsid w:val="00C478BE"/>
    <w:rsid w:val="00C478C1"/>
    <w:rsid w:val="00C47ADA"/>
    <w:rsid w:val="00C47D19"/>
    <w:rsid w:val="00C5015C"/>
    <w:rsid w:val="00C50E0A"/>
    <w:rsid w:val="00C50E5E"/>
    <w:rsid w:val="00C5146F"/>
    <w:rsid w:val="00C5174E"/>
    <w:rsid w:val="00C51786"/>
    <w:rsid w:val="00C519F7"/>
    <w:rsid w:val="00C51DEA"/>
    <w:rsid w:val="00C51E50"/>
    <w:rsid w:val="00C51F02"/>
    <w:rsid w:val="00C52109"/>
    <w:rsid w:val="00C5260D"/>
    <w:rsid w:val="00C52749"/>
    <w:rsid w:val="00C5276E"/>
    <w:rsid w:val="00C52791"/>
    <w:rsid w:val="00C52B1D"/>
    <w:rsid w:val="00C52B40"/>
    <w:rsid w:val="00C530E0"/>
    <w:rsid w:val="00C5341D"/>
    <w:rsid w:val="00C53536"/>
    <w:rsid w:val="00C5359A"/>
    <w:rsid w:val="00C5368C"/>
    <w:rsid w:val="00C53801"/>
    <w:rsid w:val="00C53975"/>
    <w:rsid w:val="00C53A0E"/>
    <w:rsid w:val="00C53A9D"/>
    <w:rsid w:val="00C53E06"/>
    <w:rsid w:val="00C53F06"/>
    <w:rsid w:val="00C540DF"/>
    <w:rsid w:val="00C5431F"/>
    <w:rsid w:val="00C54390"/>
    <w:rsid w:val="00C544DB"/>
    <w:rsid w:val="00C5484A"/>
    <w:rsid w:val="00C54A2F"/>
    <w:rsid w:val="00C54C20"/>
    <w:rsid w:val="00C54FA6"/>
    <w:rsid w:val="00C5588F"/>
    <w:rsid w:val="00C5623B"/>
    <w:rsid w:val="00C56249"/>
    <w:rsid w:val="00C569D0"/>
    <w:rsid w:val="00C56B59"/>
    <w:rsid w:val="00C56BEF"/>
    <w:rsid w:val="00C56C44"/>
    <w:rsid w:val="00C571AC"/>
    <w:rsid w:val="00C575C5"/>
    <w:rsid w:val="00C575E7"/>
    <w:rsid w:val="00C57D8E"/>
    <w:rsid w:val="00C57F41"/>
    <w:rsid w:val="00C60051"/>
    <w:rsid w:val="00C60371"/>
    <w:rsid w:val="00C60408"/>
    <w:rsid w:val="00C6042F"/>
    <w:rsid w:val="00C605F9"/>
    <w:rsid w:val="00C60BD7"/>
    <w:rsid w:val="00C615FE"/>
    <w:rsid w:val="00C619D4"/>
    <w:rsid w:val="00C61A7E"/>
    <w:rsid w:val="00C61C20"/>
    <w:rsid w:val="00C61D47"/>
    <w:rsid w:val="00C61E0B"/>
    <w:rsid w:val="00C61F64"/>
    <w:rsid w:val="00C6224F"/>
    <w:rsid w:val="00C6264C"/>
    <w:rsid w:val="00C628A2"/>
    <w:rsid w:val="00C628E5"/>
    <w:rsid w:val="00C62984"/>
    <w:rsid w:val="00C62C8C"/>
    <w:rsid w:val="00C63429"/>
    <w:rsid w:val="00C63A25"/>
    <w:rsid w:val="00C63CE8"/>
    <w:rsid w:val="00C642A2"/>
    <w:rsid w:val="00C645E4"/>
    <w:rsid w:val="00C6468A"/>
    <w:rsid w:val="00C64E12"/>
    <w:rsid w:val="00C65123"/>
    <w:rsid w:val="00C65238"/>
    <w:rsid w:val="00C65266"/>
    <w:rsid w:val="00C6530F"/>
    <w:rsid w:val="00C6544A"/>
    <w:rsid w:val="00C65C03"/>
    <w:rsid w:val="00C65DFF"/>
    <w:rsid w:val="00C65E11"/>
    <w:rsid w:val="00C65E33"/>
    <w:rsid w:val="00C66772"/>
    <w:rsid w:val="00C66790"/>
    <w:rsid w:val="00C66AE8"/>
    <w:rsid w:val="00C66BD7"/>
    <w:rsid w:val="00C66CE2"/>
    <w:rsid w:val="00C66D3F"/>
    <w:rsid w:val="00C66F00"/>
    <w:rsid w:val="00C67177"/>
    <w:rsid w:val="00C67BCE"/>
    <w:rsid w:val="00C7014A"/>
    <w:rsid w:val="00C702B6"/>
    <w:rsid w:val="00C70964"/>
    <w:rsid w:val="00C7096E"/>
    <w:rsid w:val="00C7104E"/>
    <w:rsid w:val="00C710AA"/>
    <w:rsid w:val="00C711EA"/>
    <w:rsid w:val="00C7160C"/>
    <w:rsid w:val="00C719FD"/>
    <w:rsid w:val="00C71E31"/>
    <w:rsid w:val="00C721AF"/>
    <w:rsid w:val="00C721BE"/>
    <w:rsid w:val="00C72439"/>
    <w:rsid w:val="00C729D1"/>
    <w:rsid w:val="00C72C89"/>
    <w:rsid w:val="00C72D76"/>
    <w:rsid w:val="00C72D78"/>
    <w:rsid w:val="00C72EBB"/>
    <w:rsid w:val="00C7302C"/>
    <w:rsid w:val="00C73286"/>
    <w:rsid w:val="00C73521"/>
    <w:rsid w:val="00C73803"/>
    <w:rsid w:val="00C73A06"/>
    <w:rsid w:val="00C73D6B"/>
    <w:rsid w:val="00C74446"/>
    <w:rsid w:val="00C74624"/>
    <w:rsid w:val="00C74D19"/>
    <w:rsid w:val="00C74FCF"/>
    <w:rsid w:val="00C75508"/>
    <w:rsid w:val="00C75C38"/>
    <w:rsid w:val="00C76853"/>
    <w:rsid w:val="00C76897"/>
    <w:rsid w:val="00C769AA"/>
    <w:rsid w:val="00C76A70"/>
    <w:rsid w:val="00C77594"/>
    <w:rsid w:val="00C77D5F"/>
    <w:rsid w:val="00C80035"/>
    <w:rsid w:val="00C80268"/>
    <w:rsid w:val="00C8044C"/>
    <w:rsid w:val="00C80539"/>
    <w:rsid w:val="00C80C2A"/>
    <w:rsid w:val="00C80E12"/>
    <w:rsid w:val="00C80E9B"/>
    <w:rsid w:val="00C80EAA"/>
    <w:rsid w:val="00C8118D"/>
    <w:rsid w:val="00C811C0"/>
    <w:rsid w:val="00C812B6"/>
    <w:rsid w:val="00C817E7"/>
    <w:rsid w:val="00C81A5A"/>
    <w:rsid w:val="00C81BE7"/>
    <w:rsid w:val="00C81C05"/>
    <w:rsid w:val="00C82016"/>
    <w:rsid w:val="00C820C8"/>
    <w:rsid w:val="00C821AB"/>
    <w:rsid w:val="00C8238E"/>
    <w:rsid w:val="00C82599"/>
    <w:rsid w:val="00C825C9"/>
    <w:rsid w:val="00C826F3"/>
    <w:rsid w:val="00C8283C"/>
    <w:rsid w:val="00C82E93"/>
    <w:rsid w:val="00C830E3"/>
    <w:rsid w:val="00C83462"/>
    <w:rsid w:val="00C8347D"/>
    <w:rsid w:val="00C835AE"/>
    <w:rsid w:val="00C83879"/>
    <w:rsid w:val="00C8388E"/>
    <w:rsid w:val="00C83916"/>
    <w:rsid w:val="00C83A63"/>
    <w:rsid w:val="00C83AB0"/>
    <w:rsid w:val="00C83DB4"/>
    <w:rsid w:val="00C83E7F"/>
    <w:rsid w:val="00C83F98"/>
    <w:rsid w:val="00C840F2"/>
    <w:rsid w:val="00C841BB"/>
    <w:rsid w:val="00C84455"/>
    <w:rsid w:val="00C8464F"/>
    <w:rsid w:val="00C84AC7"/>
    <w:rsid w:val="00C84F2B"/>
    <w:rsid w:val="00C850C8"/>
    <w:rsid w:val="00C85626"/>
    <w:rsid w:val="00C85821"/>
    <w:rsid w:val="00C85AE5"/>
    <w:rsid w:val="00C85D62"/>
    <w:rsid w:val="00C85DB3"/>
    <w:rsid w:val="00C85F13"/>
    <w:rsid w:val="00C861C2"/>
    <w:rsid w:val="00C8695E"/>
    <w:rsid w:val="00C86B56"/>
    <w:rsid w:val="00C86C37"/>
    <w:rsid w:val="00C86E71"/>
    <w:rsid w:val="00C86FED"/>
    <w:rsid w:val="00C872CE"/>
    <w:rsid w:val="00C872D4"/>
    <w:rsid w:val="00C87642"/>
    <w:rsid w:val="00C87B9D"/>
    <w:rsid w:val="00C87C76"/>
    <w:rsid w:val="00C9085D"/>
    <w:rsid w:val="00C908C2"/>
    <w:rsid w:val="00C908CD"/>
    <w:rsid w:val="00C911BC"/>
    <w:rsid w:val="00C91437"/>
    <w:rsid w:val="00C91440"/>
    <w:rsid w:val="00C914C0"/>
    <w:rsid w:val="00C9163F"/>
    <w:rsid w:val="00C91D5E"/>
    <w:rsid w:val="00C92037"/>
    <w:rsid w:val="00C920EC"/>
    <w:rsid w:val="00C92215"/>
    <w:rsid w:val="00C922E0"/>
    <w:rsid w:val="00C92312"/>
    <w:rsid w:val="00C92790"/>
    <w:rsid w:val="00C927A2"/>
    <w:rsid w:val="00C9300E"/>
    <w:rsid w:val="00C9316F"/>
    <w:rsid w:val="00C931FF"/>
    <w:rsid w:val="00C933AE"/>
    <w:rsid w:val="00C935DD"/>
    <w:rsid w:val="00C938F8"/>
    <w:rsid w:val="00C93914"/>
    <w:rsid w:val="00C93E74"/>
    <w:rsid w:val="00C9417F"/>
    <w:rsid w:val="00C9576E"/>
    <w:rsid w:val="00C9583F"/>
    <w:rsid w:val="00C95AAA"/>
    <w:rsid w:val="00C95CD4"/>
    <w:rsid w:val="00C96155"/>
    <w:rsid w:val="00C96A2C"/>
    <w:rsid w:val="00C97149"/>
    <w:rsid w:val="00C97228"/>
    <w:rsid w:val="00C976CB"/>
    <w:rsid w:val="00C97ACC"/>
    <w:rsid w:val="00C97B8A"/>
    <w:rsid w:val="00C97D10"/>
    <w:rsid w:val="00CA01D5"/>
    <w:rsid w:val="00CA039E"/>
    <w:rsid w:val="00CA0516"/>
    <w:rsid w:val="00CA0781"/>
    <w:rsid w:val="00CA0888"/>
    <w:rsid w:val="00CA08F4"/>
    <w:rsid w:val="00CA0CDD"/>
    <w:rsid w:val="00CA0DC0"/>
    <w:rsid w:val="00CA0EAB"/>
    <w:rsid w:val="00CA13B9"/>
    <w:rsid w:val="00CA1466"/>
    <w:rsid w:val="00CA173C"/>
    <w:rsid w:val="00CA17DF"/>
    <w:rsid w:val="00CA1CC2"/>
    <w:rsid w:val="00CA1D4E"/>
    <w:rsid w:val="00CA1D9E"/>
    <w:rsid w:val="00CA1E65"/>
    <w:rsid w:val="00CA23C5"/>
    <w:rsid w:val="00CA25E7"/>
    <w:rsid w:val="00CA275A"/>
    <w:rsid w:val="00CA29B3"/>
    <w:rsid w:val="00CA3193"/>
    <w:rsid w:val="00CA3D1A"/>
    <w:rsid w:val="00CA427F"/>
    <w:rsid w:val="00CA4470"/>
    <w:rsid w:val="00CA476C"/>
    <w:rsid w:val="00CA4B6C"/>
    <w:rsid w:val="00CA4C59"/>
    <w:rsid w:val="00CA4F7E"/>
    <w:rsid w:val="00CA53FD"/>
    <w:rsid w:val="00CA57D2"/>
    <w:rsid w:val="00CA5EC9"/>
    <w:rsid w:val="00CA602F"/>
    <w:rsid w:val="00CA65A3"/>
    <w:rsid w:val="00CA67BC"/>
    <w:rsid w:val="00CA696B"/>
    <w:rsid w:val="00CA6A66"/>
    <w:rsid w:val="00CA6CC4"/>
    <w:rsid w:val="00CA6E8B"/>
    <w:rsid w:val="00CA7289"/>
    <w:rsid w:val="00CA79E8"/>
    <w:rsid w:val="00CA7AC5"/>
    <w:rsid w:val="00CB026E"/>
    <w:rsid w:val="00CB0288"/>
    <w:rsid w:val="00CB056F"/>
    <w:rsid w:val="00CB0887"/>
    <w:rsid w:val="00CB088A"/>
    <w:rsid w:val="00CB08D7"/>
    <w:rsid w:val="00CB0E8A"/>
    <w:rsid w:val="00CB0EC7"/>
    <w:rsid w:val="00CB1073"/>
    <w:rsid w:val="00CB14EB"/>
    <w:rsid w:val="00CB1870"/>
    <w:rsid w:val="00CB1EFF"/>
    <w:rsid w:val="00CB2428"/>
    <w:rsid w:val="00CB2479"/>
    <w:rsid w:val="00CB26D1"/>
    <w:rsid w:val="00CB3052"/>
    <w:rsid w:val="00CB3092"/>
    <w:rsid w:val="00CB309E"/>
    <w:rsid w:val="00CB30E2"/>
    <w:rsid w:val="00CB311C"/>
    <w:rsid w:val="00CB32E2"/>
    <w:rsid w:val="00CB34A4"/>
    <w:rsid w:val="00CB350C"/>
    <w:rsid w:val="00CB3659"/>
    <w:rsid w:val="00CB3804"/>
    <w:rsid w:val="00CB380B"/>
    <w:rsid w:val="00CB3AAD"/>
    <w:rsid w:val="00CB3B57"/>
    <w:rsid w:val="00CB3E16"/>
    <w:rsid w:val="00CB3FF3"/>
    <w:rsid w:val="00CB4413"/>
    <w:rsid w:val="00CB44E6"/>
    <w:rsid w:val="00CB469D"/>
    <w:rsid w:val="00CB48B8"/>
    <w:rsid w:val="00CB49EE"/>
    <w:rsid w:val="00CB4E89"/>
    <w:rsid w:val="00CB4EE1"/>
    <w:rsid w:val="00CB52F2"/>
    <w:rsid w:val="00CB566A"/>
    <w:rsid w:val="00CB64AF"/>
    <w:rsid w:val="00CB6DB4"/>
    <w:rsid w:val="00CB6EBF"/>
    <w:rsid w:val="00CB6EEE"/>
    <w:rsid w:val="00CB7A4F"/>
    <w:rsid w:val="00CB7D37"/>
    <w:rsid w:val="00CB7DBF"/>
    <w:rsid w:val="00CB7FC1"/>
    <w:rsid w:val="00CC031F"/>
    <w:rsid w:val="00CC0393"/>
    <w:rsid w:val="00CC03F7"/>
    <w:rsid w:val="00CC0467"/>
    <w:rsid w:val="00CC0874"/>
    <w:rsid w:val="00CC0CCD"/>
    <w:rsid w:val="00CC0F16"/>
    <w:rsid w:val="00CC1184"/>
    <w:rsid w:val="00CC11C7"/>
    <w:rsid w:val="00CC1265"/>
    <w:rsid w:val="00CC146F"/>
    <w:rsid w:val="00CC150D"/>
    <w:rsid w:val="00CC17C3"/>
    <w:rsid w:val="00CC1980"/>
    <w:rsid w:val="00CC1A68"/>
    <w:rsid w:val="00CC1AD4"/>
    <w:rsid w:val="00CC1E02"/>
    <w:rsid w:val="00CC218D"/>
    <w:rsid w:val="00CC21DA"/>
    <w:rsid w:val="00CC2215"/>
    <w:rsid w:val="00CC2D94"/>
    <w:rsid w:val="00CC310A"/>
    <w:rsid w:val="00CC335E"/>
    <w:rsid w:val="00CC3639"/>
    <w:rsid w:val="00CC399D"/>
    <w:rsid w:val="00CC3CC5"/>
    <w:rsid w:val="00CC3CC6"/>
    <w:rsid w:val="00CC3F5E"/>
    <w:rsid w:val="00CC46CF"/>
    <w:rsid w:val="00CC478E"/>
    <w:rsid w:val="00CC4874"/>
    <w:rsid w:val="00CC4882"/>
    <w:rsid w:val="00CC4CE4"/>
    <w:rsid w:val="00CC4D64"/>
    <w:rsid w:val="00CC532A"/>
    <w:rsid w:val="00CC5529"/>
    <w:rsid w:val="00CC5753"/>
    <w:rsid w:val="00CC59E3"/>
    <w:rsid w:val="00CC59EC"/>
    <w:rsid w:val="00CC5AC1"/>
    <w:rsid w:val="00CC5DB8"/>
    <w:rsid w:val="00CC5E5A"/>
    <w:rsid w:val="00CC6281"/>
    <w:rsid w:val="00CC6468"/>
    <w:rsid w:val="00CC66FB"/>
    <w:rsid w:val="00CC67A8"/>
    <w:rsid w:val="00CC6810"/>
    <w:rsid w:val="00CC6932"/>
    <w:rsid w:val="00CC69DA"/>
    <w:rsid w:val="00CC6CEF"/>
    <w:rsid w:val="00CC714B"/>
    <w:rsid w:val="00CC7322"/>
    <w:rsid w:val="00CC746E"/>
    <w:rsid w:val="00CC755C"/>
    <w:rsid w:val="00CC7731"/>
    <w:rsid w:val="00CC778B"/>
    <w:rsid w:val="00CC77A5"/>
    <w:rsid w:val="00CC794F"/>
    <w:rsid w:val="00CC7BD3"/>
    <w:rsid w:val="00CD0541"/>
    <w:rsid w:val="00CD0847"/>
    <w:rsid w:val="00CD0BCD"/>
    <w:rsid w:val="00CD0DB8"/>
    <w:rsid w:val="00CD107F"/>
    <w:rsid w:val="00CD13C5"/>
    <w:rsid w:val="00CD1645"/>
    <w:rsid w:val="00CD1D23"/>
    <w:rsid w:val="00CD1DF9"/>
    <w:rsid w:val="00CD2021"/>
    <w:rsid w:val="00CD21D6"/>
    <w:rsid w:val="00CD222A"/>
    <w:rsid w:val="00CD25C1"/>
    <w:rsid w:val="00CD2D24"/>
    <w:rsid w:val="00CD2E82"/>
    <w:rsid w:val="00CD2FAE"/>
    <w:rsid w:val="00CD30E5"/>
    <w:rsid w:val="00CD3216"/>
    <w:rsid w:val="00CD33AD"/>
    <w:rsid w:val="00CD3594"/>
    <w:rsid w:val="00CD378D"/>
    <w:rsid w:val="00CD38B7"/>
    <w:rsid w:val="00CD38D3"/>
    <w:rsid w:val="00CD3CA2"/>
    <w:rsid w:val="00CD4E44"/>
    <w:rsid w:val="00CD4FE9"/>
    <w:rsid w:val="00CD50F1"/>
    <w:rsid w:val="00CD585F"/>
    <w:rsid w:val="00CD5C16"/>
    <w:rsid w:val="00CD5E26"/>
    <w:rsid w:val="00CD629D"/>
    <w:rsid w:val="00CD66E9"/>
    <w:rsid w:val="00CD6827"/>
    <w:rsid w:val="00CD68F6"/>
    <w:rsid w:val="00CD705C"/>
    <w:rsid w:val="00CD7082"/>
    <w:rsid w:val="00CD73F0"/>
    <w:rsid w:val="00CD7573"/>
    <w:rsid w:val="00CD7700"/>
    <w:rsid w:val="00CD7A96"/>
    <w:rsid w:val="00CD7C00"/>
    <w:rsid w:val="00CE0195"/>
    <w:rsid w:val="00CE01DF"/>
    <w:rsid w:val="00CE02B7"/>
    <w:rsid w:val="00CE04D1"/>
    <w:rsid w:val="00CE0685"/>
    <w:rsid w:val="00CE0B16"/>
    <w:rsid w:val="00CE0D75"/>
    <w:rsid w:val="00CE0DE7"/>
    <w:rsid w:val="00CE0F42"/>
    <w:rsid w:val="00CE10ED"/>
    <w:rsid w:val="00CE121D"/>
    <w:rsid w:val="00CE1249"/>
    <w:rsid w:val="00CE141E"/>
    <w:rsid w:val="00CE1761"/>
    <w:rsid w:val="00CE1886"/>
    <w:rsid w:val="00CE197D"/>
    <w:rsid w:val="00CE1A22"/>
    <w:rsid w:val="00CE1DBF"/>
    <w:rsid w:val="00CE1DF3"/>
    <w:rsid w:val="00CE21C7"/>
    <w:rsid w:val="00CE23AD"/>
    <w:rsid w:val="00CE299F"/>
    <w:rsid w:val="00CE29AC"/>
    <w:rsid w:val="00CE2B5A"/>
    <w:rsid w:val="00CE2FF2"/>
    <w:rsid w:val="00CE35B5"/>
    <w:rsid w:val="00CE3952"/>
    <w:rsid w:val="00CE3C31"/>
    <w:rsid w:val="00CE3CD7"/>
    <w:rsid w:val="00CE3DA5"/>
    <w:rsid w:val="00CE3F95"/>
    <w:rsid w:val="00CE4A55"/>
    <w:rsid w:val="00CE4C3C"/>
    <w:rsid w:val="00CE4DDB"/>
    <w:rsid w:val="00CE4E6E"/>
    <w:rsid w:val="00CE4E9C"/>
    <w:rsid w:val="00CE4F40"/>
    <w:rsid w:val="00CE5029"/>
    <w:rsid w:val="00CE54D7"/>
    <w:rsid w:val="00CE5923"/>
    <w:rsid w:val="00CE59B7"/>
    <w:rsid w:val="00CE59D3"/>
    <w:rsid w:val="00CE5DDB"/>
    <w:rsid w:val="00CE5E5B"/>
    <w:rsid w:val="00CE630C"/>
    <w:rsid w:val="00CE66B7"/>
    <w:rsid w:val="00CE671C"/>
    <w:rsid w:val="00CE67A6"/>
    <w:rsid w:val="00CE680E"/>
    <w:rsid w:val="00CE6A0F"/>
    <w:rsid w:val="00CE6E67"/>
    <w:rsid w:val="00CE7088"/>
    <w:rsid w:val="00CE7606"/>
    <w:rsid w:val="00CE7974"/>
    <w:rsid w:val="00CE7B86"/>
    <w:rsid w:val="00CE7EF7"/>
    <w:rsid w:val="00CF00DE"/>
    <w:rsid w:val="00CF0234"/>
    <w:rsid w:val="00CF067E"/>
    <w:rsid w:val="00CF141A"/>
    <w:rsid w:val="00CF1B85"/>
    <w:rsid w:val="00CF1BA8"/>
    <w:rsid w:val="00CF205D"/>
    <w:rsid w:val="00CF20D1"/>
    <w:rsid w:val="00CF22A7"/>
    <w:rsid w:val="00CF22CC"/>
    <w:rsid w:val="00CF255A"/>
    <w:rsid w:val="00CF25F8"/>
    <w:rsid w:val="00CF26AA"/>
    <w:rsid w:val="00CF2975"/>
    <w:rsid w:val="00CF2A2D"/>
    <w:rsid w:val="00CF2AC5"/>
    <w:rsid w:val="00CF2B4D"/>
    <w:rsid w:val="00CF2BB0"/>
    <w:rsid w:val="00CF2C20"/>
    <w:rsid w:val="00CF3111"/>
    <w:rsid w:val="00CF3436"/>
    <w:rsid w:val="00CF38B0"/>
    <w:rsid w:val="00CF3900"/>
    <w:rsid w:val="00CF3D35"/>
    <w:rsid w:val="00CF3DDD"/>
    <w:rsid w:val="00CF46F2"/>
    <w:rsid w:val="00CF4749"/>
    <w:rsid w:val="00CF4998"/>
    <w:rsid w:val="00CF49EA"/>
    <w:rsid w:val="00CF4CCA"/>
    <w:rsid w:val="00CF4D75"/>
    <w:rsid w:val="00CF504F"/>
    <w:rsid w:val="00CF5D03"/>
    <w:rsid w:val="00CF6026"/>
    <w:rsid w:val="00CF62EA"/>
    <w:rsid w:val="00CF647C"/>
    <w:rsid w:val="00CF6C2E"/>
    <w:rsid w:val="00CF6CB2"/>
    <w:rsid w:val="00CF6EA7"/>
    <w:rsid w:val="00CF741F"/>
    <w:rsid w:val="00CF78A6"/>
    <w:rsid w:val="00CF7903"/>
    <w:rsid w:val="00CF7A7D"/>
    <w:rsid w:val="00D00772"/>
    <w:rsid w:val="00D00A49"/>
    <w:rsid w:val="00D00DA3"/>
    <w:rsid w:val="00D00F9E"/>
    <w:rsid w:val="00D011C5"/>
    <w:rsid w:val="00D0134D"/>
    <w:rsid w:val="00D013DF"/>
    <w:rsid w:val="00D01454"/>
    <w:rsid w:val="00D02364"/>
    <w:rsid w:val="00D02639"/>
    <w:rsid w:val="00D02C22"/>
    <w:rsid w:val="00D02E48"/>
    <w:rsid w:val="00D02FAA"/>
    <w:rsid w:val="00D02FED"/>
    <w:rsid w:val="00D03303"/>
    <w:rsid w:val="00D033C5"/>
    <w:rsid w:val="00D03671"/>
    <w:rsid w:val="00D03796"/>
    <w:rsid w:val="00D03C95"/>
    <w:rsid w:val="00D03EAB"/>
    <w:rsid w:val="00D04235"/>
    <w:rsid w:val="00D04572"/>
    <w:rsid w:val="00D04750"/>
    <w:rsid w:val="00D047ED"/>
    <w:rsid w:val="00D04F3E"/>
    <w:rsid w:val="00D05C46"/>
    <w:rsid w:val="00D05D61"/>
    <w:rsid w:val="00D05E10"/>
    <w:rsid w:val="00D0625D"/>
    <w:rsid w:val="00D066FE"/>
    <w:rsid w:val="00D0695C"/>
    <w:rsid w:val="00D06ACB"/>
    <w:rsid w:val="00D07389"/>
    <w:rsid w:val="00D074D1"/>
    <w:rsid w:val="00D07535"/>
    <w:rsid w:val="00D07B46"/>
    <w:rsid w:val="00D07C83"/>
    <w:rsid w:val="00D07D00"/>
    <w:rsid w:val="00D07E4B"/>
    <w:rsid w:val="00D1042D"/>
    <w:rsid w:val="00D10874"/>
    <w:rsid w:val="00D10892"/>
    <w:rsid w:val="00D10940"/>
    <w:rsid w:val="00D10A2F"/>
    <w:rsid w:val="00D10FE6"/>
    <w:rsid w:val="00D112D9"/>
    <w:rsid w:val="00D11329"/>
    <w:rsid w:val="00D1145D"/>
    <w:rsid w:val="00D11610"/>
    <w:rsid w:val="00D11C6C"/>
    <w:rsid w:val="00D11E7D"/>
    <w:rsid w:val="00D1208A"/>
    <w:rsid w:val="00D1225E"/>
    <w:rsid w:val="00D1253A"/>
    <w:rsid w:val="00D1289F"/>
    <w:rsid w:val="00D12907"/>
    <w:rsid w:val="00D12D9B"/>
    <w:rsid w:val="00D12E72"/>
    <w:rsid w:val="00D1367B"/>
    <w:rsid w:val="00D138E0"/>
    <w:rsid w:val="00D141E6"/>
    <w:rsid w:val="00D1430D"/>
    <w:rsid w:val="00D1470E"/>
    <w:rsid w:val="00D14A37"/>
    <w:rsid w:val="00D14B40"/>
    <w:rsid w:val="00D150D5"/>
    <w:rsid w:val="00D15B35"/>
    <w:rsid w:val="00D164E9"/>
    <w:rsid w:val="00D16B64"/>
    <w:rsid w:val="00D16DF1"/>
    <w:rsid w:val="00D1703A"/>
    <w:rsid w:val="00D1730E"/>
    <w:rsid w:val="00D1731E"/>
    <w:rsid w:val="00D1739A"/>
    <w:rsid w:val="00D17557"/>
    <w:rsid w:val="00D1770D"/>
    <w:rsid w:val="00D17760"/>
    <w:rsid w:val="00D17A79"/>
    <w:rsid w:val="00D17B48"/>
    <w:rsid w:val="00D17C36"/>
    <w:rsid w:val="00D17D05"/>
    <w:rsid w:val="00D200DD"/>
    <w:rsid w:val="00D203AF"/>
    <w:rsid w:val="00D2050E"/>
    <w:rsid w:val="00D20521"/>
    <w:rsid w:val="00D20523"/>
    <w:rsid w:val="00D2078B"/>
    <w:rsid w:val="00D2093A"/>
    <w:rsid w:val="00D21634"/>
    <w:rsid w:val="00D21C02"/>
    <w:rsid w:val="00D21DE2"/>
    <w:rsid w:val="00D21E73"/>
    <w:rsid w:val="00D224F2"/>
    <w:rsid w:val="00D225FE"/>
    <w:rsid w:val="00D2289E"/>
    <w:rsid w:val="00D2295C"/>
    <w:rsid w:val="00D22A74"/>
    <w:rsid w:val="00D22F75"/>
    <w:rsid w:val="00D2316A"/>
    <w:rsid w:val="00D23505"/>
    <w:rsid w:val="00D237D8"/>
    <w:rsid w:val="00D2386E"/>
    <w:rsid w:val="00D238EE"/>
    <w:rsid w:val="00D239A0"/>
    <w:rsid w:val="00D23A16"/>
    <w:rsid w:val="00D23A7B"/>
    <w:rsid w:val="00D23DBE"/>
    <w:rsid w:val="00D241C1"/>
    <w:rsid w:val="00D2447F"/>
    <w:rsid w:val="00D24551"/>
    <w:rsid w:val="00D2516B"/>
    <w:rsid w:val="00D253A3"/>
    <w:rsid w:val="00D254A7"/>
    <w:rsid w:val="00D25565"/>
    <w:rsid w:val="00D25627"/>
    <w:rsid w:val="00D25835"/>
    <w:rsid w:val="00D25B0F"/>
    <w:rsid w:val="00D25E89"/>
    <w:rsid w:val="00D26104"/>
    <w:rsid w:val="00D263E1"/>
    <w:rsid w:val="00D269BA"/>
    <w:rsid w:val="00D26BB1"/>
    <w:rsid w:val="00D26EC4"/>
    <w:rsid w:val="00D27019"/>
    <w:rsid w:val="00D270B9"/>
    <w:rsid w:val="00D27611"/>
    <w:rsid w:val="00D277C8"/>
    <w:rsid w:val="00D278E7"/>
    <w:rsid w:val="00D27CB5"/>
    <w:rsid w:val="00D27CE4"/>
    <w:rsid w:val="00D27E22"/>
    <w:rsid w:val="00D27E87"/>
    <w:rsid w:val="00D27E8B"/>
    <w:rsid w:val="00D300F6"/>
    <w:rsid w:val="00D30498"/>
    <w:rsid w:val="00D306F5"/>
    <w:rsid w:val="00D307AE"/>
    <w:rsid w:val="00D30979"/>
    <w:rsid w:val="00D3105E"/>
    <w:rsid w:val="00D31175"/>
    <w:rsid w:val="00D314C2"/>
    <w:rsid w:val="00D31568"/>
    <w:rsid w:val="00D31731"/>
    <w:rsid w:val="00D31EDA"/>
    <w:rsid w:val="00D31F64"/>
    <w:rsid w:val="00D320DE"/>
    <w:rsid w:val="00D3299C"/>
    <w:rsid w:val="00D34224"/>
    <w:rsid w:val="00D34BC4"/>
    <w:rsid w:val="00D34BC7"/>
    <w:rsid w:val="00D35139"/>
    <w:rsid w:val="00D35147"/>
    <w:rsid w:val="00D35166"/>
    <w:rsid w:val="00D353DA"/>
    <w:rsid w:val="00D354CF"/>
    <w:rsid w:val="00D359C3"/>
    <w:rsid w:val="00D35AA9"/>
    <w:rsid w:val="00D35ABC"/>
    <w:rsid w:val="00D35ADC"/>
    <w:rsid w:val="00D35CCA"/>
    <w:rsid w:val="00D35CF7"/>
    <w:rsid w:val="00D35D45"/>
    <w:rsid w:val="00D35DF6"/>
    <w:rsid w:val="00D35FDD"/>
    <w:rsid w:val="00D35FE4"/>
    <w:rsid w:val="00D363B2"/>
    <w:rsid w:val="00D36A35"/>
    <w:rsid w:val="00D36BE1"/>
    <w:rsid w:val="00D36D0F"/>
    <w:rsid w:val="00D37061"/>
    <w:rsid w:val="00D3714A"/>
    <w:rsid w:val="00D3739D"/>
    <w:rsid w:val="00D37515"/>
    <w:rsid w:val="00D3797F"/>
    <w:rsid w:val="00D37989"/>
    <w:rsid w:val="00D37C5C"/>
    <w:rsid w:val="00D37DD4"/>
    <w:rsid w:val="00D37F4E"/>
    <w:rsid w:val="00D37F7E"/>
    <w:rsid w:val="00D400D9"/>
    <w:rsid w:val="00D40358"/>
    <w:rsid w:val="00D404B7"/>
    <w:rsid w:val="00D404C5"/>
    <w:rsid w:val="00D408D6"/>
    <w:rsid w:val="00D40A12"/>
    <w:rsid w:val="00D40C24"/>
    <w:rsid w:val="00D40CA5"/>
    <w:rsid w:val="00D41C92"/>
    <w:rsid w:val="00D41D17"/>
    <w:rsid w:val="00D420F0"/>
    <w:rsid w:val="00D4220A"/>
    <w:rsid w:val="00D4240F"/>
    <w:rsid w:val="00D42469"/>
    <w:rsid w:val="00D42628"/>
    <w:rsid w:val="00D42C0B"/>
    <w:rsid w:val="00D42D94"/>
    <w:rsid w:val="00D42E1D"/>
    <w:rsid w:val="00D4308B"/>
    <w:rsid w:val="00D434D9"/>
    <w:rsid w:val="00D43653"/>
    <w:rsid w:val="00D43E52"/>
    <w:rsid w:val="00D4402A"/>
    <w:rsid w:val="00D4411D"/>
    <w:rsid w:val="00D4445B"/>
    <w:rsid w:val="00D44752"/>
    <w:rsid w:val="00D4497E"/>
    <w:rsid w:val="00D45369"/>
    <w:rsid w:val="00D4549A"/>
    <w:rsid w:val="00D46042"/>
    <w:rsid w:val="00D4635A"/>
    <w:rsid w:val="00D46556"/>
    <w:rsid w:val="00D46CCB"/>
    <w:rsid w:val="00D47343"/>
    <w:rsid w:val="00D47475"/>
    <w:rsid w:val="00D478B5"/>
    <w:rsid w:val="00D47BBE"/>
    <w:rsid w:val="00D47C06"/>
    <w:rsid w:val="00D47D02"/>
    <w:rsid w:val="00D47D2B"/>
    <w:rsid w:val="00D47D8B"/>
    <w:rsid w:val="00D47E97"/>
    <w:rsid w:val="00D47F63"/>
    <w:rsid w:val="00D509CE"/>
    <w:rsid w:val="00D50A04"/>
    <w:rsid w:val="00D50A5B"/>
    <w:rsid w:val="00D50AB7"/>
    <w:rsid w:val="00D50AF1"/>
    <w:rsid w:val="00D50B6D"/>
    <w:rsid w:val="00D50C6E"/>
    <w:rsid w:val="00D50E53"/>
    <w:rsid w:val="00D50FB1"/>
    <w:rsid w:val="00D51747"/>
    <w:rsid w:val="00D51DE5"/>
    <w:rsid w:val="00D51EE8"/>
    <w:rsid w:val="00D522BB"/>
    <w:rsid w:val="00D52BE2"/>
    <w:rsid w:val="00D52E44"/>
    <w:rsid w:val="00D53081"/>
    <w:rsid w:val="00D531D8"/>
    <w:rsid w:val="00D5352B"/>
    <w:rsid w:val="00D537E9"/>
    <w:rsid w:val="00D53A1C"/>
    <w:rsid w:val="00D53D4B"/>
    <w:rsid w:val="00D53ED3"/>
    <w:rsid w:val="00D540B9"/>
    <w:rsid w:val="00D5426E"/>
    <w:rsid w:val="00D54687"/>
    <w:rsid w:val="00D54CD1"/>
    <w:rsid w:val="00D54D48"/>
    <w:rsid w:val="00D55426"/>
    <w:rsid w:val="00D5549C"/>
    <w:rsid w:val="00D5561E"/>
    <w:rsid w:val="00D55A2F"/>
    <w:rsid w:val="00D55ACC"/>
    <w:rsid w:val="00D55F90"/>
    <w:rsid w:val="00D56012"/>
    <w:rsid w:val="00D56099"/>
    <w:rsid w:val="00D56874"/>
    <w:rsid w:val="00D56AC4"/>
    <w:rsid w:val="00D56D11"/>
    <w:rsid w:val="00D57018"/>
    <w:rsid w:val="00D571D5"/>
    <w:rsid w:val="00D57990"/>
    <w:rsid w:val="00D57A3E"/>
    <w:rsid w:val="00D57D0B"/>
    <w:rsid w:val="00D57FCE"/>
    <w:rsid w:val="00D606DE"/>
    <w:rsid w:val="00D607D0"/>
    <w:rsid w:val="00D60990"/>
    <w:rsid w:val="00D60E66"/>
    <w:rsid w:val="00D61196"/>
    <w:rsid w:val="00D61298"/>
    <w:rsid w:val="00D618FA"/>
    <w:rsid w:val="00D61C4E"/>
    <w:rsid w:val="00D61C71"/>
    <w:rsid w:val="00D61F9E"/>
    <w:rsid w:val="00D62297"/>
    <w:rsid w:val="00D62321"/>
    <w:rsid w:val="00D625B7"/>
    <w:rsid w:val="00D629D2"/>
    <w:rsid w:val="00D62E0D"/>
    <w:rsid w:val="00D62F29"/>
    <w:rsid w:val="00D633FA"/>
    <w:rsid w:val="00D6344C"/>
    <w:rsid w:val="00D634E8"/>
    <w:rsid w:val="00D63AF3"/>
    <w:rsid w:val="00D63B8F"/>
    <w:rsid w:val="00D63BEA"/>
    <w:rsid w:val="00D63E80"/>
    <w:rsid w:val="00D63EBE"/>
    <w:rsid w:val="00D642FC"/>
    <w:rsid w:val="00D64519"/>
    <w:rsid w:val="00D64E4E"/>
    <w:rsid w:val="00D64E70"/>
    <w:rsid w:val="00D64EDF"/>
    <w:rsid w:val="00D65569"/>
    <w:rsid w:val="00D65730"/>
    <w:rsid w:val="00D6585C"/>
    <w:rsid w:val="00D65943"/>
    <w:rsid w:val="00D65A64"/>
    <w:rsid w:val="00D65A94"/>
    <w:rsid w:val="00D65C40"/>
    <w:rsid w:val="00D65DB0"/>
    <w:rsid w:val="00D65DCF"/>
    <w:rsid w:val="00D66083"/>
    <w:rsid w:val="00D6624C"/>
    <w:rsid w:val="00D66260"/>
    <w:rsid w:val="00D66640"/>
    <w:rsid w:val="00D66A51"/>
    <w:rsid w:val="00D66AD3"/>
    <w:rsid w:val="00D66F37"/>
    <w:rsid w:val="00D66F97"/>
    <w:rsid w:val="00D67040"/>
    <w:rsid w:val="00D67303"/>
    <w:rsid w:val="00D677CC"/>
    <w:rsid w:val="00D677FF"/>
    <w:rsid w:val="00D67983"/>
    <w:rsid w:val="00D67BAC"/>
    <w:rsid w:val="00D67D25"/>
    <w:rsid w:val="00D703C3"/>
    <w:rsid w:val="00D706F7"/>
    <w:rsid w:val="00D70CAA"/>
    <w:rsid w:val="00D70CC5"/>
    <w:rsid w:val="00D70D80"/>
    <w:rsid w:val="00D70DD8"/>
    <w:rsid w:val="00D712C8"/>
    <w:rsid w:val="00D71386"/>
    <w:rsid w:val="00D713F0"/>
    <w:rsid w:val="00D71A4C"/>
    <w:rsid w:val="00D71D68"/>
    <w:rsid w:val="00D72163"/>
    <w:rsid w:val="00D7222E"/>
    <w:rsid w:val="00D7250E"/>
    <w:rsid w:val="00D726C2"/>
    <w:rsid w:val="00D72998"/>
    <w:rsid w:val="00D73451"/>
    <w:rsid w:val="00D7366E"/>
    <w:rsid w:val="00D73872"/>
    <w:rsid w:val="00D7398B"/>
    <w:rsid w:val="00D73A32"/>
    <w:rsid w:val="00D73AB3"/>
    <w:rsid w:val="00D7419B"/>
    <w:rsid w:val="00D742AE"/>
    <w:rsid w:val="00D74705"/>
    <w:rsid w:val="00D7482D"/>
    <w:rsid w:val="00D74D5F"/>
    <w:rsid w:val="00D74DCE"/>
    <w:rsid w:val="00D74EA4"/>
    <w:rsid w:val="00D74F2E"/>
    <w:rsid w:val="00D7517F"/>
    <w:rsid w:val="00D7528A"/>
    <w:rsid w:val="00D75908"/>
    <w:rsid w:val="00D75B78"/>
    <w:rsid w:val="00D75BB9"/>
    <w:rsid w:val="00D7618E"/>
    <w:rsid w:val="00D7632B"/>
    <w:rsid w:val="00D76B2B"/>
    <w:rsid w:val="00D76BF0"/>
    <w:rsid w:val="00D76C02"/>
    <w:rsid w:val="00D76D01"/>
    <w:rsid w:val="00D770E9"/>
    <w:rsid w:val="00D7714E"/>
    <w:rsid w:val="00D7755F"/>
    <w:rsid w:val="00D77620"/>
    <w:rsid w:val="00D777CC"/>
    <w:rsid w:val="00D778F7"/>
    <w:rsid w:val="00D779F9"/>
    <w:rsid w:val="00D77B71"/>
    <w:rsid w:val="00D77C70"/>
    <w:rsid w:val="00D80924"/>
    <w:rsid w:val="00D809EE"/>
    <w:rsid w:val="00D810DE"/>
    <w:rsid w:val="00D81811"/>
    <w:rsid w:val="00D81A2A"/>
    <w:rsid w:val="00D81A5A"/>
    <w:rsid w:val="00D81C80"/>
    <w:rsid w:val="00D81DF9"/>
    <w:rsid w:val="00D81E0F"/>
    <w:rsid w:val="00D82C2C"/>
    <w:rsid w:val="00D82EF7"/>
    <w:rsid w:val="00D82F40"/>
    <w:rsid w:val="00D83486"/>
    <w:rsid w:val="00D836B2"/>
    <w:rsid w:val="00D83AB1"/>
    <w:rsid w:val="00D83AF5"/>
    <w:rsid w:val="00D83D3F"/>
    <w:rsid w:val="00D83E5A"/>
    <w:rsid w:val="00D83F9F"/>
    <w:rsid w:val="00D83FD0"/>
    <w:rsid w:val="00D84626"/>
    <w:rsid w:val="00D84699"/>
    <w:rsid w:val="00D848CC"/>
    <w:rsid w:val="00D84ABD"/>
    <w:rsid w:val="00D84CA9"/>
    <w:rsid w:val="00D8533C"/>
    <w:rsid w:val="00D85A76"/>
    <w:rsid w:val="00D85AFA"/>
    <w:rsid w:val="00D86469"/>
    <w:rsid w:val="00D86812"/>
    <w:rsid w:val="00D86BC0"/>
    <w:rsid w:val="00D86FC9"/>
    <w:rsid w:val="00D8704D"/>
    <w:rsid w:val="00D8710D"/>
    <w:rsid w:val="00D87C55"/>
    <w:rsid w:val="00D87F23"/>
    <w:rsid w:val="00D90195"/>
    <w:rsid w:val="00D90620"/>
    <w:rsid w:val="00D906AF"/>
    <w:rsid w:val="00D907D3"/>
    <w:rsid w:val="00D90B60"/>
    <w:rsid w:val="00D90B92"/>
    <w:rsid w:val="00D90D0D"/>
    <w:rsid w:val="00D90DD5"/>
    <w:rsid w:val="00D91453"/>
    <w:rsid w:val="00D914B4"/>
    <w:rsid w:val="00D91B25"/>
    <w:rsid w:val="00D922ED"/>
    <w:rsid w:val="00D922FF"/>
    <w:rsid w:val="00D925AE"/>
    <w:rsid w:val="00D925C9"/>
    <w:rsid w:val="00D92809"/>
    <w:rsid w:val="00D92C5E"/>
    <w:rsid w:val="00D92C82"/>
    <w:rsid w:val="00D92D6A"/>
    <w:rsid w:val="00D93448"/>
    <w:rsid w:val="00D93486"/>
    <w:rsid w:val="00D9360B"/>
    <w:rsid w:val="00D9369D"/>
    <w:rsid w:val="00D93A53"/>
    <w:rsid w:val="00D93B24"/>
    <w:rsid w:val="00D93BDC"/>
    <w:rsid w:val="00D940A0"/>
    <w:rsid w:val="00D94141"/>
    <w:rsid w:val="00D944D2"/>
    <w:rsid w:val="00D94536"/>
    <w:rsid w:val="00D94871"/>
    <w:rsid w:val="00D9497E"/>
    <w:rsid w:val="00D94F1D"/>
    <w:rsid w:val="00D9550D"/>
    <w:rsid w:val="00D9559D"/>
    <w:rsid w:val="00D9573A"/>
    <w:rsid w:val="00D95773"/>
    <w:rsid w:val="00D9598E"/>
    <w:rsid w:val="00D95A1B"/>
    <w:rsid w:val="00D95E55"/>
    <w:rsid w:val="00D95F61"/>
    <w:rsid w:val="00D95F77"/>
    <w:rsid w:val="00D96089"/>
    <w:rsid w:val="00D96123"/>
    <w:rsid w:val="00D962D0"/>
    <w:rsid w:val="00D964B3"/>
    <w:rsid w:val="00D9686C"/>
    <w:rsid w:val="00D96AB7"/>
    <w:rsid w:val="00D96B4E"/>
    <w:rsid w:val="00D96CDF"/>
    <w:rsid w:val="00D96EBF"/>
    <w:rsid w:val="00D97A96"/>
    <w:rsid w:val="00D97D15"/>
    <w:rsid w:val="00D97E8C"/>
    <w:rsid w:val="00DA031E"/>
    <w:rsid w:val="00DA0326"/>
    <w:rsid w:val="00DA04B9"/>
    <w:rsid w:val="00DA0553"/>
    <w:rsid w:val="00DA06C0"/>
    <w:rsid w:val="00DA1035"/>
    <w:rsid w:val="00DA1B3E"/>
    <w:rsid w:val="00DA2447"/>
    <w:rsid w:val="00DA2772"/>
    <w:rsid w:val="00DA2827"/>
    <w:rsid w:val="00DA2D49"/>
    <w:rsid w:val="00DA3855"/>
    <w:rsid w:val="00DA3872"/>
    <w:rsid w:val="00DA389F"/>
    <w:rsid w:val="00DA38CD"/>
    <w:rsid w:val="00DA38EA"/>
    <w:rsid w:val="00DA3E61"/>
    <w:rsid w:val="00DA3F50"/>
    <w:rsid w:val="00DA3FC6"/>
    <w:rsid w:val="00DA4307"/>
    <w:rsid w:val="00DA43D2"/>
    <w:rsid w:val="00DA43DB"/>
    <w:rsid w:val="00DA4422"/>
    <w:rsid w:val="00DA4437"/>
    <w:rsid w:val="00DA4531"/>
    <w:rsid w:val="00DA462B"/>
    <w:rsid w:val="00DA4778"/>
    <w:rsid w:val="00DA48BD"/>
    <w:rsid w:val="00DA4BAF"/>
    <w:rsid w:val="00DA4D22"/>
    <w:rsid w:val="00DA4FA6"/>
    <w:rsid w:val="00DA517A"/>
    <w:rsid w:val="00DA51DD"/>
    <w:rsid w:val="00DA52D4"/>
    <w:rsid w:val="00DA52EC"/>
    <w:rsid w:val="00DA534A"/>
    <w:rsid w:val="00DA598A"/>
    <w:rsid w:val="00DA5B5B"/>
    <w:rsid w:val="00DA6133"/>
    <w:rsid w:val="00DA646C"/>
    <w:rsid w:val="00DA65D2"/>
    <w:rsid w:val="00DA68CE"/>
    <w:rsid w:val="00DA6B15"/>
    <w:rsid w:val="00DA6C1A"/>
    <w:rsid w:val="00DA6C2E"/>
    <w:rsid w:val="00DA6CE8"/>
    <w:rsid w:val="00DA6DFD"/>
    <w:rsid w:val="00DA6ECF"/>
    <w:rsid w:val="00DA7007"/>
    <w:rsid w:val="00DA716C"/>
    <w:rsid w:val="00DA723A"/>
    <w:rsid w:val="00DA739A"/>
    <w:rsid w:val="00DA75C4"/>
    <w:rsid w:val="00DA760C"/>
    <w:rsid w:val="00DA77D1"/>
    <w:rsid w:val="00DA7905"/>
    <w:rsid w:val="00DA7B33"/>
    <w:rsid w:val="00DA7C44"/>
    <w:rsid w:val="00DA7F11"/>
    <w:rsid w:val="00DB01C5"/>
    <w:rsid w:val="00DB02DF"/>
    <w:rsid w:val="00DB0726"/>
    <w:rsid w:val="00DB0803"/>
    <w:rsid w:val="00DB0CC2"/>
    <w:rsid w:val="00DB0CCE"/>
    <w:rsid w:val="00DB0D76"/>
    <w:rsid w:val="00DB12C9"/>
    <w:rsid w:val="00DB1C33"/>
    <w:rsid w:val="00DB1DD7"/>
    <w:rsid w:val="00DB1E91"/>
    <w:rsid w:val="00DB2264"/>
    <w:rsid w:val="00DB2289"/>
    <w:rsid w:val="00DB22ED"/>
    <w:rsid w:val="00DB2909"/>
    <w:rsid w:val="00DB2F5F"/>
    <w:rsid w:val="00DB3035"/>
    <w:rsid w:val="00DB3191"/>
    <w:rsid w:val="00DB33BE"/>
    <w:rsid w:val="00DB37E1"/>
    <w:rsid w:val="00DB3866"/>
    <w:rsid w:val="00DB3A0C"/>
    <w:rsid w:val="00DB3EE1"/>
    <w:rsid w:val="00DB4347"/>
    <w:rsid w:val="00DB4350"/>
    <w:rsid w:val="00DB43BF"/>
    <w:rsid w:val="00DB484A"/>
    <w:rsid w:val="00DB4986"/>
    <w:rsid w:val="00DB4EE1"/>
    <w:rsid w:val="00DB515F"/>
    <w:rsid w:val="00DB5204"/>
    <w:rsid w:val="00DB523F"/>
    <w:rsid w:val="00DB5382"/>
    <w:rsid w:val="00DB5472"/>
    <w:rsid w:val="00DB5537"/>
    <w:rsid w:val="00DB5924"/>
    <w:rsid w:val="00DB593A"/>
    <w:rsid w:val="00DB5AC3"/>
    <w:rsid w:val="00DB62E2"/>
    <w:rsid w:val="00DB63EF"/>
    <w:rsid w:val="00DB680F"/>
    <w:rsid w:val="00DB683B"/>
    <w:rsid w:val="00DB6B71"/>
    <w:rsid w:val="00DB6B9A"/>
    <w:rsid w:val="00DB6FAF"/>
    <w:rsid w:val="00DB6FCE"/>
    <w:rsid w:val="00DB7171"/>
    <w:rsid w:val="00DB728A"/>
    <w:rsid w:val="00DB73D1"/>
    <w:rsid w:val="00DB7447"/>
    <w:rsid w:val="00DB7655"/>
    <w:rsid w:val="00DB792D"/>
    <w:rsid w:val="00DB7961"/>
    <w:rsid w:val="00DB7C0E"/>
    <w:rsid w:val="00DC0179"/>
    <w:rsid w:val="00DC0392"/>
    <w:rsid w:val="00DC05FD"/>
    <w:rsid w:val="00DC090E"/>
    <w:rsid w:val="00DC0B7C"/>
    <w:rsid w:val="00DC110F"/>
    <w:rsid w:val="00DC1463"/>
    <w:rsid w:val="00DC14F3"/>
    <w:rsid w:val="00DC153E"/>
    <w:rsid w:val="00DC1AB0"/>
    <w:rsid w:val="00DC1C63"/>
    <w:rsid w:val="00DC1F3C"/>
    <w:rsid w:val="00DC24F3"/>
    <w:rsid w:val="00DC270F"/>
    <w:rsid w:val="00DC27D5"/>
    <w:rsid w:val="00DC27E5"/>
    <w:rsid w:val="00DC34E5"/>
    <w:rsid w:val="00DC39CD"/>
    <w:rsid w:val="00DC3A1B"/>
    <w:rsid w:val="00DC3BB2"/>
    <w:rsid w:val="00DC3D27"/>
    <w:rsid w:val="00DC4157"/>
    <w:rsid w:val="00DC4303"/>
    <w:rsid w:val="00DC45DC"/>
    <w:rsid w:val="00DC486A"/>
    <w:rsid w:val="00DC4963"/>
    <w:rsid w:val="00DC4C92"/>
    <w:rsid w:val="00DC4E95"/>
    <w:rsid w:val="00DC5192"/>
    <w:rsid w:val="00DC51FD"/>
    <w:rsid w:val="00DC541C"/>
    <w:rsid w:val="00DC54AC"/>
    <w:rsid w:val="00DC5682"/>
    <w:rsid w:val="00DC57DF"/>
    <w:rsid w:val="00DC594C"/>
    <w:rsid w:val="00DC59FA"/>
    <w:rsid w:val="00DC630C"/>
    <w:rsid w:val="00DC63F1"/>
    <w:rsid w:val="00DC6751"/>
    <w:rsid w:val="00DC73CB"/>
    <w:rsid w:val="00DC76C3"/>
    <w:rsid w:val="00DC7808"/>
    <w:rsid w:val="00DC7C08"/>
    <w:rsid w:val="00DC7E2D"/>
    <w:rsid w:val="00DC7F28"/>
    <w:rsid w:val="00DD00E5"/>
    <w:rsid w:val="00DD034A"/>
    <w:rsid w:val="00DD04DC"/>
    <w:rsid w:val="00DD0C51"/>
    <w:rsid w:val="00DD0E0E"/>
    <w:rsid w:val="00DD0F28"/>
    <w:rsid w:val="00DD0FB0"/>
    <w:rsid w:val="00DD1364"/>
    <w:rsid w:val="00DD1605"/>
    <w:rsid w:val="00DD1B92"/>
    <w:rsid w:val="00DD1BCE"/>
    <w:rsid w:val="00DD21CC"/>
    <w:rsid w:val="00DD2AAE"/>
    <w:rsid w:val="00DD2F14"/>
    <w:rsid w:val="00DD30F0"/>
    <w:rsid w:val="00DD31B3"/>
    <w:rsid w:val="00DD31E1"/>
    <w:rsid w:val="00DD344D"/>
    <w:rsid w:val="00DD39AD"/>
    <w:rsid w:val="00DD3B8A"/>
    <w:rsid w:val="00DD3B8D"/>
    <w:rsid w:val="00DD3E97"/>
    <w:rsid w:val="00DD4284"/>
    <w:rsid w:val="00DD42EE"/>
    <w:rsid w:val="00DD4EC6"/>
    <w:rsid w:val="00DD4EF5"/>
    <w:rsid w:val="00DD577C"/>
    <w:rsid w:val="00DD593B"/>
    <w:rsid w:val="00DD5A58"/>
    <w:rsid w:val="00DD62B2"/>
    <w:rsid w:val="00DD656E"/>
    <w:rsid w:val="00DD66EB"/>
    <w:rsid w:val="00DD67A6"/>
    <w:rsid w:val="00DD6885"/>
    <w:rsid w:val="00DD6A8D"/>
    <w:rsid w:val="00DD6E6D"/>
    <w:rsid w:val="00DD718B"/>
    <w:rsid w:val="00DD7A0B"/>
    <w:rsid w:val="00DD7FA9"/>
    <w:rsid w:val="00DE01F2"/>
    <w:rsid w:val="00DE0219"/>
    <w:rsid w:val="00DE034D"/>
    <w:rsid w:val="00DE04B2"/>
    <w:rsid w:val="00DE155D"/>
    <w:rsid w:val="00DE15C0"/>
    <w:rsid w:val="00DE17FD"/>
    <w:rsid w:val="00DE1851"/>
    <w:rsid w:val="00DE194C"/>
    <w:rsid w:val="00DE1A34"/>
    <w:rsid w:val="00DE23F5"/>
    <w:rsid w:val="00DE249B"/>
    <w:rsid w:val="00DE2512"/>
    <w:rsid w:val="00DE28A3"/>
    <w:rsid w:val="00DE29FD"/>
    <w:rsid w:val="00DE2A09"/>
    <w:rsid w:val="00DE2B16"/>
    <w:rsid w:val="00DE2C5C"/>
    <w:rsid w:val="00DE337A"/>
    <w:rsid w:val="00DE3A53"/>
    <w:rsid w:val="00DE406E"/>
    <w:rsid w:val="00DE42B2"/>
    <w:rsid w:val="00DE4360"/>
    <w:rsid w:val="00DE43EB"/>
    <w:rsid w:val="00DE4AE9"/>
    <w:rsid w:val="00DE4BB2"/>
    <w:rsid w:val="00DE503D"/>
    <w:rsid w:val="00DE53C7"/>
    <w:rsid w:val="00DE5662"/>
    <w:rsid w:val="00DE574C"/>
    <w:rsid w:val="00DE59B4"/>
    <w:rsid w:val="00DE5DBA"/>
    <w:rsid w:val="00DE60D2"/>
    <w:rsid w:val="00DE6291"/>
    <w:rsid w:val="00DE64AD"/>
    <w:rsid w:val="00DE684D"/>
    <w:rsid w:val="00DE689E"/>
    <w:rsid w:val="00DE6A2A"/>
    <w:rsid w:val="00DE6E54"/>
    <w:rsid w:val="00DE7364"/>
    <w:rsid w:val="00DE746C"/>
    <w:rsid w:val="00DE76B1"/>
    <w:rsid w:val="00DE79FA"/>
    <w:rsid w:val="00DE7ADC"/>
    <w:rsid w:val="00DE7FC4"/>
    <w:rsid w:val="00DF0064"/>
    <w:rsid w:val="00DF047B"/>
    <w:rsid w:val="00DF0752"/>
    <w:rsid w:val="00DF0779"/>
    <w:rsid w:val="00DF1200"/>
    <w:rsid w:val="00DF15A9"/>
    <w:rsid w:val="00DF1817"/>
    <w:rsid w:val="00DF1A39"/>
    <w:rsid w:val="00DF1ABC"/>
    <w:rsid w:val="00DF1C98"/>
    <w:rsid w:val="00DF218D"/>
    <w:rsid w:val="00DF25CD"/>
    <w:rsid w:val="00DF2754"/>
    <w:rsid w:val="00DF2983"/>
    <w:rsid w:val="00DF2A95"/>
    <w:rsid w:val="00DF2DE8"/>
    <w:rsid w:val="00DF324D"/>
    <w:rsid w:val="00DF3299"/>
    <w:rsid w:val="00DF33C3"/>
    <w:rsid w:val="00DF3D5B"/>
    <w:rsid w:val="00DF3DCD"/>
    <w:rsid w:val="00DF4339"/>
    <w:rsid w:val="00DF4D39"/>
    <w:rsid w:val="00DF4E6B"/>
    <w:rsid w:val="00DF5248"/>
    <w:rsid w:val="00DF5BBE"/>
    <w:rsid w:val="00DF5C60"/>
    <w:rsid w:val="00DF5EBA"/>
    <w:rsid w:val="00DF606C"/>
    <w:rsid w:val="00DF65FD"/>
    <w:rsid w:val="00DF6830"/>
    <w:rsid w:val="00DF6A65"/>
    <w:rsid w:val="00DF6BCF"/>
    <w:rsid w:val="00DF6C61"/>
    <w:rsid w:val="00DF6E1E"/>
    <w:rsid w:val="00DF7110"/>
    <w:rsid w:val="00DF759D"/>
    <w:rsid w:val="00DF7620"/>
    <w:rsid w:val="00DF7691"/>
    <w:rsid w:val="00DF7A93"/>
    <w:rsid w:val="00DF7AFC"/>
    <w:rsid w:val="00DF7B1E"/>
    <w:rsid w:val="00E01368"/>
    <w:rsid w:val="00E0159C"/>
    <w:rsid w:val="00E01952"/>
    <w:rsid w:val="00E01C89"/>
    <w:rsid w:val="00E02767"/>
    <w:rsid w:val="00E02984"/>
    <w:rsid w:val="00E02C08"/>
    <w:rsid w:val="00E02E3D"/>
    <w:rsid w:val="00E02F27"/>
    <w:rsid w:val="00E03480"/>
    <w:rsid w:val="00E0350A"/>
    <w:rsid w:val="00E03799"/>
    <w:rsid w:val="00E03B8C"/>
    <w:rsid w:val="00E03C28"/>
    <w:rsid w:val="00E04784"/>
    <w:rsid w:val="00E04B73"/>
    <w:rsid w:val="00E0509D"/>
    <w:rsid w:val="00E059FB"/>
    <w:rsid w:val="00E05C9E"/>
    <w:rsid w:val="00E05CC1"/>
    <w:rsid w:val="00E068F5"/>
    <w:rsid w:val="00E06E1B"/>
    <w:rsid w:val="00E07032"/>
    <w:rsid w:val="00E07BA6"/>
    <w:rsid w:val="00E07DB3"/>
    <w:rsid w:val="00E07F50"/>
    <w:rsid w:val="00E07F8F"/>
    <w:rsid w:val="00E10067"/>
    <w:rsid w:val="00E10288"/>
    <w:rsid w:val="00E10299"/>
    <w:rsid w:val="00E1047F"/>
    <w:rsid w:val="00E104C2"/>
    <w:rsid w:val="00E10694"/>
    <w:rsid w:val="00E10975"/>
    <w:rsid w:val="00E10D7A"/>
    <w:rsid w:val="00E11204"/>
    <w:rsid w:val="00E1122A"/>
    <w:rsid w:val="00E115F1"/>
    <w:rsid w:val="00E118ED"/>
    <w:rsid w:val="00E11D93"/>
    <w:rsid w:val="00E1213F"/>
    <w:rsid w:val="00E122E6"/>
    <w:rsid w:val="00E12870"/>
    <w:rsid w:val="00E12C64"/>
    <w:rsid w:val="00E130F2"/>
    <w:rsid w:val="00E13DE8"/>
    <w:rsid w:val="00E143E5"/>
    <w:rsid w:val="00E144EE"/>
    <w:rsid w:val="00E1483A"/>
    <w:rsid w:val="00E14BD2"/>
    <w:rsid w:val="00E14DD8"/>
    <w:rsid w:val="00E14E43"/>
    <w:rsid w:val="00E14FE6"/>
    <w:rsid w:val="00E15103"/>
    <w:rsid w:val="00E1521F"/>
    <w:rsid w:val="00E1594B"/>
    <w:rsid w:val="00E1594E"/>
    <w:rsid w:val="00E15A1D"/>
    <w:rsid w:val="00E15CD9"/>
    <w:rsid w:val="00E15E18"/>
    <w:rsid w:val="00E15E7E"/>
    <w:rsid w:val="00E16347"/>
    <w:rsid w:val="00E16348"/>
    <w:rsid w:val="00E164A0"/>
    <w:rsid w:val="00E165F6"/>
    <w:rsid w:val="00E16B6B"/>
    <w:rsid w:val="00E17000"/>
    <w:rsid w:val="00E17214"/>
    <w:rsid w:val="00E174A9"/>
    <w:rsid w:val="00E177F8"/>
    <w:rsid w:val="00E178E5"/>
    <w:rsid w:val="00E1799C"/>
    <w:rsid w:val="00E179B6"/>
    <w:rsid w:val="00E179CD"/>
    <w:rsid w:val="00E17AD0"/>
    <w:rsid w:val="00E20081"/>
    <w:rsid w:val="00E203FE"/>
    <w:rsid w:val="00E2058E"/>
    <w:rsid w:val="00E20851"/>
    <w:rsid w:val="00E21262"/>
    <w:rsid w:val="00E21BCF"/>
    <w:rsid w:val="00E21E97"/>
    <w:rsid w:val="00E2222A"/>
    <w:rsid w:val="00E228E6"/>
    <w:rsid w:val="00E232BD"/>
    <w:rsid w:val="00E2342A"/>
    <w:rsid w:val="00E2360C"/>
    <w:rsid w:val="00E23991"/>
    <w:rsid w:val="00E24692"/>
    <w:rsid w:val="00E248FB"/>
    <w:rsid w:val="00E2494A"/>
    <w:rsid w:val="00E24BEC"/>
    <w:rsid w:val="00E24DCE"/>
    <w:rsid w:val="00E24EBC"/>
    <w:rsid w:val="00E25077"/>
    <w:rsid w:val="00E257C1"/>
    <w:rsid w:val="00E25B65"/>
    <w:rsid w:val="00E25B66"/>
    <w:rsid w:val="00E25C43"/>
    <w:rsid w:val="00E261E3"/>
    <w:rsid w:val="00E2622C"/>
    <w:rsid w:val="00E26846"/>
    <w:rsid w:val="00E268D7"/>
    <w:rsid w:val="00E269C2"/>
    <w:rsid w:val="00E26F75"/>
    <w:rsid w:val="00E2715D"/>
    <w:rsid w:val="00E2747A"/>
    <w:rsid w:val="00E27A6A"/>
    <w:rsid w:val="00E300D7"/>
    <w:rsid w:val="00E30252"/>
    <w:rsid w:val="00E30410"/>
    <w:rsid w:val="00E30691"/>
    <w:rsid w:val="00E3109A"/>
    <w:rsid w:val="00E314BE"/>
    <w:rsid w:val="00E319FF"/>
    <w:rsid w:val="00E31E5F"/>
    <w:rsid w:val="00E32466"/>
    <w:rsid w:val="00E32703"/>
    <w:rsid w:val="00E32706"/>
    <w:rsid w:val="00E328C7"/>
    <w:rsid w:val="00E333CF"/>
    <w:rsid w:val="00E333E7"/>
    <w:rsid w:val="00E338AE"/>
    <w:rsid w:val="00E33C4A"/>
    <w:rsid w:val="00E34282"/>
    <w:rsid w:val="00E3434C"/>
    <w:rsid w:val="00E34C86"/>
    <w:rsid w:val="00E34CD4"/>
    <w:rsid w:val="00E34EEF"/>
    <w:rsid w:val="00E35119"/>
    <w:rsid w:val="00E35332"/>
    <w:rsid w:val="00E35AE1"/>
    <w:rsid w:val="00E35D35"/>
    <w:rsid w:val="00E365FD"/>
    <w:rsid w:val="00E36A0D"/>
    <w:rsid w:val="00E36B69"/>
    <w:rsid w:val="00E36C0B"/>
    <w:rsid w:val="00E36C47"/>
    <w:rsid w:val="00E36E1C"/>
    <w:rsid w:val="00E37027"/>
    <w:rsid w:val="00E3718A"/>
    <w:rsid w:val="00E372AA"/>
    <w:rsid w:val="00E372EC"/>
    <w:rsid w:val="00E378FB"/>
    <w:rsid w:val="00E37B60"/>
    <w:rsid w:val="00E400DF"/>
    <w:rsid w:val="00E401C9"/>
    <w:rsid w:val="00E40447"/>
    <w:rsid w:val="00E41405"/>
    <w:rsid w:val="00E4160E"/>
    <w:rsid w:val="00E41634"/>
    <w:rsid w:val="00E4169C"/>
    <w:rsid w:val="00E416A7"/>
    <w:rsid w:val="00E41E23"/>
    <w:rsid w:val="00E41F2D"/>
    <w:rsid w:val="00E42003"/>
    <w:rsid w:val="00E42220"/>
    <w:rsid w:val="00E423FD"/>
    <w:rsid w:val="00E429D1"/>
    <w:rsid w:val="00E4307B"/>
    <w:rsid w:val="00E435DE"/>
    <w:rsid w:val="00E43DE7"/>
    <w:rsid w:val="00E43F58"/>
    <w:rsid w:val="00E43FB5"/>
    <w:rsid w:val="00E44328"/>
    <w:rsid w:val="00E44587"/>
    <w:rsid w:val="00E44682"/>
    <w:rsid w:val="00E4481E"/>
    <w:rsid w:val="00E4517B"/>
    <w:rsid w:val="00E453CB"/>
    <w:rsid w:val="00E45FD4"/>
    <w:rsid w:val="00E46492"/>
    <w:rsid w:val="00E4658A"/>
    <w:rsid w:val="00E46682"/>
    <w:rsid w:val="00E475C8"/>
    <w:rsid w:val="00E4785A"/>
    <w:rsid w:val="00E478BC"/>
    <w:rsid w:val="00E478CF"/>
    <w:rsid w:val="00E50042"/>
    <w:rsid w:val="00E501D4"/>
    <w:rsid w:val="00E507E5"/>
    <w:rsid w:val="00E507F9"/>
    <w:rsid w:val="00E50966"/>
    <w:rsid w:val="00E50DF7"/>
    <w:rsid w:val="00E515C4"/>
    <w:rsid w:val="00E516F3"/>
    <w:rsid w:val="00E51D57"/>
    <w:rsid w:val="00E51F8F"/>
    <w:rsid w:val="00E521D7"/>
    <w:rsid w:val="00E5225A"/>
    <w:rsid w:val="00E52324"/>
    <w:rsid w:val="00E525A6"/>
    <w:rsid w:val="00E528BE"/>
    <w:rsid w:val="00E52A02"/>
    <w:rsid w:val="00E537DC"/>
    <w:rsid w:val="00E53E2F"/>
    <w:rsid w:val="00E53ED6"/>
    <w:rsid w:val="00E5400D"/>
    <w:rsid w:val="00E5406E"/>
    <w:rsid w:val="00E5424F"/>
    <w:rsid w:val="00E54485"/>
    <w:rsid w:val="00E54688"/>
    <w:rsid w:val="00E54A70"/>
    <w:rsid w:val="00E54CE6"/>
    <w:rsid w:val="00E551C4"/>
    <w:rsid w:val="00E5529B"/>
    <w:rsid w:val="00E553DB"/>
    <w:rsid w:val="00E55756"/>
    <w:rsid w:val="00E55A0F"/>
    <w:rsid w:val="00E55DEE"/>
    <w:rsid w:val="00E55F9C"/>
    <w:rsid w:val="00E562E3"/>
    <w:rsid w:val="00E56437"/>
    <w:rsid w:val="00E567AC"/>
    <w:rsid w:val="00E56B33"/>
    <w:rsid w:val="00E56D22"/>
    <w:rsid w:val="00E56DB6"/>
    <w:rsid w:val="00E56F5B"/>
    <w:rsid w:val="00E5728C"/>
    <w:rsid w:val="00E5772D"/>
    <w:rsid w:val="00E578B1"/>
    <w:rsid w:val="00E57A0C"/>
    <w:rsid w:val="00E57A53"/>
    <w:rsid w:val="00E57CA4"/>
    <w:rsid w:val="00E6008E"/>
    <w:rsid w:val="00E60635"/>
    <w:rsid w:val="00E60D96"/>
    <w:rsid w:val="00E60E96"/>
    <w:rsid w:val="00E60EBB"/>
    <w:rsid w:val="00E61373"/>
    <w:rsid w:val="00E61417"/>
    <w:rsid w:val="00E615B1"/>
    <w:rsid w:val="00E620C0"/>
    <w:rsid w:val="00E62168"/>
    <w:rsid w:val="00E62B9E"/>
    <w:rsid w:val="00E62DD8"/>
    <w:rsid w:val="00E6317C"/>
    <w:rsid w:val="00E636E9"/>
    <w:rsid w:val="00E63961"/>
    <w:rsid w:val="00E63990"/>
    <w:rsid w:val="00E63A05"/>
    <w:rsid w:val="00E63FA7"/>
    <w:rsid w:val="00E642EA"/>
    <w:rsid w:val="00E643DD"/>
    <w:rsid w:val="00E64B19"/>
    <w:rsid w:val="00E64F6B"/>
    <w:rsid w:val="00E650D7"/>
    <w:rsid w:val="00E6539E"/>
    <w:rsid w:val="00E653E6"/>
    <w:rsid w:val="00E654F0"/>
    <w:rsid w:val="00E6557C"/>
    <w:rsid w:val="00E65642"/>
    <w:rsid w:val="00E659D2"/>
    <w:rsid w:val="00E65D5B"/>
    <w:rsid w:val="00E66437"/>
    <w:rsid w:val="00E664DC"/>
    <w:rsid w:val="00E6677F"/>
    <w:rsid w:val="00E66889"/>
    <w:rsid w:val="00E66A53"/>
    <w:rsid w:val="00E66C9B"/>
    <w:rsid w:val="00E66D02"/>
    <w:rsid w:val="00E66D25"/>
    <w:rsid w:val="00E66F63"/>
    <w:rsid w:val="00E67145"/>
    <w:rsid w:val="00E6754B"/>
    <w:rsid w:val="00E6799E"/>
    <w:rsid w:val="00E67B37"/>
    <w:rsid w:val="00E67D63"/>
    <w:rsid w:val="00E67DBB"/>
    <w:rsid w:val="00E7013C"/>
    <w:rsid w:val="00E70189"/>
    <w:rsid w:val="00E706A2"/>
    <w:rsid w:val="00E70752"/>
    <w:rsid w:val="00E70E49"/>
    <w:rsid w:val="00E70EDE"/>
    <w:rsid w:val="00E71229"/>
    <w:rsid w:val="00E71477"/>
    <w:rsid w:val="00E71690"/>
    <w:rsid w:val="00E71A50"/>
    <w:rsid w:val="00E71BB7"/>
    <w:rsid w:val="00E71C44"/>
    <w:rsid w:val="00E71EA5"/>
    <w:rsid w:val="00E7226C"/>
    <w:rsid w:val="00E72294"/>
    <w:rsid w:val="00E72884"/>
    <w:rsid w:val="00E729F7"/>
    <w:rsid w:val="00E72BD8"/>
    <w:rsid w:val="00E73491"/>
    <w:rsid w:val="00E734AE"/>
    <w:rsid w:val="00E7364A"/>
    <w:rsid w:val="00E7378F"/>
    <w:rsid w:val="00E73872"/>
    <w:rsid w:val="00E73D55"/>
    <w:rsid w:val="00E74196"/>
    <w:rsid w:val="00E742FE"/>
    <w:rsid w:val="00E743B5"/>
    <w:rsid w:val="00E745E1"/>
    <w:rsid w:val="00E74801"/>
    <w:rsid w:val="00E74912"/>
    <w:rsid w:val="00E74A71"/>
    <w:rsid w:val="00E74BAE"/>
    <w:rsid w:val="00E74F17"/>
    <w:rsid w:val="00E74F5B"/>
    <w:rsid w:val="00E75D66"/>
    <w:rsid w:val="00E75E3C"/>
    <w:rsid w:val="00E76406"/>
    <w:rsid w:val="00E76426"/>
    <w:rsid w:val="00E76498"/>
    <w:rsid w:val="00E765C3"/>
    <w:rsid w:val="00E7678B"/>
    <w:rsid w:val="00E76DBC"/>
    <w:rsid w:val="00E76DF0"/>
    <w:rsid w:val="00E7714F"/>
    <w:rsid w:val="00E7740A"/>
    <w:rsid w:val="00E77832"/>
    <w:rsid w:val="00E779A9"/>
    <w:rsid w:val="00E77B77"/>
    <w:rsid w:val="00E77CA8"/>
    <w:rsid w:val="00E77F6D"/>
    <w:rsid w:val="00E80421"/>
    <w:rsid w:val="00E80943"/>
    <w:rsid w:val="00E81066"/>
    <w:rsid w:val="00E81521"/>
    <w:rsid w:val="00E8163D"/>
    <w:rsid w:val="00E81795"/>
    <w:rsid w:val="00E817CC"/>
    <w:rsid w:val="00E819DE"/>
    <w:rsid w:val="00E81DF4"/>
    <w:rsid w:val="00E820F5"/>
    <w:rsid w:val="00E821B9"/>
    <w:rsid w:val="00E82316"/>
    <w:rsid w:val="00E82673"/>
    <w:rsid w:val="00E826F0"/>
    <w:rsid w:val="00E82847"/>
    <w:rsid w:val="00E82AA7"/>
    <w:rsid w:val="00E82B6F"/>
    <w:rsid w:val="00E82EBB"/>
    <w:rsid w:val="00E830DF"/>
    <w:rsid w:val="00E832ED"/>
    <w:rsid w:val="00E83702"/>
    <w:rsid w:val="00E8381F"/>
    <w:rsid w:val="00E8384B"/>
    <w:rsid w:val="00E83B7F"/>
    <w:rsid w:val="00E83BE8"/>
    <w:rsid w:val="00E8406B"/>
    <w:rsid w:val="00E842B9"/>
    <w:rsid w:val="00E8433F"/>
    <w:rsid w:val="00E84540"/>
    <w:rsid w:val="00E84B9E"/>
    <w:rsid w:val="00E84CD6"/>
    <w:rsid w:val="00E84D0F"/>
    <w:rsid w:val="00E84D60"/>
    <w:rsid w:val="00E850DA"/>
    <w:rsid w:val="00E8535B"/>
    <w:rsid w:val="00E854B8"/>
    <w:rsid w:val="00E85604"/>
    <w:rsid w:val="00E857E4"/>
    <w:rsid w:val="00E85BF2"/>
    <w:rsid w:val="00E85F82"/>
    <w:rsid w:val="00E860C9"/>
    <w:rsid w:val="00E86FE1"/>
    <w:rsid w:val="00E87384"/>
    <w:rsid w:val="00E877A3"/>
    <w:rsid w:val="00E8794C"/>
    <w:rsid w:val="00E87BB4"/>
    <w:rsid w:val="00E87D41"/>
    <w:rsid w:val="00E87DCB"/>
    <w:rsid w:val="00E911A6"/>
    <w:rsid w:val="00E9155D"/>
    <w:rsid w:val="00E91ADA"/>
    <w:rsid w:val="00E91D54"/>
    <w:rsid w:val="00E92021"/>
    <w:rsid w:val="00E9219B"/>
    <w:rsid w:val="00E92382"/>
    <w:rsid w:val="00E9243B"/>
    <w:rsid w:val="00E926A2"/>
    <w:rsid w:val="00E92929"/>
    <w:rsid w:val="00E92955"/>
    <w:rsid w:val="00E93148"/>
    <w:rsid w:val="00E932E2"/>
    <w:rsid w:val="00E934A4"/>
    <w:rsid w:val="00E936B6"/>
    <w:rsid w:val="00E93868"/>
    <w:rsid w:val="00E93950"/>
    <w:rsid w:val="00E941DE"/>
    <w:rsid w:val="00E94511"/>
    <w:rsid w:val="00E9481A"/>
    <w:rsid w:val="00E9490D"/>
    <w:rsid w:val="00E94D22"/>
    <w:rsid w:val="00E950BE"/>
    <w:rsid w:val="00E950DF"/>
    <w:rsid w:val="00E9530A"/>
    <w:rsid w:val="00E95578"/>
    <w:rsid w:val="00E9576A"/>
    <w:rsid w:val="00E959B0"/>
    <w:rsid w:val="00E959B1"/>
    <w:rsid w:val="00E95EF1"/>
    <w:rsid w:val="00E95F95"/>
    <w:rsid w:val="00E961AB"/>
    <w:rsid w:val="00E965A9"/>
    <w:rsid w:val="00E965D3"/>
    <w:rsid w:val="00E96613"/>
    <w:rsid w:val="00E96835"/>
    <w:rsid w:val="00E968DA"/>
    <w:rsid w:val="00E968EF"/>
    <w:rsid w:val="00E971F3"/>
    <w:rsid w:val="00E972B2"/>
    <w:rsid w:val="00E9751B"/>
    <w:rsid w:val="00E976F0"/>
    <w:rsid w:val="00E978AA"/>
    <w:rsid w:val="00E97CA5"/>
    <w:rsid w:val="00E97D09"/>
    <w:rsid w:val="00E97E7D"/>
    <w:rsid w:val="00EA0241"/>
    <w:rsid w:val="00EA0C8E"/>
    <w:rsid w:val="00EA0F26"/>
    <w:rsid w:val="00EA157A"/>
    <w:rsid w:val="00EA17F2"/>
    <w:rsid w:val="00EA184A"/>
    <w:rsid w:val="00EA19F8"/>
    <w:rsid w:val="00EA1BCE"/>
    <w:rsid w:val="00EA20A2"/>
    <w:rsid w:val="00EA229F"/>
    <w:rsid w:val="00EA23F7"/>
    <w:rsid w:val="00EA25E4"/>
    <w:rsid w:val="00EA261D"/>
    <w:rsid w:val="00EA28F2"/>
    <w:rsid w:val="00EA29C9"/>
    <w:rsid w:val="00EA2E9B"/>
    <w:rsid w:val="00EA307A"/>
    <w:rsid w:val="00EA32ED"/>
    <w:rsid w:val="00EA33C2"/>
    <w:rsid w:val="00EA369A"/>
    <w:rsid w:val="00EA372A"/>
    <w:rsid w:val="00EA3887"/>
    <w:rsid w:val="00EA3AD8"/>
    <w:rsid w:val="00EA3B0F"/>
    <w:rsid w:val="00EA3E7E"/>
    <w:rsid w:val="00EA3EC1"/>
    <w:rsid w:val="00EA40A7"/>
    <w:rsid w:val="00EA4169"/>
    <w:rsid w:val="00EA44E1"/>
    <w:rsid w:val="00EA4A62"/>
    <w:rsid w:val="00EA5038"/>
    <w:rsid w:val="00EA528F"/>
    <w:rsid w:val="00EA5CAA"/>
    <w:rsid w:val="00EA5E28"/>
    <w:rsid w:val="00EA5E92"/>
    <w:rsid w:val="00EA6037"/>
    <w:rsid w:val="00EA60E5"/>
    <w:rsid w:val="00EA6469"/>
    <w:rsid w:val="00EA7963"/>
    <w:rsid w:val="00EA7B29"/>
    <w:rsid w:val="00EA7E18"/>
    <w:rsid w:val="00EA7E56"/>
    <w:rsid w:val="00EB0113"/>
    <w:rsid w:val="00EB01E3"/>
    <w:rsid w:val="00EB02FA"/>
    <w:rsid w:val="00EB0457"/>
    <w:rsid w:val="00EB0838"/>
    <w:rsid w:val="00EB0840"/>
    <w:rsid w:val="00EB08BD"/>
    <w:rsid w:val="00EB096A"/>
    <w:rsid w:val="00EB099A"/>
    <w:rsid w:val="00EB0FF5"/>
    <w:rsid w:val="00EB13F7"/>
    <w:rsid w:val="00EB161C"/>
    <w:rsid w:val="00EB1821"/>
    <w:rsid w:val="00EB1DE9"/>
    <w:rsid w:val="00EB1EEA"/>
    <w:rsid w:val="00EB2133"/>
    <w:rsid w:val="00EB239A"/>
    <w:rsid w:val="00EB2A84"/>
    <w:rsid w:val="00EB312F"/>
    <w:rsid w:val="00EB3318"/>
    <w:rsid w:val="00EB3B61"/>
    <w:rsid w:val="00EB3CD9"/>
    <w:rsid w:val="00EB3E88"/>
    <w:rsid w:val="00EB40B2"/>
    <w:rsid w:val="00EB41BE"/>
    <w:rsid w:val="00EB498A"/>
    <w:rsid w:val="00EB4BEC"/>
    <w:rsid w:val="00EB4E9B"/>
    <w:rsid w:val="00EB5118"/>
    <w:rsid w:val="00EB5391"/>
    <w:rsid w:val="00EB53F5"/>
    <w:rsid w:val="00EB58D9"/>
    <w:rsid w:val="00EB5C19"/>
    <w:rsid w:val="00EB5EAB"/>
    <w:rsid w:val="00EB6020"/>
    <w:rsid w:val="00EB60AE"/>
    <w:rsid w:val="00EB61CE"/>
    <w:rsid w:val="00EB6589"/>
    <w:rsid w:val="00EB662E"/>
    <w:rsid w:val="00EB6711"/>
    <w:rsid w:val="00EB6810"/>
    <w:rsid w:val="00EB68C1"/>
    <w:rsid w:val="00EB6903"/>
    <w:rsid w:val="00EB69C6"/>
    <w:rsid w:val="00EB728D"/>
    <w:rsid w:val="00EB73E5"/>
    <w:rsid w:val="00EB7A9C"/>
    <w:rsid w:val="00EB7E63"/>
    <w:rsid w:val="00EC0315"/>
    <w:rsid w:val="00EC03E6"/>
    <w:rsid w:val="00EC05A3"/>
    <w:rsid w:val="00EC073F"/>
    <w:rsid w:val="00EC0A7F"/>
    <w:rsid w:val="00EC0EEE"/>
    <w:rsid w:val="00EC1368"/>
    <w:rsid w:val="00EC1401"/>
    <w:rsid w:val="00EC1925"/>
    <w:rsid w:val="00EC1B11"/>
    <w:rsid w:val="00EC20C5"/>
    <w:rsid w:val="00EC2529"/>
    <w:rsid w:val="00EC2540"/>
    <w:rsid w:val="00EC2741"/>
    <w:rsid w:val="00EC28A8"/>
    <w:rsid w:val="00EC2AB8"/>
    <w:rsid w:val="00EC2AEB"/>
    <w:rsid w:val="00EC2C89"/>
    <w:rsid w:val="00EC2CCA"/>
    <w:rsid w:val="00EC301A"/>
    <w:rsid w:val="00EC31F5"/>
    <w:rsid w:val="00EC32E2"/>
    <w:rsid w:val="00EC3402"/>
    <w:rsid w:val="00EC3403"/>
    <w:rsid w:val="00EC3681"/>
    <w:rsid w:val="00EC3D10"/>
    <w:rsid w:val="00EC3D89"/>
    <w:rsid w:val="00EC3E22"/>
    <w:rsid w:val="00EC42AD"/>
    <w:rsid w:val="00EC497D"/>
    <w:rsid w:val="00EC5004"/>
    <w:rsid w:val="00EC50FA"/>
    <w:rsid w:val="00EC5407"/>
    <w:rsid w:val="00EC569D"/>
    <w:rsid w:val="00EC570C"/>
    <w:rsid w:val="00EC641F"/>
    <w:rsid w:val="00EC6665"/>
    <w:rsid w:val="00EC72FF"/>
    <w:rsid w:val="00EC7481"/>
    <w:rsid w:val="00EC74F9"/>
    <w:rsid w:val="00EC7681"/>
    <w:rsid w:val="00EC78DF"/>
    <w:rsid w:val="00EC791A"/>
    <w:rsid w:val="00EC7D68"/>
    <w:rsid w:val="00ED02BD"/>
    <w:rsid w:val="00ED0782"/>
    <w:rsid w:val="00ED0CE0"/>
    <w:rsid w:val="00ED1017"/>
    <w:rsid w:val="00ED102C"/>
    <w:rsid w:val="00ED120F"/>
    <w:rsid w:val="00ED13E4"/>
    <w:rsid w:val="00ED1559"/>
    <w:rsid w:val="00ED19B3"/>
    <w:rsid w:val="00ED1B4F"/>
    <w:rsid w:val="00ED29E0"/>
    <w:rsid w:val="00ED2DED"/>
    <w:rsid w:val="00ED33DC"/>
    <w:rsid w:val="00ED35B4"/>
    <w:rsid w:val="00ED3683"/>
    <w:rsid w:val="00ED36EA"/>
    <w:rsid w:val="00ED3954"/>
    <w:rsid w:val="00ED39DA"/>
    <w:rsid w:val="00ED39FD"/>
    <w:rsid w:val="00ED4137"/>
    <w:rsid w:val="00ED41A2"/>
    <w:rsid w:val="00ED49BC"/>
    <w:rsid w:val="00ED4D06"/>
    <w:rsid w:val="00ED4EFA"/>
    <w:rsid w:val="00ED50D7"/>
    <w:rsid w:val="00ED50F1"/>
    <w:rsid w:val="00ED528F"/>
    <w:rsid w:val="00ED579C"/>
    <w:rsid w:val="00ED5A0C"/>
    <w:rsid w:val="00ED5AAE"/>
    <w:rsid w:val="00ED5D98"/>
    <w:rsid w:val="00ED6142"/>
    <w:rsid w:val="00ED6547"/>
    <w:rsid w:val="00ED6759"/>
    <w:rsid w:val="00ED68FA"/>
    <w:rsid w:val="00ED6D48"/>
    <w:rsid w:val="00ED6D53"/>
    <w:rsid w:val="00ED700D"/>
    <w:rsid w:val="00ED7211"/>
    <w:rsid w:val="00ED7555"/>
    <w:rsid w:val="00ED7664"/>
    <w:rsid w:val="00ED789C"/>
    <w:rsid w:val="00ED7B9E"/>
    <w:rsid w:val="00ED7C76"/>
    <w:rsid w:val="00EE021D"/>
    <w:rsid w:val="00EE034F"/>
    <w:rsid w:val="00EE0489"/>
    <w:rsid w:val="00EE0597"/>
    <w:rsid w:val="00EE063F"/>
    <w:rsid w:val="00EE091A"/>
    <w:rsid w:val="00EE0BB7"/>
    <w:rsid w:val="00EE0D3C"/>
    <w:rsid w:val="00EE0DBF"/>
    <w:rsid w:val="00EE0EA3"/>
    <w:rsid w:val="00EE110F"/>
    <w:rsid w:val="00EE126F"/>
    <w:rsid w:val="00EE14F0"/>
    <w:rsid w:val="00EE155B"/>
    <w:rsid w:val="00EE1920"/>
    <w:rsid w:val="00EE1983"/>
    <w:rsid w:val="00EE19B3"/>
    <w:rsid w:val="00EE1C8B"/>
    <w:rsid w:val="00EE2043"/>
    <w:rsid w:val="00EE2250"/>
    <w:rsid w:val="00EE2A5B"/>
    <w:rsid w:val="00EE2F2D"/>
    <w:rsid w:val="00EE3427"/>
    <w:rsid w:val="00EE34E5"/>
    <w:rsid w:val="00EE36E6"/>
    <w:rsid w:val="00EE3719"/>
    <w:rsid w:val="00EE3856"/>
    <w:rsid w:val="00EE38C7"/>
    <w:rsid w:val="00EE3F12"/>
    <w:rsid w:val="00EE3FE3"/>
    <w:rsid w:val="00EE41AE"/>
    <w:rsid w:val="00EE41CE"/>
    <w:rsid w:val="00EE452B"/>
    <w:rsid w:val="00EE4ACE"/>
    <w:rsid w:val="00EE4E78"/>
    <w:rsid w:val="00EE4FA5"/>
    <w:rsid w:val="00EE5891"/>
    <w:rsid w:val="00EE5CF2"/>
    <w:rsid w:val="00EE6BDB"/>
    <w:rsid w:val="00EE6F35"/>
    <w:rsid w:val="00EE7377"/>
    <w:rsid w:val="00EE74B3"/>
    <w:rsid w:val="00EE75C9"/>
    <w:rsid w:val="00EE7789"/>
    <w:rsid w:val="00EE7904"/>
    <w:rsid w:val="00EE79A4"/>
    <w:rsid w:val="00EE7A23"/>
    <w:rsid w:val="00EE7B48"/>
    <w:rsid w:val="00EE7F8E"/>
    <w:rsid w:val="00EF0792"/>
    <w:rsid w:val="00EF0CD4"/>
    <w:rsid w:val="00EF0F5C"/>
    <w:rsid w:val="00EF1DF0"/>
    <w:rsid w:val="00EF20E5"/>
    <w:rsid w:val="00EF21D7"/>
    <w:rsid w:val="00EF2225"/>
    <w:rsid w:val="00EF22EA"/>
    <w:rsid w:val="00EF251E"/>
    <w:rsid w:val="00EF28BE"/>
    <w:rsid w:val="00EF2BC9"/>
    <w:rsid w:val="00EF2C14"/>
    <w:rsid w:val="00EF2DE3"/>
    <w:rsid w:val="00EF342D"/>
    <w:rsid w:val="00EF3C86"/>
    <w:rsid w:val="00EF3DF4"/>
    <w:rsid w:val="00EF4397"/>
    <w:rsid w:val="00EF4916"/>
    <w:rsid w:val="00EF4ABB"/>
    <w:rsid w:val="00EF52E7"/>
    <w:rsid w:val="00EF5306"/>
    <w:rsid w:val="00EF5ACE"/>
    <w:rsid w:val="00EF5B6B"/>
    <w:rsid w:val="00EF5C37"/>
    <w:rsid w:val="00EF5EE1"/>
    <w:rsid w:val="00EF5EEF"/>
    <w:rsid w:val="00EF619A"/>
    <w:rsid w:val="00EF6600"/>
    <w:rsid w:val="00EF6863"/>
    <w:rsid w:val="00EF6A81"/>
    <w:rsid w:val="00EF73FD"/>
    <w:rsid w:val="00EF763C"/>
    <w:rsid w:val="00EF78B0"/>
    <w:rsid w:val="00EF7A6A"/>
    <w:rsid w:val="00EF7B2C"/>
    <w:rsid w:val="00EF7ED5"/>
    <w:rsid w:val="00F00638"/>
    <w:rsid w:val="00F006A2"/>
    <w:rsid w:val="00F00B6C"/>
    <w:rsid w:val="00F00CB5"/>
    <w:rsid w:val="00F00FF5"/>
    <w:rsid w:val="00F0111B"/>
    <w:rsid w:val="00F011F5"/>
    <w:rsid w:val="00F0140B"/>
    <w:rsid w:val="00F01906"/>
    <w:rsid w:val="00F01BE4"/>
    <w:rsid w:val="00F01CA3"/>
    <w:rsid w:val="00F026B2"/>
    <w:rsid w:val="00F0275B"/>
    <w:rsid w:val="00F02975"/>
    <w:rsid w:val="00F02D9A"/>
    <w:rsid w:val="00F031B7"/>
    <w:rsid w:val="00F03337"/>
    <w:rsid w:val="00F034AC"/>
    <w:rsid w:val="00F0371A"/>
    <w:rsid w:val="00F03F30"/>
    <w:rsid w:val="00F042B8"/>
    <w:rsid w:val="00F04353"/>
    <w:rsid w:val="00F043C3"/>
    <w:rsid w:val="00F04478"/>
    <w:rsid w:val="00F0481C"/>
    <w:rsid w:val="00F04C82"/>
    <w:rsid w:val="00F04E74"/>
    <w:rsid w:val="00F04F64"/>
    <w:rsid w:val="00F05157"/>
    <w:rsid w:val="00F05262"/>
    <w:rsid w:val="00F05FEF"/>
    <w:rsid w:val="00F062C2"/>
    <w:rsid w:val="00F062CB"/>
    <w:rsid w:val="00F06648"/>
    <w:rsid w:val="00F066A0"/>
    <w:rsid w:val="00F06819"/>
    <w:rsid w:val="00F069F3"/>
    <w:rsid w:val="00F06A30"/>
    <w:rsid w:val="00F06A72"/>
    <w:rsid w:val="00F06B1E"/>
    <w:rsid w:val="00F06B5E"/>
    <w:rsid w:val="00F06D23"/>
    <w:rsid w:val="00F07177"/>
    <w:rsid w:val="00F072E9"/>
    <w:rsid w:val="00F075EB"/>
    <w:rsid w:val="00F076A5"/>
    <w:rsid w:val="00F07869"/>
    <w:rsid w:val="00F0790C"/>
    <w:rsid w:val="00F07B94"/>
    <w:rsid w:val="00F07C29"/>
    <w:rsid w:val="00F07E8E"/>
    <w:rsid w:val="00F07F0B"/>
    <w:rsid w:val="00F1016A"/>
    <w:rsid w:val="00F1031A"/>
    <w:rsid w:val="00F10A58"/>
    <w:rsid w:val="00F10B14"/>
    <w:rsid w:val="00F10CCA"/>
    <w:rsid w:val="00F11244"/>
    <w:rsid w:val="00F1135A"/>
    <w:rsid w:val="00F11785"/>
    <w:rsid w:val="00F11ABA"/>
    <w:rsid w:val="00F1202A"/>
    <w:rsid w:val="00F1278F"/>
    <w:rsid w:val="00F12DB2"/>
    <w:rsid w:val="00F12E59"/>
    <w:rsid w:val="00F12E9D"/>
    <w:rsid w:val="00F13011"/>
    <w:rsid w:val="00F13302"/>
    <w:rsid w:val="00F13788"/>
    <w:rsid w:val="00F13B0F"/>
    <w:rsid w:val="00F13E7E"/>
    <w:rsid w:val="00F13ED8"/>
    <w:rsid w:val="00F146EA"/>
    <w:rsid w:val="00F1522E"/>
    <w:rsid w:val="00F15371"/>
    <w:rsid w:val="00F154A1"/>
    <w:rsid w:val="00F1550A"/>
    <w:rsid w:val="00F1558B"/>
    <w:rsid w:val="00F15975"/>
    <w:rsid w:val="00F15B1C"/>
    <w:rsid w:val="00F15F20"/>
    <w:rsid w:val="00F16456"/>
    <w:rsid w:val="00F1654A"/>
    <w:rsid w:val="00F16556"/>
    <w:rsid w:val="00F16851"/>
    <w:rsid w:val="00F16A6D"/>
    <w:rsid w:val="00F16D5F"/>
    <w:rsid w:val="00F16E74"/>
    <w:rsid w:val="00F16EE4"/>
    <w:rsid w:val="00F1716D"/>
    <w:rsid w:val="00F1749E"/>
    <w:rsid w:val="00F174F1"/>
    <w:rsid w:val="00F1769D"/>
    <w:rsid w:val="00F17C90"/>
    <w:rsid w:val="00F20002"/>
    <w:rsid w:val="00F20370"/>
    <w:rsid w:val="00F2053B"/>
    <w:rsid w:val="00F20730"/>
    <w:rsid w:val="00F20D6E"/>
    <w:rsid w:val="00F20E72"/>
    <w:rsid w:val="00F20F2D"/>
    <w:rsid w:val="00F21095"/>
    <w:rsid w:val="00F2125B"/>
    <w:rsid w:val="00F212D4"/>
    <w:rsid w:val="00F213E8"/>
    <w:rsid w:val="00F2171F"/>
    <w:rsid w:val="00F21C2B"/>
    <w:rsid w:val="00F21CB1"/>
    <w:rsid w:val="00F21D56"/>
    <w:rsid w:val="00F22445"/>
    <w:rsid w:val="00F22BA5"/>
    <w:rsid w:val="00F22F36"/>
    <w:rsid w:val="00F23101"/>
    <w:rsid w:val="00F2326D"/>
    <w:rsid w:val="00F23396"/>
    <w:rsid w:val="00F23483"/>
    <w:rsid w:val="00F238A5"/>
    <w:rsid w:val="00F238F0"/>
    <w:rsid w:val="00F23E64"/>
    <w:rsid w:val="00F24022"/>
    <w:rsid w:val="00F24155"/>
    <w:rsid w:val="00F241AE"/>
    <w:rsid w:val="00F24213"/>
    <w:rsid w:val="00F24387"/>
    <w:rsid w:val="00F24A33"/>
    <w:rsid w:val="00F24F04"/>
    <w:rsid w:val="00F24F29"/>
    <w:rsid w:val="00F250B7"/>
    <w:rsid w:val="00F2556C"/>
    <w:rsid w:val="00F25AA9"/>
    <w:rsid w:val="00F267B8"/>
    <w:rsid w:val="00F26814"/>
    <w:rsid w:val="00F269BB"/>
    <w:rsid w:val="00F26A26"/>
    <w:rsid w:val="00F26C72"/>
    <w:rsid w:val="00F2713C"/>
    <w:rsid w:val="00F277F2"/>
    <w:rsid w:val="00F27809"/>
    <w:rsid w:val="00F2782D"/>
    <w:rsid w:val="00F27B7B"/>
    <w:rsid w:val="00F27C36"/>
    <w:rsid w:val="00F27D03"/>
    <w:rsid w:val="00F27D7D"/>
    <w:rsid w:val="00F27E35"/>
    <w:rsid w:val="00F27E5B"/>
    <w:rsid w:val="00F301F2"/>
    <w:rsid w:val="00F30756"/>
    <w:rsid w:val="00F3089C"/>
    <w:rsid w:val="00F30C15"/>
    <w:rsid w:val="00F30CB3"/>
    <w:rsid w:val="00F318B4"/>
    <w:rsid w:val="00F31C7A"/>
    <w:rsid w:val="00F31CF4"/>
    <w:rsid w:val="00F32446"/>
    <w:rsid w:val="00F3256B"/>
    <w:rsid w:val="00F32605"/>
    <w:rsid w:val="00F327C5"/>
    <w:rsid w:val="00F3288C"/>
    <w:rsid w:val="00F32980"/>
    <w:rsid w:val="00F33673"/>
    <w:rsid w:val="00F336CF"/>
    <w:rsid w:val="00F33881"/>
    <w:rsid w:val="00F338F2"/>
    <w:rsid w:val="00F33AD9"/>
    <w:rsid w:val="00F33C3F"/>
    <w:rsid w:val="00F341BF"/>
    <w:rsid w:val="00F34849"/>
    <w:rsid w:val="00F348F1"/>
    <w:rsid w:val="00F356F1"/>
    <w:rsid w:val="00F3572E"/>
    <w:rsid w:val="00F35C25"/>
    <w:rsid w:val="00F35E25"/>
    <w:rsid w:val="00F35F25"/>
    <w:rsid w:val="00F360FD"/>
    <w:rsid w:val="00F36133"/>
    <w:rsid w:val="00F3620A"/>
    <w:rsid w:val="00F3642C"/>
    <w:rsid w:val="00F36871"/>
    <w:rsid w:val="00F3741F"/>
    <w:rsid w:val="00F37A51"/>
    <w:rsid w:val="00F37BAC"/>
    <w:rsid w:val="00F37E15"/>
    <w:rsid w:val="00F37EB4"/>
    <w:rsid w:val="00F37EBD"/>
    <w:rsid w:val="00F40328"/>
    <w:rsid w:val="00F4059B"/>
    <w:rsid w:val="00F40987"/>
    <w:rsid w:val="00F4188A"/>
    <w:rsid w:val="00F41A40"/>
    <w:rsid w:val="00F41ADB"/>
    <w:rsid w:val="00F4249A"/>
    <w:rsid w:val="00F427CE"/>
    <w:rsid w:val="00F42D8E"/>
    <w:rsid w:val="00F42EC7"/>
    <w:rsid w:val="00F42FD3"/>
    <w:rsid w:val="00F43238"/>
    <w:rsid w:val="00F43487"/>
    <w:rsid w:val="00F43A37"/>
    <w:rsid w:val="00F43C30"/>
    <w:rsid w:val="00F4422A"/>
    <w:rsid w:val="00F44275"/>
    <w:rsid w:val="00F44482"/>
    <w:rsid w:val="00F44520"/>
    <w:rsid w:val="00F4463A"/>
    <w:rsid w:val="00F446DD"/>
    <w:rsid w:val="00F44A00"/>
    <w:rsid w:val="00F44AE2"/>
    <w:rsid w:val="00F44D7C"/>
    <w:rsid w:val="00F455CF"/>
    <w:rsid w:val="00F45910"/>
    <w:rsid w:val="00F46D3E"/>
    <w:rsid w:val="00F47105"/>
    <w:rsid w:val="00F47655"/>
    <w:rsid w:val="00F4792A"/>
    <w:rsid w:val="00F479B4"/>
    <w:rsid w:val="00F47B2B"/>
    <w:rsid w:val="00F5006B"/>
    <w:rsid w:val="00F50706"/>
    <w:rsid w:val="00F50912"/>
    <w:rsid w:val="00F50996"/>
    <w:rsid w:val="00F509AA"/>
    <w:rsid w:val="00F50F30"/>
    <w:rsid w:val="00F50FAC"/>
    <w:rsid w:val="00F51160"/>
    <w:rsid w:val="00F5128A"/>
    <w:rsid w:val="00F513FE"/>
    <w:rsid w:val="00F5142F"/>
    <w:rsid w:val="00F5164B"/>
    <w:rsid w:val="00F516DC"/>
    <w:rsid w:val="00F51B04"/>
    <w:rsid w:val="00F51D73"/>
    <w:rsid w:val="00F52211"/>
    <w:rsid w:val="00F522BA"/>
    <w:rsid w:val="00F523C8"/>
    <w:rsid w:val="00F526CB"/>
    <w:rsid w:val="00F527A3"/>
    <w:rsid w:val="00F5299B"/>
    <w:rsid w:val="00F52A1C"/>
    <w:rsid w:val="00F52D85"/>
    <w:rsid w:val="00F53003"/>
    <w:rsid w:val="00F537B3"/>
    <w:rsid w:val="00F53B16"/>
    <w:rsid w:val="00F53C95"/>
    <w:rsid w:val="00F5432F"/>
    <w:rsid w:val="00F54592"/>
    <w:rsid w:val="00F54937"/>
    <w:rsid w:val="00F54949"/>
    <w:rsid w:val="00F54A5B"/>
    <w:rsid w:val="00F54C1C"/>
    <w:rsid w:val="00F54D73"/>
    <w:rsid w:val="00F54E60"/>
    <w:rsid w:val="00F54EA5"/>
    <w:rsid w:val="00F54F99"/>
    <w:rsid w:val="00F55117"/>
    <w:rsid w:val="00F55522"/>
    <w:rsid w:val="00F5553A"/>
    <w:rsid w:val="00F55648"/>
    <w:rsid w:val="00F55785"/>
    <w:rsid w:val="00F558A0"/>
    <w:rsid w:val="00F56162"/>
    <w:rsid w:val="00F561A1"/>
    <w:rsid w:val="00F565B0"/>
    <w:rsid w:val="00F56611"/>
    <w:rsid w:val="00F56704"/>
    <w:rsid w:val="00F56878"/>
    <w:rsid w:val="00F56F0F"/>
    <w:rsid w:val="00F570AB"/>
    <w:rsid w:val="00F571CA"/>
    <w:rsid w:val="00F574EC"/>
    <w:rsid w:val="00F57AC6"/>
    <w:rsid w:val="00F6022A"/>
    <w:rsid w:val="00F6027D"/>
    <w:rsid w:val="00F60A79"/>
    <w:rsid w:val="00F60AB1"/>
    <w:rsid w:val="00F60D7F"/>
    <w:rsid w:val="00F60E8D"/>
    <w:rsid w:val="00F6117B"/>
    <w:rsid w:val="00F61283"/>
    <w:rsid w:val="00F612A9"/>
    <w:rsid w:val="00F614B1"/>
    <w:rsid w:val="00F616E7"/>
    <w:rsid w:val="00F61971"/>
    <w:rsid w:val="00F619D6"/>
    <w:rsid w:val="00F6201A"/>
    <w:rsid w:val="00F634E6"/>
    <w:rsid w:val="00F636A1"/>
    <w:rsid w:val="00F63712"/>
    <w:rsid w:val="00F63A10"/>
    <w:rsid w:val="00F63CAB"/>
    <w:rsid w:val="00F64181"/>
    <w:rsid w:val="00F641C7"/>
    <w:rsid w:val="00F64979"/>
    <w:rsid w:val="00F64C30"/>
    <w:rsid w:val="00F650E4"/>
    <w:rsid w:val="00F6518A"/>
    <w:rsid w:val="00F65615"/>
    <w:rsid w:val="00F65A9F"/>
    <w:rsid w:val="00F65C81"/>
    <w:rsid w:val="00F65CCB"/>
    <w:rsid w:val="00F66186"/>
    <w:rsid w:val="00F6647F"/>
    <w:rsid w:val="00F66B59"/>
    <w:rsid w:val="00F66D7C"/>
    <w:rsid w:val="00F67060"/>
    <w:rsid w:val="00F67340"/>
    <w:rsid w:val="00F675CE"/>
    <w:rsid w:val="00F675E5"/>
    <w:rsid w:val="00F676F2"/>
    <w:rsid w:val="00F67705"/>
    <w:rsid w:val="00F677E6"/>
    <w:rsid w:val="00F6788A"/>
    <w:rsid w:val="00F6797C"/>
    <w:rsid w:val="00F67EE7"/>
    <w:rsid w:val="00F7021F"/>
    <w:rsid w:val="00F7077C"/>
    <w:rsid w:val="00F7098D"/>
    <w:rsid w:val="00F70D35"/>
    <w:rsid w:val="00F70DFC"/>
    <w:rsid w:val="00F7111D"/>
    <w:rsid w:val="00F7199B"/>
    <w:rsid w:val="00F71E29"/>
    <w:rsid w:val="00F71FC2"/>
    <w:rsid w:val="00F720BD"/>
    <w:rsid w:val="00F723A2"/>
    <w:rsid w:val="00F72609"/>
    <w:rsid w:val="00F72B6E"/>
    <w:rsid w:val="00F73362"/>
    <w:rsid w:val="00F73D88"/>
    <w:rsid w:val="00F73ED5"/>
    <w:rsid w:val="00F74288"/>
    <w:rsid w:val="00F742CD"/>
    <w:rsid w:val="00F743A8"/>
    <w:rsid w:val="00F74A44"/>
    <w:rsid w:val="00F74B2A"/>
    <w:rsid w:val="00F74DA0"/>
    <w:rsid w:val="00F751E8"/>
    <w:rsid w:val="00F7542A"/>
    <w:rsid w:val="00F756AF"/>
    <w:rsid w:val="00F759CF"/>
    <w:rsid w:val="00F75A8E"/>
    <w:rsid w:val="00F75D23"/>
    <w:rsid w:val="00F76080"/>
    <w:rsid w:val="00F7638C"/>
    <w:rsid w:val="00F76896"/>
    <w:rsid w:val="00F76A58"/>
    <w:rsid w:val="00F76BC8"/>
    <w:rsid w:val="00F76D23"/>
    <w:rsid w:val="00F76DDF"/>
    <w:rsid w:val="00F771FF"/>
    <w:rsid w:val="00F77462"/>
    <w:rsid w:val="00F774EA"/>
    <w:rsid w:val="00F7751E"/>
    <w:rsid w:val="00F777D6"/>
    <w:rsid w:val="00F77A4D"/>
    <w:rsid w:val="00F77AAF"/>
    <w:rsid w:val="00F800C7"/>
    <w:rsid w:val="00F800DD"/>
    <w:rsid w:val="00F80238"/>
    <w:rsid w:val="00F80488"/>
    <w:rsid w:val="00F80853"/>
    <w:rsid w:val="00F80AC4"/>
    <w:rsid w:val="00F80F11"/>
    <w:rsid w:val="00F80F16"/>
    <w:rsid w:val="00F80F82"/>
    <w:rsid w:val="00F81084"/>
    <w:rsid w:val="00F810AE"/>
    <w:rsid w:val="00F812F1"/>
    <w:rsid w:val="00F815C8"/>
    <w:rsid w:val="00F8165C"/>
    <w:rsid w:val="00F82339"/>
    <w:rsid w:val="00F8261E"/>
    <w:rsid w:val="00F826BF"/>
    <w:rsid w:val="00F8291E"/>
    <w:rsid w:val="00F82A29"/>
    <w:rsid w:val="00F82DFE"/>
    <w:rsid w:val="00F82E78"/>
    <w:rsid w:val="00F82F9D"/>
    <w:rsid w:val="00F83307"/>
    <w:rsid w:val="00F833B2"/>
    <w:rsid w:val="00F8346D"/>
    <w:rsid w:val="00F83617"/>
    <w:rsid w:val="00F83AFA"/>
    <w:rsid w:val="00F83C14"/>
    <w:rsid w:val="00F83D70"/>
    <w:rsid w:val="00F83E8E"/>
    <w:rsid w:val="00F84024"/>
    <w:rsid w:val="00F843ED"/>
    <w:rsid w:val="00F84993"/>
    <w:rsid w:val="00F85270"/>
    <w:rsid w:val="00F853CD"/>
    <w:rsid w:val="00F85435"/>
    <w:rsid w:val="00F8582F"/>
    <w:rsid w:val="00F858E6"/>
    <w:rsid w:val="00F8597F"/>
    <w:rsid w:val="00F85DAC"/>
    <w:rsid w:val="00F85DAF"/>
    <w:rsid w:val="00F860F5"/>
    <w:rsid w:val="00F8627B"/>
    <w:rsid w:val="00F8667E"/>
    <w:rsid w:val="00F866F2"/>
    <w:rsid w:val="00F867E6"/>
    <w:rsid w:val="00F86900"/>
    <w:rsid w:val="00F86A06"/>
    <w:rsid w:val="00F86A94"/>
    <w:rsid w:val="00F86B0A"/>
    <w:rsid w:val="00F86DF9"/>
    <w:rsid w:val="00F87261"/>
    <w:rsid w:val="00F873F4"/>
    <w:rsid w:val="00F875ED"/>
    <w:rsid w:val="00F87D1D"/>
    <w:rsid w:val="00F87F17"/>
    <w:rsid w:val="00F903DF"/>
    <w:rsid w:val="00F90583"/>
    <w:rsid w:val="00F9070F"/>
    <w:rsid w:val="00F908F7"/>
    <w:rsid w:val="00F91292"/>
    <w:rsid w:val="00F912F5"/>
    <w:rsid w:val="00F9164C"/>
    <w:rsid w:val="00F918D0"/>
    <w:rsid w:val="00F91DC7"/>
    <w:rsid w:val="00F91E42"/>
    <w:rsid w:val="00F9201F"/>
    <w:rsid w:val="00F92324"/>
    <w:rsid w:val="00F923DF"/>
    <w:rsid w:val="00F92471"/>
    <w:rsid w:val="00F928FD"/>
    <w:rsid w:val="00F92D40"/>
    <w:rsid w:val="00F93207"/>
    <w:rsid w:val="00F933BB"/>
    <w:rsid w:val="00F933E5"/>
    <w:rsid w:val="00F937B0"/>
    <w:rsid w:val="00F93859"/>
    <w:rsid w:val="00F93B06"/>
    <w:rsid w:val="00F93D53"/>
    <w:rsid w:val="00F93E35"/>
    <w:rsid w:val="00F93F1F"/>
    <w:rsid w:val="00F948F1"/>
    <w:rsid w:val="00F952B6"/>
    <w:rsid w:val="00F95881"/>
    <w:rsid w:val="00F958F3"/>
    <w:rsid w:val="00F959BB"/>
    <w:rsid w:val="00F95F3B"/>
    <w:rsid w:val="00F960D6"/>
    <w:rsid w:val="00F96326"/>
    <w:rsid w:val="00F96CF0"/>
    <w:rsid w:val="00F96D8A"/>
    <w:rsid w:val="00F96F34"/>
    <w:rsid w:val="00F972CA"/>
    <w:rsid w:val="00F974B5"/>
    <w:rsid w:val="00F9775A"/>
    <w:rsid w:val="00F977FA"/>
    <w:rsid w:val="00F97887"/>
    <w:rsid w:val="00F97CC6"/>
    <w:rsid w:val="00F97F29"/>
    <w:rsid w:val="00F97FA8"/>
    <w:rsid w:val="00FA0048"/>
    <w:rsid w:val="00FA0673"/>
    <w:rsid w:val="00FA0846"/>
    <w:rsid w:val="00FA0996"/>
    <w:rsid w:val="00FA0F13"/>
    <w:rsid w:val="00FA0F77"/>
    <w:rsid w:val="00FA12AC"/>
    <w:rsid w:val="00FA183E"/>
    <w:rsid w:val="00FA1879"/>
    <w:rsid w:val="00FA1CFE"/>
    <w:rsid w:val="00FA2433"/>
    <w:rsid w:val="00FA24C2"/>
    <w:rsid w:val="00FA2866"/>
    <w:rsid w:val="00FA2994"/>
    <w:rsid w:val="00FA2A35"/>
    <w:rsid w:val="00FA2DC8"/>
    <w:rsid w:val="00FA345C"/>
    <w:rsid w:val="00FA37DB"/>
    <w:rsid w:val="00FA389E"/>
    <w:rsid w:val="00FA3ACF"/>
    <w:rsid w:val="00FA4125"/>
    <w:rsid w:val="00FA431B"/>
    <w:rsid w:val="00FA439B"/>
    <w:rsid w:val="00FA4831"/>
    <w:rsid w:val="00FA4AEE"/>
    <w:rsid w:val="00FA5017"/>
    <w:rsid w:val="00FA504F"/>
    <w:rsid w:val="00FA51B1"/>
    <w:rsid w:val="00FA55D1"/>
    <w:rsid w:val="00FA5BE8"/>
    <w:rsid w:val="00FA5E79"/>
    <w:rsid w:val="00FA5F83"/>
    <w:rsid w:val="00FA5FEE"/>
    <w:rsid w:val="00FA645F"/>
    <w:rsid w:val="00FA65C1"/>
    <w:rsid w:val="00FA6878"/>
    <w:rsid w:val="00FA6A0C"/>
    <w:rsid w:val="00FA6C76"/>
    <w:rsid w:val="00FA6DBC"/>
    <w:rsid w:val="00FA6F01"/>
    <w:rsid w:val="00FA75A8"/>
    <w:rsid w:val="00FA7C89"/>
    <w:rsid w:val="00FB00DB"/>
    <w:rsid w:val="00FB079D"/>
    <w:rsid w:val="00FB0A70"/>
    <w:rsid w:val="00FB0AF0"/>
    <w:rsid w:val="00FB0BD3"/>
    <w:rsid w:val="00FB0C86"/>
    <w:rsid w:val="00FB0EC0"/>
    <w:rsid w:val="00FB10EE"/>
    <w:rsid w:val="00FB1222"/>
    <w:rsid w:val="00FB19CB"/>
    <w:rsid w:val="00FB1AB3"/>
    <w:rsid w:val="00FB1B3E"/>
    <w:rsid w:val="00FB1CB3"/>
    <w:rsid w:val="00FB2160"/>
    <w:rsid w:val="00FB2421"/>
    <w:rsid w:val="00FB247D"/>
    <w:rsid w:val="00FB2762"/>
    <w:rsid w:val="00FB29A8"/>
    <w:rsid w:val="00FB2FAB"/>
    <w:rsid w:val="00FB31AB"/>
    <w:rsid w:val="00FB3855"/>
    <w:rsid w:val="00FB409A"/>
    <w:rsid w:val="00FB41F5"/>
    <w:rsid w:val="00FB4274"/>
    <w:rsid w:val="00FB4295"/>
    <w:rsid w:val="00FB47EC"/>
    <w:rsid w:val="00FB4998"/>
    <w:rsid w:val="00FB4BE5"/>
    <w:rsid w:val="00FB5393"/>
    <w:rsid w:val="00FB54BC"/>
    <w:rsid w:val="00FB574B"/>
    <w:rsid w:val="00FB589D"/>
    <w:rsid w:val="00FB5938"/>
    <w:rsid w:val="00FB5A02"/>
    <w:rsid w:val="00FB6039"/>
    <w:rsid w:val="00FB660C"/>
    <w:rsid w:val="00FB672C"/>
    <w:rsid w:val="00FB6FBA"/>
    <w:rsid w:val="00FB7611"/>
    <w:rsid w:val="00FB76AF"/>
    <w:rsid w:val="00FB7982"/>
    <w:rsid w:val="00FB7A23"/>
    <w:rsid w:val="00FB7C9A"/>
    <w:rsid w:val="00FB7F1C"/>
    <w:rsid w:val="00FC0491"/>
    <w:rsid w:val="00FC06C3"/>
    <w:rsid w:val="00FC0BDC"/>
    <w:rsid w:val="00FC0C11"/>
    <w:rsid w:val="00FC0FEE"/>
    <w:rsid w:val="00FC1047"/>
    <w:rsid w:val="00FC10F2"/>
    <w:rsid w:val="00FC1135"/>
    <w:rsid w:val="00FC115B"/>
    <w:rsid w:val="00FC13EC"/>
    <w:rsid w:val="00FC16B1"/>
    <w:rsid w:val="00FC1BA3"/>
    <w:rsid w:val="00FC1C4E"/>
    <w:rsid w:val="00FC2404"/>
    <w:rsid w:val="00FC248C"/>
    <w:rsid w:val="00FC2A54"/>
    <w:rsid w:val="00FC2C67"/>
    <w:rsid w:val="00FC2DED"/>
    <w:rsid w:val="00FC2E29"/>
    <w:rsid w:val="00FC2E5E"/>
    <w:rsid w:val="00FC2FCC"/>
    <w:rsid w:val="00FC3038"/>
    <w:rsid w:val="00FC3046"/>
    <w:rsid w:val="00FC3540"/>
    <w:rsid w:val="00FC36EC"/>
    <w:rsid w:val="00FC36F8"/>
    <w:rsid w:val="00FC39B3"/>
    <w:rsid w:val="00FC3F8E"/>
    <w:rsid w:val="00FC40D6"/>
    <w:rsid w:val="00FC42F8"/>
    <w:rsid w:val="00FC44E6"/>
    <w:rsid w:val="00FC475F"/>
    <w:rsid w:val="00FC491D"/>
    <w:rsid w:val="00FC499B"/>
    <w:rsid w:val="00FC4BAF"/>
    <w:rsid w:val="00FC4DA9"/>
    <w:rsid w:val="00FC5129"/>
    <w:rsid w:val="00FC51F5"/>
    <w:rsid w:val="00FC5499"/>
    <w:rsid w:val="00FC57DD"/>
    <w:rsid w:val="00FC6753"/>
    <w:rsid w:val="00FC6C59"/>
    <w:rsid w:val="00FC6E65"/>
    <w:rsid w:val="00FC7236"/>
    <w:rsid w:val="00FC781E"/>
    <w:rsid w:val="00FC7864"/>
    <w:rsid w:val="00FC7A81"/>
    <w:rsid w:val="00FD009D"/>
    <w:rsid w:val="00FD0273"/>
    <w:rsid w:val="00FD05AA"/>
    <w:rsid w:val="00FD06FD"/>
    <w:rsid w:val="00FD0926"/>
    <w:rsid w:val="00FD0A47"/>
    <w:rsid w:val="00FD0DD1"/>
    <w:rsid w:val="00FD104D"/>
    <w:rsid w:val="00FD192B"/>
    <w:rsid w:val="00FD1B0F"/>
    <w:rsid w:val="00FD21A4"/>
    <w:rsid w:val="00FD251C"/>
    <w:rsid w:val="00FD26C8"/>
    <w:rsid w:val="00FD277A"/>
    <w:rsid w:val="00FD2A98"/>
    <w:rsid w:val="00FD3266"/>
    <w:rsid w:val="00FD36BD"/>
    <w:rsid w:val="00FD39A4"/>
    <w:rsid w:val="00FD3F07"/>
    <w:rsid w:val="00FD42D1"/>
    <w:rsid w:val="00FD43BF"/>
    <w:rsid w:val="00FD475A"/>
    <w:rsid w:val="00FD4BBF"/>
    <w:rsid w:val="00FD4F80"/>
    <w:rsid w:val="00FD52B5"/>
    <w:rsid w:val="00FD5405"/>
    <w:rsid w:val="00FD5807"/>
    <w:rsid w:val="00FD5A57"/>
    <w:rsid w:val="00FD5B3E"/>
    <w:rsid w:val="00FD5B71"/>
    <w:rsid w:val="00FD5C0B"/>
    <w:rsid w:val="00FD5E50"/>
    <w:rsid w:val="00FD6150"/>
    <w:rsid w:val="00FD6524"/>
    <w:rsid w:val="00FD661A"/>
    <w:rsid w:val="00FD67D9"/>
    <w:rsid w:val="00FD6BC6"/>
    <w:rsid w:val="00FD6BDB"/>
    <w:rsid w:val="00FD6F11"/>
    <w:rsid w:val="00FD6FFD"/>
    <w:rsid w:val="00FD7338"/>
    <w:rsid w:val="00FD7440"/>
    <w:rsid w:val="00FD767A"/>
    <w:rsid w:val="00FD769D"/>
    <w:rsid w:val="00FD7757"/>
    <w:rsid w:val="00FD7B36"/>
    <w:rsid w:val="00FD7DBB"/>
    <w:rsid w:val="00FD7E84"/>
    <w:rsid w:val="00FD7FCC"/>
    <w:rsid w:val="00FE006D"/>
    <w:rsid w:val="00FE019A"/>
    <w:rsid w:val="00FE01E0"/>
    <w:rsid w:val="00FE072F"/>
    <w:rsid w:val="00FE075B"/>
    <w:rsid w:val="00FE086D"/>
    <w:rsid w:val="00FE08D5"/>
    <w:rsid w:val="00FE103A"/>
    <w:rsid w:val="00FE10FD"/>
    <w:rsid w:val="00FE14B4"/>
    <w:rsid w:val="00FE1500"/>
    <w:rsid w:val="00FE1604"/>
    <w:rsid w:val="00FE1EF4"/>
    <w:rsid w:val="00FE208E"/>
    <w:rsid w:val="00FE20BE"/>
    <w:rsid w:val="00FE2460"/>
    <w:rsid w:val="00FE27D3"/>
    <w:rsid w:val="00FE282D"/>
    <w:rsid w:val="00FE286B"/>
    <w:rsid w:val="00FE2A7E"/>
    <w:rsid w:val="00FE2B65"/>
    <w:rsid w:val="00FE2B8A"/>
    <w:rsid w:val="00FE3132"/>
    <w:rsid w:val="00FE333A"/>
    <w:rsid w:val="00FE3485"/>
    <w:rsid w:val="00FE3703"/>
    <w:rsid w:val="00FE3A1F"/>
    <w:rsid w:val="00FE3BCC"/>
    <w:rsid w:val="00FE4034"/>
    <w:rsid w:val="00FE40A5"/>
    <w:rsid w:val="00FE4510"/>
    <w:rsid w:val="00FE4792"/>
    <w:rsid w:val="00FE4E07"/>
    <w:rsid w:val="00FE4FB8"/>
    <w:rsid w:val="00FE5146"/>
    <w:rsid w:val="00FE564E"/>
    <w:rsid w:val="00FE56AF"/>
    <w:rsid w:val="00FE575A"/>
    <w:rsid w:val="00FE5833"/>
    <w:rsid w:val="00FE5B56"/>
    <w:rsid w:val="00FE5C7F"/>
    <w:rsid w:val="00FE5D8C"/>
    <w:rsid w:val="00FE5DBC"/>
    <w:rsid w:val="00FE5EE2"/>
    <w:rsid w:val="00FE5FD4"/>
    <w:rsid w:val="00FE66FD"/>
    <w:rsid w:val="00FE7047"/>
    <w:rsid w:val="00FE7162"/>
    <w:rsid w:val="00FE7233"/>
    <w:rsid w:val="00FE7426"/>
    <w:rsid w:val="00FF00A3"/>
    <w:rsid w:val="00FF057D"/>
    <w:rsid w:val="00FF0B31"/>
    <w:rsid w:val="00FF0D0E"/>
    <w:rsid w:val="00FF103F"/>
    <w:rsid w:val="00FF1464"/>
    <w:rsid w:val="00FF174D"/>
    <w:rsid w:val="00FF1C25"/>
    <w:rsid w:val="00FF2096"/>
    <w:rsid w:val="00FF2469"/>
    <w:rsid w:val="00FF25F6"/>
    <w:rsid w:val="00FF26BE"/>
    <w:rsid w:val="00FF2898"/>
    <w:rsid w:val="00FF2958"/>
    <w:rsid w:val="00FF2BEE"/>
    <w:rsid w:val="00FF2DF6"/>
    <w:rsid w:val="00FF2F32"/>
    <w:rsid w:val="00FF2F6D"/>
    <w:rsid w:val="00FF303F"/>
    <w:rsid w:val="00FF36C9"/>
    <w:rsid w:val="00FF3BB7"/>
    <w:rsid w:val="00FF409A"/>
    <w:rsid w:val="00FF466E"/>
    <w:rsid w:val="00FF4C06"/>
    <w:rsid w:val="00FF4C9A"/>
    <w:rsid w:val="00FF4CF0"/>
    <w:rsid w:val="00FF4F1B"/>
    <w:rsid w:val="00FF58C8"/>
    <w:rsid w:val="00FF58EE"/>
    <w:rsid w:val="00FF5A62"/>
    <w:rsid w:val="00FF6AA6"/>
    <w:rsid w:val="00FF6B0F"/>
    <w:rsid w:val="00FF6FE6"/>
    <w:rsid w:val="00FF7075"/>
    <w:rsid w:val="00FF74F1"/>
    <w:rsid w:val="00FF7C90"/>
    <w:rsid w:val="00FF7E13"/>
    <w:rsid w:val="00FF7EF5"/>
    <w:rsid w:val="00FF7F9F"/>
    <w:rsid w:val="0889E593"/>
    <w:rsid w:val="095BEE5B"/>
    <w:rsid w:val="0A5450C2"/>
    <w:rsid w:val="1854F831"/>
    <w:rsid w:val="2041B32F"/>
    <w:rsid w:val="346C593D"/>
    <w:rsid w:val="3A6B0811"/>
    <w:rsid w:val="487B0249"/>
    <w:rsid w:val="5D725737"/>
    <w:rsid w:val="6987F835"/>
    <w:rsid w:val="73DD3B2B"/>
    <w:rsid w:val="78991E35"/>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784648"/>
  <w15:chartTrackingRefBased/>
  <w15:docId w15:val="{51D69ADA-5B19-4D08-BD0E-B7A7DC33D9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2787"/>
    <w:pPr>
      <w:spacing w:before="180" w:after="180" w:line="252" w:lineRule="auto"/>
    </w:pPr>
    <w:rPr>
      <w:rFonts w:ascii="Aptos" w:eastAsia="Times New Roman" w:hAnsi="Aptos" w:cs="Times New Roman"/>
      <w:lang w:eastAsia="en-GB"/>
    </w:rPr>
  </w:style>
  <w:style w:type="paragraph" w:styleId="Heading1">
    <w:name w:val="heading 1"/>
    <w:basedOn w:val="Normal"/>
    <w:next w:val="Normal"/>
    <w:link w:val="Heading1Char"/>
    <w:uiPriority w:val="9"/>
    <w:qFormat/>
    <w:rsid w:val="00A24D67"/>
    <w:pPr>
      <w:spacing w:before="480"/>
      <w:ind w:left="567" w:hanging="567"/>
      <w:outlineLvl w:val="0"/>
    </w:pPr>
    <w:rPr>
      <w:b/>
      <w:bCs/>
      <w:color w:val="C00000"/>
      <w:sz w:val="36"/>
      <w:szCs w:val="36"/>
    </w:rPr>
  </w:style>
  <w:style w:type="paragraph" w:styleId="Heading2">
    <w:name w:val="heading 2"/>
    <w:basedOn w:val="Normal"/>
    <w:next w:val="Normal"/>
    <w:link w:val="Heading2Char"/>
    <w:uiPriority w:val="9"/>
    <w:unhideWhenUsed/>
    <w:qFormat/>
    <w:rsid w:val="00AD069E"/>
    <w:pPr>
      <w:spacing w:before="240" w:after="240"/>
      <w:outlineLvl w:val="1"/>
    </w:pPr>
    <w:rPr>
      <w:b/>
      <w:bCs/>
      <w:color w:val="C00000"/>
      <w:spacing w:val="-2"/>
      <w:w w:val="105"/>
      <w:sz w:val="28"/>
      <w:szCs w:val="28"/>
    </w:rPr>
  </w:style>
  <w:style w:type="paragraph" w:styleId="Heading3">
    <w:name w:val="heading 3"/>
    <w:basedOn w:val="Normal"/>
    <w:next w:val="Normal"/>
    <w:link w:val="Heading3Char"/>
    <w:uiPriority w:val="9"/>
    <w:unhideWhenUsed/>
    <w:qFormat/>
    <w:rsid w:val="00A24D67"/>
    <w:pPr>
      <w:spacing w:before="240"/>
      <w:ind w:left="992" w:hanging="992"/>
      <w:outlineLvl w:val="2"/>
    </w:pPr>
    <w:rPr>
      <w:b/>
      <w:bCs/>
      <w:color w:val="C00000"/>
      <w:sz w:val="24"/>
      <w:szCs w:val="24"/>
    </w:rPr>
  </w:style>
  <w:style w:type="paragraph" w:styleId="Heading4">
    <w:name w:val="heading 4"/>
    <w:basedOn w:val="Normal"/>
    <w:next w:val="Normal"/>
    <w:link w:val="Heading4Char"/>
    <w:uiPriority w:val="9"/>
    <w:unhideWhenUsed/>
    <w:qFormat/>
    <w:rsid w:val="00A24D67"/>
    <w:pPr>
      <w:keepNext/>
      <w:keepLines/>
      <w:ind w:left="992" w:hanging="992"/>
      <w:outlineLvl w:val="3"/>
    </w:pPr>
    <w:rPr>
      <w:rFonts w:eastAsiaTheme="majorEastAsia"/>
      <w:i/>
      <w:iCs/>
      <w:color w:val="C00000"/>
    </w:rPr>
  </w:style>
  <w:style w:type="paragraph" w:styleId="Heading5">
    <w:name w:val="heading 5"/>
    <w:basedOn w:val="Normal"/>
    <w:next w:val="Normal"/>
    <w:link w:val="Heading5Char"/>
    <w:uiPriority w:val="9"/>
    <w:unhideWhenUsed/>
    <w:qFormat/>
    <w:rsid w:val="00A24D67"/>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A24D67"/>
    <w:rPr>
      <w:rFonts w:ascii="Arial" w:hAnsi="Arial" w:cs="Arial"/>
      <w:b/>
      <w:bCs/>
      <w:color w:val="C00000"/>
      <w:sz w:val="36"/>
      <w:szCs w:val="36"/>
    </w:rPr>
  </w:style>
  <w:style w:type="character" w:customStyle="1" w:styleId="Heading2Char">
    <w:name w:val="Heading 2 Char"/>
    <w:basedOn w:val="DefaultParagraphFont"/>
    <w:link w:val="Heading2"/>
    <w:uiPriority w:val="9"/>
    <w:rsid w:val="00AD069E"/>
    <w:rPr>
      <w:rFonts w:ascii="Arial" w:eastAsia="Times New Roman" w:hAnsi="Arial" w:cs="Arial"/>
      <w:b/>
      <w:bCs/>
      <w:color w:val="C00000"/>
      <w:spacing w:val="-2"/>
      <w:w w:val="105"/>
      <w:sz w:val="28"/>
      <w:szCs w:val="28"/>
      <w:lang w:eastAsia="en-GB"/>
    </w:rPr>
  </w:style>
  <w:style w:type="character" w:customStyle="1" w:styleId="Heading3Char">
    <w:name w:val="Heading 3 Char"/>
    <w:basedOn w:val="DefaultParagraphFont"/>
    <w:link w:val="Heading3"/>
    <w:uiPriority w:val="9"/>
    <w:rsid w:val="00A24D67"/>
    <w:rPr>
      <w:rFonts w:ascii="Arial" w:hAnsi="Arial" w:cs="Arial"/>
      <w:b/>
      <w:bCs/>
      <w:color w:val="C00000"/>
      <w:sz w:val="24"/>
      <w:szCs w:val="24"/>
    </w:rPr>
  </w:style>
  <w:style w:type="character" w:customStyle="1" w:styleId="Heading4Char">
    <w:name w:val="Heading 4 Char"/>
    <w:basedOn w:val="DefaultParagraphFont"/>
    <w:link w:val="Heading4"/>
    <w:uiPriority w:val="9"/>
    <w:rsid w:val="00A24D67"/>
    <w:rPr>
      <w:rFonts w:ascii="Arial" w:eastAsiaTheme="majorEastAsia" w:hAnsi="Arial" w:cs="Arial"/>
      <w:i/>
      <w:iCs/>
      <w:color w:val="C00000"/>
      <w:sz w:val="21"/>
      <w:szCs w:val="21"/>
    </w:rPr>
  </w:style>
  <w:style w:type="character" w:customStyle="1" w:styleId="Heading5Char">
    <w:name w:val="Heading 5 Char"/>
    <w:basedOn w:val="DefaultParagraphFont"/>
    <w:link w:val="Heading5"/>
    <w:uiPriority w:val="1"/>
    <w:rsid w:val="00A24D67"/>
    <w:rPr>
      <w:rFonts w:asciiTheme="majorHAnsi" w:eastAsiaTheme="majorEastAsia" w:hAnsiTheme="majorHAnsi" w:cstheme="majorBidi"/>
      <w:color w:val="2F5496" w:themeColor="accent1" w:themeShade="BF"/>
      <w:sz w:val="21"/>
      <w:szCs w:val="21"/>
    </w:rPr>
  </w:style>
  <w:style w:type="paragraph" w:customStyle="1" w:styleId="Intabledots">
    <w:name w:val="Intable dots"/>
    <w:basedOn w:val="TableText"/>
    <w:qFormat/>
    <w:rsid w:val="00A24D67"/>
    <w:pPr>
      <w:framePr w:hSpace="0" w:wrap="auto" w:vAnchor="margin" w:yAlign="inline"/>
      <w:numPr>
        <w:numId w:val="4"/>
      </w:numPr>
    </w:pPr>
  </w:style>
  <w:style w:type="paragraph" w:styleId="NoSpacing">
    <w:name w:val="No Spacing"/>
    <w:uiPriority w:val="1"/>
    <w:qFormat/>
    <w:rsid w:val="00A24D67"/>
    <w:pPr>
      <w:spacing w:after="0" w:line="240" w:lineRule="auto"/>
    </w:pPr>
    <w:rPr>
      <w:rFonts w:ascii="Arial" w:hAnsi="Arial" w:cs="Arial"/>
      <w:sz w:val="21"/>
      <w:szCs w:val="21"/>
    </w:rPr>
  </w:style>
  <w:style w:type="character" w:styleId="Emphasis">
    <w:name w:val="Emphasis"/>
    <w:basedOn w:val="DefaultParagraphFont"/>
    <w:uiPriority w:val="20"/>
    <w:qFormat/>
    <w:rsid w:val="00A24D67"/>
    <w:rPr>
      <w:i/>
      <w:iCs/>
    </w:rPr>
  </w:style>
  <w:style w:type="character" w:styleId="CommentReference">
    <w:name w:val="annotation reference"/>
    <w:basedOn w:val="DefaultParagraphFont"/>
    <w:uiPriority w:val="99"/>
    <w:unhideWhenUsed/>
    <w:rsid w:val="00A24D67"/>
    <w:rPr>
      <w:sz w:val="16"/>
      <w:szCs w:val="16"/>
    </w:rPr>
  </w:style>
  <w:style w:type="paragraph" w:styleId="CommentText">
    <w:name w:val="annotation text"/>
    <w:basedOn w:val="Normal"/>
    <w:link w:val="CommentTextChar"/>
    <w:uiPriority w:val="99"/>
    <w:unhideWhenUsed/>
    <w:rsid w:val="00A24D67"/>
    <w:rPr>
      <w:sz w:val="20"/>
      <w:szCs w:val="20"/>
    </w:rPr>
  </w:style>
  <w:style w:type="character" w:customStyle="1" w:styleId="CommentTextChar">
    <w:name w:val="Comment Text Char"/>
    <w:basedOn w:val="DefaultParagraphFont"/>
    <w:link w:val="CommentText"/>
    <w:uiPriority w:val="99"/>
    <w:rsid w:val="00A24D6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A24D67"/>
    <w:rPr>
      <w:b/>
      <w:bCs/>
    </w:rPr>
  </w:style>
  <w:style w:type="character" w:customStyle="1" w:styleId="CommentSubjectChar">
    <w:name w:val="Comment Subject Char"/>
    <w:basedOn w:val="CommentTextChar"/>
    <w:link w:val="CommentSubject"/>
    <w:uiPriority w:val="99"/>
    <w:semiHidden/>
    <w:rsid w:val="00A24D67"/>
    <w:rPr>
      <w:rFonts w:ascii="Arial" w:hAnsi="Arial" w:cs="Arial"/>
      <w:b/>
      <w:bCs/>
      <w:sz w:val="20"/>
      <w:szCs w:val="20"/>
    </w:rPr>
  </w:style>
  <w:style w:type="paragraph" w:styleId="Header">
    <w:name w:val="header"/>
    <w:basedOn w:val="Normal"/>
    <w:link w:val="HeaderChar"/>
    <w:uiPriority w:val="99"/>
    <w:unhideWhenUsed/>
    <w:rsid w:val="00A24D67"/>
    <w:pPr>
      <w:tabs>
        <w:tab w:val="center" w:pos="4513"/>
        <w:tab w:val="right" w:pos="9026"/>
      </w:tabs>
    </w:pPr>
  </w:style>
  <w:style w:type="character" w:customStyle="1" w:styleId="HeaderChar">
    <w:name w:val="Header Char"/>
    <w:basedOn w:val="DefaultParagraphFont"/>
    <w:link w:val="Header"/>
    <w:uiPriority w:val="99"/>
    <w:rsid w:val="00A24D67"/>
    <w:rPr>
      <w:rFonts w:ascii="Arial" w:hAnsi="Arial" w:cs="Arial"/>
      <w:sz w:val="21"/>
      <w:szCs w:val="21"/>
    </w:rPr>
  </w:style>
  <w:style w:type="paragraph" w:styleId="Footer">
    <w:name w:val="footer"/>
    <w:basedOn w:val="Normal"/>
    <w:link w:val="FooterChar"/>
    <w:uiPriority w:val="99"/>
    <w:unhideWhenUsed/>
    <w:rsid w:val="00A24D67"/>
    <w:pPr>
      <w:tabs>
        <w:tab w:val="center" w:pos="4513"/>
        <w:tab w:val="right" w:pos="9026"/>
      </w:tabs>
    </w:pPr>
  </w:style>
  <w:style w:type="character" w:customStyle="1" w:styleId="FooterChar">
    <w:name w:val="Footer Char"/>
    <w:basedOn w:val="DefaultParagraphFont"/>
    <w:link w:val="Footer"/>
    <w:uiPriority w:val="99"/>
    <w:rsid w:val="00A24D67"/>
    <w:rPr>
      <w:rFonts w:ascii="Arial" w:hAnsi="Arial" w:cs="Arial"/>
      <w:sz w:val="21"/>
      <w:szCs w:val="21"/>
    </w:rPr>
  </w:style>
  <w:style w:type="paragraph" w:styleId="ListParagraph">
    <w:name w:val="List Paragraph"/>
    <w:aliases w:val="Numbered para,ES Paragraph,PBAC ES Paragraph,BulletPoints,Bullet Point,Bullet point,Bulletr List Paragraph,Content descriptions,FooterText,L,List Bullet 1,List Paragraph1,List Paragraph11,List Paragraph2,List Paragraph21,Listeafsnit1,リスト段"/>
    <w:basedOn w:val="Normal"/>
    <w:link w:val="ListParagraphChar"/>
    <w:uiPriority w:val="34"/>
    <w:qFormat/>
    <w:rsid w:val="00A24D67"/>
    <w:pPr>
      <w:ind w:left="720"/>
      <w:contextualSpacing/>
    </w:pPr>
  </w:style>
  <w:style w:type="paragraph" w:customStyle="1" w:styleId="TitlePage">
    <w:name w:val="Title Page"/>
    <w:basedOn w:val="Normal"/>
    <w:link w:val="TitlePageChar"/>
    <w:qFormat/>
    <w:rsid w:val="00A24D67"/>
    <w:pPr>
      <w:spacing w:before="240"/>
    </w:pPr>
    <w:rPr>
      <w:b/>
      <w:bCs/>
      <w:color w:val="C00000"/>
      <w:sz w:val="48"/>
      <w:szCs w:val="48"/>
    </w:rPr>
  </w:style>
  <w:style w:type="paragraph" w:styleId="Title">
    <w:name w:val="Title"/>
    <w:aliases w:val="Title page,smaller"/>
    <w:basedOn w:val="Normal"/>
    <w:next w:val="Normal"/>
    <w:link w:val="TitleChar"/>
    <w:uiPriority w:val="10"/>
    <w:qFormat/>
    <w:rsid w:val="00A24D67"/>
    <w:rPr>
      <w:color w:val="808080" w:themeColor="background1" w:themeShade="80"/>
      <w:sz w:val="24"/>
      <w:szCs w:val="24"/>
    </w:rPr>
  </w:style>
  <w:style w:type="character" w:customStyle="1" w:styleId="TitleChar">
    <w:name w:val="Title Char"/>
    <w:aliases w:val="Title page Char,smaller Char"/>
    <w:basedOn w:val="DefaultParagraphFont"/>
    <w:link w:val="Title"/>
    <w:uiPriority w:val="10"/>
    <w:rsid w:val="00A24D67"/>
    <w:rPr>
      <w:rFonts w:ascii="Arial" w:hAnsi="Arial" w:cs="Arial"/>
      <w:color w:val="808080" w:themeColor="background1" w:themeShade="80"/>
      <w:sz w:val="24"/>
      <w:szCs w:val="24"/>
    </w:rPr>
  </w:style>
  <w:style w:type="character" w:customStyle="1" w:styleId="TitlePageChar">
    <w:name w:val="Title Page Char"/>
    <w:basedOn w:val="DefaultParagraphFont"/>
    <w:link w:val="TitlePage"/>
    <w:rsid w:val="00A24D67"/>
    <w:rPr>
      <w:rFonts w:ascii="Arial" w:hAnsi="Arial" w:cs="Arial"/>
      <w:b/>
      <w:bCs/>
      <w:color w:val="C00000"/>
      <w:sz w:val="48"/>
      <w:szCs w:val="48"/>
    </w:rPr>
  </w:style>
  <w:style w:type="character" w:styleId="Hyperlink">
    <w:name w:val="Hyperlink"/>
    <w:basedOn w:val="DefaultParagraphFont"/>
    <w:uiPriority w:val="99"/>
    <w:unhideWhenUsed/>
    <w:rsid w:val="00A24D67"/>
    <w:rPr>
      <w:color w:val="0563C1" w:themeColor="hyperlink"/>
      <w:u w:val="single"/>
    </w:rPr>
  </w:style>
  <w:style w:type="character" w:customStyle="1" w:styleId="UnresolvedMention1">
    <w:name w:val="Unresolved Mention1"/>
    <w:basedOn w:val="DefaultParagraphFont"/>
    <w:uiPriority w:val="99"/>
    <w:semiHidden/>
    <w:unhideWhenUsed/>
    <w:rsid w:val="00A24D67"/>
    <w:rPr>
      <w:color w:val="605E5C"/>
      <w:shd w:val="clear" w:color="auto" w:fill="E1DFDD"/>
    </w:rPr>
  </w:style>
  <w:style w:type="paragraph" w:styleId="TOCHeading">
    <w:name w:val="TOC Heading"/>
    <w:basedOn w:val="Heading1"/>
    <w:next w:val="Normal"/>
    <w:uiPriority w:val="39"/>
    <w:unhideWhenUsed/>
    <w:qFormat/>
    <w:rsid w:val="00A24D67"/>
    <w:pPr>
      <w:keepNext/>
      <w:keepLines/>
      <w:spacing w:line="259" w:lineRule="auto"/>
      <w:outlineLvl w:val="9"/>
    </w:pPr>
    <w:rPr>
      <w:rFonts w:asciiTheme="majorHAnsi" w:eastAsiaTheme="majorEastAsia" w:hAnsiTheme="majorHAnsi" w:cstheme="majorBidi"/>
      <w:b w:val="0"/>
      <w:bCs w:val="0"/>
      <w:color w:val="2F5496" w:themeColor="accent1" w:themeShade="BF"/>
      <w:lang w:val="en-US"/>
    </w:rPr>
  </w:style>
  <w:style w:type="paragraph" w:styleId="TOC1">
    <w:name w:val="toc 1"/>
    <w:basedOn w:val="Normal"/>
    <w:next w:val="Normal"/>
    <w:autoRedefine/>
    <w:uiPriority w:val="39"/>
    <w:unhideWhenUsed/>
    <w:rsid w:val="006F3117"/>
    <w:pPr>
      <w:tabs>
        <w:tab w:val="right" w:leader="dot" w:pos="9016"/>
      </w:tabs>
      <w:spacing w:after="100"/>
    </w:pPr>
  </w:style>
  <w:style w:type="paragraph" w:styleId="TOC2">
    <w:name w:val="toc 2"/>
    <w:basedOn w:val="Normal"/>
    <w:next w:val="Normal"/>
    <w:autoRedefine/>
    <w:uiPriority w:val="39"/>
    <w:unhideWhenUsed/>
    <w:rsid w:val="00A24D67"/>
    <w:pPr>
      <w:tabs>
        <w:tab w:val="right" w:leader="dot" w:pos="9016"/>
      </w:tabs>
      <w:spacing w:after="100"/>
      <w:ind w:left="210"/>
    </w:pPr>
  </w:style>
  <w:style w:type="paragraph" w:styleId="TOC3">
    <w:name w:val="toc 3"/>
    <w:basedOn w:val="Normal"/>
    <w:next w:val="Normal"/>
    <w:autoRedefine/>
    <w:uiPriority w:val="39"/>
    <w:unhideWhenUsed/>
    <w:rsid w:val="00A24D67"/>
    <w:pPr>
      <w:spacing w:after="100"/>
      <w:ind w:left="420"/>
    </w:pPr>
  </w:style>
  <w:style w:type="paragraph" w:customStyle="1" w:styleId="EndNoteBibliographyTitle">
    <w:name w:val="EndNote Bibliography Title"/>
    <w:basedOn w:val="Normal"/>
    <w:link w:val="EndNoteBibliographyTitleChar"/>
    <w:rsid w:val="00A24D67"/>
    <w:pPr>
      <w:jc w:val="center"/>
    </w:pPr>
    <w:rPr>
      <w:rFonts w:ascii="Arial" w:hAnsi="Arial" w:cs="Arial"/>
      <w:sz w:val="20"/>
      <w:lang w:val="en-US"/>
    </w:rPr>
  </w:style>
  <w:style w:type="character" w:customStyle="1" w:styleId="EndNoteBibliographyTitleChar">
    <w:name w:val="EndNote Bibliography Title Char"/>
    <w:basedOn w:val="DefaultParagraphFont"/>
    <w:link w:val="EndNoteBibliographyTitle"/>
    <w:rsid w:val="00A24D67"/>
    <w:rPr>
      <w:rFonts w:ascii="Arial" w:eastAsia="Times New Roman" w:hAnsi="Arial" w:cs="Arial"/>
      <w:sz w:val="20"/>
      <w:lang w:val="en-US" w:eastAsia="en-GB"/>
    </w:rPr>
  </w:style>
  <w:style w:type="paragraph" w:customStyle="1" w:styleId="EndNoteBibliography">
    <w:name w:val="EndNote Bibliography"/>
    <w:basedOn w:val="Normal"/>
    <w:link w:val="EndNoteBibliographyChar"/>
    <w:rsid w:val="00A24D67"/>
    <w:pPr>
      <w:spacing w:line="240" w:lineRule="auto"/>
    </w:pPr>
    <w:rPr>
      <w:rFonts w:ascii="Arial" w:hAnsi="Arial" w:cs="Arial"/>
      <w:sz w:val="20"/>
      <w:lang w:val="en-US"/>
    </w:rPr>
  </w:style>
  <w:style w:type="character" w:customStyle="1" w:styleId="EndNoteBibliographyChar">
    <w:name w:val="EndNote Bibliography Char"/>
    <w:basedOn w:val="DefaultParagraphFont"/>
    <w:link w:val="EndNoteBibliography"/>
    <w:rsid w:val="00A24D67"/>
    <w:rPr>
      <w:rFonts w:ascii="Arial" w:eastAsia="Times New Roman" w:hAnsi="Arial" w:cs="Arial"/>
      <w:sz w:val="20"/>
      <w:lang w:val="en-US" w:eastAsia="en-GB"/>
    </w:rPr>
  </w:style>
  <w:style w:type="table" w:styleId="TableGrid">
    <w:name w:val="Table Grid"/>
    <w:aliases w:val="Summary box,Table Gridbeth,RTI AMCP Table,new style,ASD Table,HealthConsult"/>
    <w:basedOn w:val="TableNormal"/>
    <w:uiPriority w:val="39"/>
    <w:rsid w:val="00A24D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A24D67"/>
    <w:rPr>
      <w:color w:val="808080" w:themeColor="background1" w:themeShade="80"/>
      <w:sz w:val="18"/>
      <w:szCs w:val="18"/>
    </w:rPr>
  </w:style>
  <w:style w:type="character" w:customStyle="1" w:styleId="SubtitleChar">
    <w:name w:val="Subtitle Char"/>
    <w:basedOn w:val="DefaultParagraphFont"/>
    <w:link w:val="Subtitle"/>
    <w:uiPriority w:val="11"/>
    <w:rsid w:val="00A24D67"/>
    <w:rPr>
      <w:rFonts w:ascii="Arial" w:hAnsi="Arial" w:cs="Arial"/>
      <w:color w:val="808080" w:themeColor="background1" w:themeShade="80"/>
      <w:sz w:val="18"/>
      <w:szCs w:val="18"/>
    </w:rPr>
  </w:style>
  <w:style w:type="paragraph" w:styleId="Caption">
    <w:name w:val="caption"/>
    <w:basedOn w:val="Normal"/>
    <w:next w:val="Normal"/>
    <w:unhideWhenUsed/>
    <w:qFormat/>
    <w:rsid w:val="00A24D67"/>
    <w:pPr>
      <w:spacing w:after="200" w:line="240" w:lineRule="auto"/>
    </w:pPr>
    <w:rPr>
      <w:i/>
      <w:iCs/>
      <w:color w:val="44546A" w:themeColor="text2"/>
      <w:sz w:val="18"/>
      <w:szCs w:val="18"/>
    </w:rPr>
  </w:style>
  <w:style w:type="paragraph" w:customStyle="1" w:styleId="Caption1">
    <w:name w:val="Caption1"/>
    <w:basedOn w:val="Normal"/>
    <w:link w:val="CAPTIONChar"/>
    <w:qFormat/>
    <w:rsid w:val="00A24D67"/>
    <w:pPr>
      <w:keepNext/>
      <w:spacing w:before="240" w:after="60" w:line="240" w:lineRule="auto"/>
    </w:pPr>
    <w:rPr>
      <w:rFonts w:ascii="Arial Narrow" w:hAnsi="Arial Narrow"/>
      <w:b/>
      <w:bCs/>
      <w:color w:val="000000" w:themeColor="text1"/>
      <w:sz w:val="20"/>
      <w:szCs w:val="20"/>
    </w:rPr>
  </w:style>
  <w:style w:type="paragraph" w:customStyle="1" w:styleId="Dotpoints">
    <w:name w:val="Dot points"/>
    <w:basedOn w:val="ListParagraph"/>
    <w:link w:val="DotpointsChar"/>
    <w:qFormat/>
    <w:rsid w:val="00A24D67"/>
    <w:pPr>
      <w:numPr>
        <w:numId w:val="2"/>
      </w:numPr>
    </w:pPr>
  </w:style>
  <w:style w:type="character" w:customStyle="1" w:styleId="CAPTIONChar">
    <w:name w:val="CAPTION Char"/>
    <w:basedOn w:val="SubtitleChar"/>
    <w:link w:val="Caption1"/>
    <w:rsid w:val="00A24D67"/>
    <w:rPr>
      <w:rFonts w:ascii="Arial Narrow" w:hAnsi="Arial Narrow" w:cs="Arial"/>
      <w:b/>
      <w:bCs/>
      <w:color w:val="000000" w:themeColor="text1"/>
      <w:sz w:val="20"/>
      <w:szCs w:val="20"/>
    </w:rPr>
  </w:style>
  <w:style w:type="character" w:customStyle="1" w:styleId="ListParagraphChar">
    <w:name w:val="List Paragraph Char"/>
    <w:aliases w:val="Numbered para Char,ES Paragraph Char,PBAC ES Paragraph Char,BulletPoints Char,Bullet Point Char,Bullet point Char,Bulletr List Paragraph Char,Content descriptions Char,FooterText Char,L Char,List Bullet 1 Char,List Paragraph1 Char"/>
    <w:basedOn w:val="DefaultParagraphFont"/>
    <w:link w:val="ListParagraph"/>
    <w:uiPriority w:val="34"/>
    <w:rsid w:val="00A24D67"/>
    <w:rPr>
      <w:rFonts w:ascii="Arial" w:hAnsi="Arial" w:cs="Arial"/>
      <w:sz w:val="21"/>
      <w:szCs w:val="21"/>
    </w:rPr>
  </w:style>
  <w:style w:type="character" w:customStyle="1" w:styleId="DotpointsChar">
    <w:name w:val="Dot points Char"/>
    <w:basedOn w:val="ListParagraphChar"/>
    <w:link w:val="Dotpoints"/>
    <w:rsid w:val="00A24D67"/>
    <w:rPr>
      <w:rFonts w:ascii="Aptos" w:eastAsia="Times New Roman" w:hAnsi="Aptos" w:cs="Times New Roman"/>
      <w:sz w:val="21"/>
      <w:szCs w:val="21"/>
      <w:lang w:eastAsia="en-GB"/>
    </w:rPr>
  </w:style>
  <w:style w:type="paragraph" w:styleId="Revision">
    <w:name w:val="Revision"/>
    <w:hidden/>
    <w:uiPriority w:val="99"/>
    <w:semiHidden/>
    <w:rsid w:val="00A24D67"/>
    <w:pPr>
      <w:spacing w:after="0" w:line="240" w:lineRule="auto"/>
    </w:pPr>
    <w:rPr>
      <w:rFonts w:ascii="Arial" w:hAnsi="Arial" w:cs="Arial"/>
      <w:sz w:val="21"/>
      <w:szCs w:val="21"/>
    </w:rPr>
  </w:style>
  <w:style w:type="character" w:styleId="FollowedHyperlink">
    <w:name w:val="FollowedHyperlink"/>
    <w:basedOn w:val="DefaultParagraphFont"/>
    <w:uiPriority w:val="99"/>
    <w:semiHidden/>
    <w:unhideWhenUsed/>
    <w:rsid w:val="00A24D67"/>
    <w:rPr>
      <w:color w:val="954F72" w:themeColor="followedHyperlink"/>
      <w:u w:val="single"/>
    </w:rPr>
  </w:style>
  <w:style w:type="paragraph" w:styleId="BalloonText">
    <w:name w:val="Balloon Text"/>
    <w:basedOn w:val="Normal"/>
    <w:link w:val="BalloonTextChar"/>
    <w:uiPriority w:val="99"/>
    <w:semiHidden/>
    <w:unhideWhenUsed/>
    <w:rsid w:val="00A24D6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4D67"/>
    <w:rPr>
      <w:rFonts w:ascii="Segoe UI" w:hAnsi="Segoe UI" w:cs="Segoe UI"/>
      <w:sz w:val="18"/>
      <w:szCs w:val="18"/>
    </w:rPr>
  </w:style>
  <w:style w:type="character" w:customStyle="1" w:styleId="UnresolvedMention2">
    <w:name w:val="Unresolved Mention2"/>
    <w:basedOn w:val="DefaultParagraphFont"/>
    <w:uiPriority w:val="99"/>
    <w:semiHidden/>
    <w:unhideWhenUsed/>
    <w:rsid w:val="00A24D67"/>
    <w:rPr>
      <w:color w:val="605E5C"/>
      <w:shd w:val="clear" w:color="auto" w:fill="E1DFDD"/>
    </w:rPr>
  </w:style>
  <w:style w:type="character" w:styleId="UnresolvedMention">
    <w:name w:val="Unresolved Mention"/>
    <w:basedOn w:val="DefaultParagraphFont"/>
    <w:uiPriority w:val="99"/>
    <w:semiHidden/>
    <w:unhideWhenUsed/>
    <w:rsid w:val="00A24D67"/>
    <w:rPr>
      <w:color w:val="605E5C"/>
      <w:shd w:val="clear" w:color="auto" w:fill="E1DFDD"/>
    </w:rPr>
  </w:style>
  <w:style w:type="paragraph" w:customStyle="1" w:styleId="TableText">
    <w:name w:val="Table Text"/>
    <w:basedOn w:val="Normal"/>
    <w:link w:val="TableTextChar"/>
    <w:qFormat/>
    <w:rsid w:val="00A24D67"/>
    <w:pPr>
      <w:framePr w:hSpace="180" w:wrap="around" w:vAnchor="text" w:hAnchor="text" w:y="-85"/>
      <w:spacing w:after="0" w:line="240" w:lineRule="auto"/>
    </w:pPr>
    <w:rPr>
      <w:rFonts w:ascii="Arial Narrow" w:hAnsi="Arial Narrow"/>
      <w:sz w:val="20"/>
      <w:szCs w:val="20"/>
    </w:rPr>
  </w:style>
  <w:style w:type="character" w:customStyle="1" w:styleId="TableTextChar">
    <w:name w:val="Table Text Char"/>
    <w:basedOn w:val="DefaultParagraphFont"/>
    <w:link w:val="TableText"/>
    <w:rsid w:val="00A24D67"/>
    <w:rPr>
      <w:rFonts w:ascii="Arial Narrow" w:hAnsi="Arial Narrow" w:cs="Arial"/>
      <w:sz w:val="20"/>
      <w:szCs w:val="20"/>
    </w:rPr>
  </w:style>
  <w:style w:type="paragraph" w:customStyle="1" w:styleId="In-tableHeading">
    <w:name w:val="In-table Heading"/>
    <w:basedOn w:val="Normal"/>
    <w:qFormat/>
    <w:rsid w:val="00A24D67"/>
    <w:pPr>
      <w:framePr w:hSpace="180" w:wrap="around" w:vAnchor="text" w:hAnchor="text" w:y="-85"/>
      <w:spacing w:after="0" w:line="240" w:lineRule="auto"/>
    </w:pPr>
    <w:rPr>
      <w:rFonts w:ascii="Arial Narrow" w:hAnsi="Arial Narrow"/>
      <w:b/>
      <w:bCs/>
      <w:sz w:val="20"/>
      <w:szCs w:val="20"/>
    </w:rPr>
  </w:style>
  <w:style w:type="paragraph" w:customStyle="1" w:styleId="TableFigureFooter">
    <w:name w:val="Table/Figure Footer"/>
    <w:basedOn w:val="Normal"/>
    <w:link w:val="TableFigureFooterChar"/>
    <w:qFormat/>
    <w:rsid w:val="00A24D67"/>
    <w:pPr>
      <w:tabs>
        <w:tab w:val="left" w:pos="284"/>
      </w:tabs>
      <w:spacing w:after="360" w:line="240" w:lineRule="auto"/>
      <w:jc w:val="both"/>
    </w:pPr>
    <w:rPr>
      <w:rFonts w:ascii="Arial Narrow" w:hAnsi="Arial Narrow"/>
      <w:snapToGrid w:val="0"/>
      <w:sz w:val="18"/>
      <w:lang w:eastAsia="en-AU"/>
    </w:rPr>
  </w:style>
  <w:style w:type="character" w:customStyle="1" w:styleId="TableFigureFooterChar">
    <w:name w:val="Table/Figure Footer Char"/>
    <w:link w:val="TableFigureFooter"/>
    <w:rsid w:val="00A24D67"/>
    <w:rPr>
      <w:rFonts w:ascii="Arial Narrow" w:eastAsia="Times New Roman" w:hAnsi="Arial Narrow" w:cs="Arial"/>
      <w:snapToGrid w:val="0"/>
      <w:sz w:val="18"/>
      <w:lang w:eastAsia="en-AU"/>
    </w:rPr>
  </w:style>
  <w:style w:type="paragraph" w:styleId="NormalWeb">
    <w:name w:val="Normal (Web)"/>
    <w:basedOn w:val="Normal"/>
    <w:uiPriority w:val="99"/>
    <w:unhideWhenUsed/>
    <w:rsid w:val="00A24D67"/>
    <w:pPr>
      <w:spacing w:before="100" w:beforeAutospacing="1" w:after="100" w:afterAutospacing="1" w:line="240" w:lineRule="auto"/>
    </w:pPr>
    <w:rPr>
      <w:rFonts w:ascii="Times New Roman" w:hAnsi="Times New Roman"/>
      <w:sz w:val="24"/>
      <w:szCs w:val="24"/>
    </w:rPr>
  </w:style>
  <w:style w:type="paragraph" w:styleId="TOC4">
    <w:name w:val="toc 4"/>
    <w:basedOn w:val="Normal"/>
    <w:next w:val="Normal"/>
    <w:autoRedefine/>
    <w:uiPriority w:val="39"/>
    <w:unhideWhenUsed/>
    <w:rsid w:val="00A24D67"/>
    <w:pPr>
      <w:spacing w:after="100" w:line="240" w:lineRule="auto"/>
      <w:ind w:left="720"/>
    </w:pPr>
    <w:rPr>
      <w:rFonts w:asciiTheme="minorHAnsi" w:eastAsiaTheme="minorEastAsia" w:hAnsiTheme="minorHAnsi" w:cstheme="minorBidi"/>
      <w:sz w:val="24"/>
      <w:szCs w:val="24"/>
    </w:rPr>
  </w:style>
  <w:style w:type="paragraph" w:styleId="TOC5">
    <w:name w:val="toc 5"/>
    <w:basedOn w:val="Normal"/>
    <w:next w:val="Normal"/>
    <w:autoRedefine/>
    <w:uiPriority w:val="39"/>
    <w:unhideWhenUsed/>
    <w:rsid w:val="00A24D67"/>
    <w:pPr>
      <w:spacing w:after="100" w:line="240" w:lineRule="auto"/>
      <w:ind w:left="960"/>
    </w:pPr>
    <w:rPr>
      <w:rFonts w:asciiTheme="minorHAnsi" w:eastAsiaTheme="minorEastAsia" w:hAnsiTheme="minorHAnsi" w:cstheme="minorBidi"/>
      <w:sz w:val="24"/>
      <w:szCs w:val="24"/>
    </w:rPr>
  </w:style>
  <w:style w:type="paragraph" w:styleId="TOC6">
    <w:name w:val="toc 6"/>
    <w:basedOn w:val="Normal"/>
    <w:next w:val="Normal"/>
    <w:autoRedefine/>
    <w:uiPriority w:val="39"/>
    <w:unhideWhenUsed/>
    <w:rsid w:val="00A24D67"/>
    <w:pPr>
      <w:spacing w:after="100" w:line="240" w:lineRule="auto"/>
      <w:ind w:left="1200"/>
    </w:pPr>
    <w:rPr>
      <w:rFonts w:asciiTheme="minorHAnsi" w:eastAsiaTheme="minorEastAsia" w:hAnsiTheme="minorHAnsi" w:cstheme="minorBidi"/>
      <w:sz w:val="24"/>
      <w:szCs w:val="24"/>
    </w:rPr>
  </w:style>
  <w:style w:type="paragraph" w:styleId="TOC7">
    <w:name w:val="toc 7"/>
    <w:basedOn w:val="Normal"/>
    <w:next w:val="Normal"/>
    <w:autoRedefine/>
    <w:uiPriority w:val="39"/>
    <w:unhideWhenUsed/>
    <w:rsid w:val="00A24D67"/>
    <w:pPr>
      <w:spacing w:after="100" w:line="240" w:lineRule="auto"/>
      <w:ind w:left="1440"/>
    </w:pPr>
    <w:rPr>
      <w:rFonts w:asciiTheme="minorHAnsi" w:eastAsiaTheme="minorEastAsia" w:hAnsiTheme="minorHAnsi" w:cstheme="minorBidi"/>
      <w:sz w:val="24"/>
      <w:szCs w:val="24"/>
    </w:rPr>
  </w:style>
  <w:style w:type="paragraph" w:styleId="TOC8">
    <w:name w:val="toc 8"/>
    <w:basedOn w:val="Normal"/>
    <w:next w:val="Normal"/>
    <w:autoRedefine/>
    <w:uiPriority w:val="39"/>
    <w:unhideWhenUsed/>
    <w:rsid w:val="00A24D67"/>
    <w:pPr>
      <w:spacing w:after="100" w:line="240" w:lineRule="auto"/>
      <w:ind w:left="1680"/>
    </w:pPr>
    <w:rPr>
      <w:rFonts w:asciiTheme="minorHAnsi" w:eastAsiaTheme="minorEastAsia" w:hAnsiTheme="minorHAnsi" w:cstheme="minorBidi"/>
      <w:sz w:val="24"/>
      <w:szCs w:val="24"/>
    </w:rPr>
  </w:style>
  <w:style w:type="paragraph" w:styleId="TOC9">
    <w:name w:val="toc 9"/>
    <w:basedOn w:val="Normal"/>
    <w:next w:val="Normal"/>
    <w:autoRedefine/>
    <w:uiPriority w:val="39"/>
    <w:unhideWhenUsed/>
    <w:rsid w:val="00A24D67"/>
    <w:pPr>
      <w:spacing w:after="100" w:line="240" w:lineRule="auto"/>
      <w:ind w:left="1920"/>
    </w:pPr>
    <w:rPr>
      <w:rFonts w:asciiTheme="minorHAnsi" w:eastAsiaTheme="minorEastAsia" w:hAnsiTheme="minorHAnsi" w:cstheme="minorBidi"/>
      <w:sz w:val="24"/>
      <w:szCs w:val="24"/>
    </w:rPr>
  </w:style>
  <w:style w:type="numbering" w:customStyle="1" w:styleId="CurrentList1">
    <w:name w:val="Current List1"/>
    <w:uiPriority w:val="99"/>
    <w:rsid w:val="00A24D67"/>
    <w:pPr>
      <w:numPr>
        <w:numId w:val="3"/>
      </w:numPr>
    </w:pPr>
  </w:style>
  <w:style w:type="character" w:styleId="Mention">
    <w:name w:val="Mention"/>
    <w:basedOn w:val="DefaultParagraphFont"/>
    <w:uiPriority w:val="99"/>
    <w:unhideWhenUsed/>
    <w:rsid w:val="00A24D67"/>
    <w:rPr>
      <w:color w:val="2B579A"/>
      <w:shd w:val="clear" w:color="auto" w:fill="E1DFDD"/>
    </w:rPr>
  </w:style>
  <w:style w:type="paragraph" w:styleId="BodyText">
    <w:name w:val="Body Text"/>
    <w:link w:val="BodyTextChar"/>
    <w:uiPriority w:val="99"/>
    <w:qFormat/>
    <w:rsid w:val="00A24D67"/>
    <w:pPr>
      <w:spacing w:after="120" w:line="276" w:lineRule="auto"/>
    </w:pPr>
    <w:rPr>
      <w:rFonts w:ascii="Calibri" w:eastAsia="Calibri" w:hAnsi="Calibri" w:cs="Calibri"/>
      <w:szCs w:val="20"/>
    </w:rPr>
  </w:style>
  <w:style w:type="character" w:customStyle="1" w:styleId="BodyTextChar">
    <w:name w:val="Body Text Char"/>
    <w:basedOn w:val="DefaultParagraphFont"/>
    <w:link w:val="BodyText"/>
    <w:uiPriority w:val="99"/>
    <w:rsid w:val="00A24D67"/>
    <w:rPr>
      <w:rFonts w:ascii="Calibri" w:eastAsia="Calibri" w:hAnsi="Calibri" w:cs="Calibri"/>
      <w:szCs w:val="20"/>
    </w:rPr>
  </w:style>
  <w:style w:type="paragraph" w:styleId="TableofFigures">
    <w:name w:val="table of figures"/>
    <w:basedOn w:val="Normal"/>
    <w:next w:val="Normal"/>
    <w:uiPriority w:val="99"/>
    <w:unhideWhenUsed/>
    <w:rsid w:val="00A24D67"/>
    <w:pPr>
      <w:spacing w:after="0"/>
    </w:pPr>
  </w:style>
  <w:style w:type="paragraph" w:customStyle="1" w:styleId="Bulletintro">
    <w:name w:val="Bullet intro"/>
    <w:basedOn w:val="BodyText"/>
    <w:link w:val="BulletintroChar"/>
    <w:uiPriority w:val="2"/>
    <w:qFormat/>
    <w:rsid w:val="00A24D67"/>
    <w:pPr>
      <w:keepNext/>
    </w:pPr>
    <w:rPr>
      <w:rFonts w:eastAsia="Times New Roman" w:cs="Arial"/>
      <w:szCs w:val="24"/>
    </w:rPr>
  </w:style>
  <w:style w:type="character" w:customStyle="1" w:styleId="BulletintroChar">
    <w:name w:val="Bullet intro Char"/>
    <w:basedOn w:val="BodyTextChar"/>
    <w:link w:val="Bulletintro"/>
    <w:uiPriority w:val="2"/>
    <w:rsid w:val="00A24D67"/>
    <w:rPr>
      <w:rFonts w:ascii="Calibri" w:eastAsia="Times New Roman" w:hAnsi="Calibri" w:cs="Arial"/>
      <w:szCs w:val="24"/>
    </w:rPr>
  </w:style>
  <w:style w:type="character" w:styleId="Strong">
    <w:name w:val="Strong"/>
    <w:basedOn w:val="DefaultParagraphFont"/>
    <w:uiPriority w:val="22"/>
    <w:qFormat/>
    <w:rsid w:val="00A24D67"/>
    <w:rPr>
      <w:b/>
      <w:bCs/>
    </w:rPr>
  </w:style>
  <w:style w:type="paragraph" w:styleId="FootnoteText">
    <w:name w:val="footnote text"/>
    <w:basedOn w:val="Normal"/>
    <w:link w:val="FootnoteTextChar"/>
    <w:unhideWhenUsed/>
    <w:rsid w:val="00A24D67"/>
    <w:pPr>
      <w:spacing w:after="0" w:line="240" w:lineRule="auto"/>
    </w:pPr>
    <w:rPr>
      <w:sz w:val="20"/>
      <w:szCs w:val="20"/>
    </w:rPr>
  </w:style>
  <w:style w:type="character" w:customStyle="1" w:styleId="FootnoteTextChar">
    <w:name w:val="Footnote Text Char"/>
    <w:basedOn w:val="DefaultParagraphFont"/>
    <w:link w:val="FootnoteText"/>
    <w:rsid w:val="00A24D67"/>
    <w:rPr>
      <w:rFonts w:ascii="Arial" w:hAnsi="Arial" w:cs="Arial"/>
      <w:sz w:val="20"/>
      <w:szCs w:val="20"/>
    </w:rPr>
  </w:style>
  <w:style w:type="character" w:styleId="FootnoteReference">
    <w:name w:val="footnote reference"/>
    <w:basedOn w:val="DefaultParagraphFont"/>
    <w:uiPriority w:val="99"/>
    <w:unhideWhenUsed/>
    <w:rsid w:val="00A24D67"/>
    <w:rPr>
      <w:vertAlign w:val="superscript"/>
    </w:rPr>
  </w:style>
  <w:style w:type="paragraph" w:customStyle="1" w:styleId="TABLE">
    <w:name w:val="TABLE"/>
    <w:basedOn w:val="Footer"/>
    <w:link w:val="TABLEChar"/>
    <w:qFormat/>
    <w:rsid w:val="00D36A35"/>
    <w:pPr>
      <w:spacing w:after="0" w:line="240" w:lineRule="auto"/>
      <w:ind w:right="113"/>
    </w:pPr>
    <w:rPr>
      <w:rFonts w:ascii="Arial Narrow" w:hAnsi="Arial Narrow"/>
      <w:sz w:val="20"/>
      <w:szCs w:val="20"/>
    </w:rPr>
  </w:style>
  <w:style w:type="character" w:customStyle="1" w:styleId="TABLEChar">
    <w:name w:val="TABLE Char"/>
    <w:basedOn w:val="FooterChar"/>
    <w:link w:val="TABLE"/>
    <w:rsid w:val="00D36A35"/>
    <w:rPr>
      <w:rFonts w:ascii="Arial Narrow" w:hAnsi="Arial Narrow" w:cs="Arial"/>
      <w:sz w:val="20"/>
      <w:szCs w:val="20"/>
    </w:rPr>
  </w:style>
  <w:style w:type="paragraph" w:customStyle="1" w:styleId="Caption2">
    <w:name w:val="Caption2"/>
    <w:basedOn w:val="TABLE"/>
    <w:qFormat/>
    <w:rsid w:val="00994A9C"/>
    <w:pPr>
      <w:spacing w:before="240" w:after="60"/>
    </w:pPr>
    <w:rPr>
      <w:b/>
      <w:bCs/>
      <w:sz w:val="22"/>
      <w:szCs w:val="22"/>
    </w:rPr>
  </w:style>
  <w:style w:type="paragraph" w:customStyle="1" w:styleId="TableH1">
    <w:name w:val="Table H1"/>
    <w:basedOn w:val="BodyText"/>
    <w:uiPriority w:val="4"/>
    <w:qFormat/>
    <w:rsid w:val="00D83AB1"/>
    <w:pPr>
      <w:keepNext/>
      <w:keepLines/>
      <w:spacing w:before="20" w:after="20" w:line="240" w:lineRule="auto"/>
    </w:pPr>
    <w:rPr>
      <w:rFonts w:ascii="Montserrat" w:hAnsi="Montserrat"/>
      <w:b/>
      <w:color w:val="000000"/>
      <w:sz w:val="18"/>
      <w:szCs w:val="16"/>
      <w:lang w:val="en-US"/>
    </w:rPr>
  </w:style>
  <w:style w:type="paragraph" w:customStyle="1" w:styleId="TableFigNotes18">
    <w:name w:val="TableFigNotes+18"/>
    <w:basedOn w:val="Normal"/>
    <w:next w:val="BodyText"/>
    <w:link w:val="TableFigNotes18Char"/>
    <w:uiPriority w:val="4"/>
    <w:qFormat/>
    <w:rsid w:val="00E71A50"/>
    <w:pPr>
      <w:keepLines/>
      <w:spacing w:before="60" w:after="360"/>
      <w:ind w:left="170" w:hanging="170"/>
      <w:contextualSpacing/>
    </w:pPr>
    <w:rPr>
      <w:rFonts w:eastAsia="Calibri"/>
      <w:sz w:val="16"/>
    </w:rPr>
  </w:style>
  <w:style w:type="character" w:customStyle="1" w:styleId="TableFigNotes18Char">
    <w:name w:val="TableFigNotes+18 Char"/>
    <w:basedOn w:val="DefaultParagraphFont"/>
    <w:link w:val="TableFigNotes18"/>
    <w:uiPriority w:val="4"/>
    <w:locked/>
    <w:rsid w:val="00E71A50"/>
    <w:rPr>
      <w:rFonts w:ascii="Arial" w:eastAsia="Calibri" w:hAnsi="Arial" w:cs="Arial"/>
      <w:sz w:val="16"/>
      <w:lang w:eastAsia="en-GB"/>
    </w:rPr>
  </w:style>
  <w:style w:type="paragraph" w:customStyle="1" w:styleId="Qualitytext">
    <w:name w:val="Quality text"/>
    <w:basedOn w:val="Tabletext8pt"/>
    <w:link w:val="QualitytextChar"/>
    <w:qFormat/>
    <w:rsid w:val="00D83AB1"/>
    <w:pPr>
      <w:jc w:val="center"/>
    </w:pPr>
    <w:rPr>
      <w:caps/>
    </w:rPr>
  </w:style>
  <w:style w:type="paragraph" w:customStyle="1" w:styleId="TableH28pt">
    <w:name w:val="Table H2 8pt"/>
    <w:basedOn w:val="Normal"/>
    <w:qFormat/>
    <w:rsid w:val="00D83AB1"/>
    <w:pPr>
      <w:keepNext/>
      <w:keepLines/>
      <w:spacing w:before="20" w:after="20" w:line="240" w:lineRule="auto"/>
      <w:contextualSpacing/>
    </w:pPr>
    <w:rPr>
      <w:rFonts w:ascii="Montserrat" w:eastAsia="Calibri" w:hAnsi="Montserrat" w:cs="Calibri"/>
      <w:b/>
      <w:color w:val="000000"/>
      <w:sz w:val="16"/>
      <w:szCs w:val="20"/>
    </w:rPr>
  </w:style>
  <w:style w:type="paragraph" w:customStyle="1" w:styleId="Tabletext8pt">
    <w:name w:val="Table text 8pt"/>
    <w:basedOn w:val="TableText"/>
    <w:link w:val="Tabletext8ptChar"/>
    <w:qFormat/>
    <w:rsid w:val="00D83AB1"/>
    <w:pPr>
      <w:keepLines/>
      <w:framePr w:hSpace="0" w:wrap="auto" w:vAnchor="margin" w:yAlign="inline"/>
      <w:spacing w:before="20" w:after="20" w:line="276" w:lineRule="auto"/>
    </w:pPr>
    <w:rPr>
      <w:rFonts w:ascii="Montserrat" w:eastAsia="Calibri" w:hAnsi="Montserrat" w:cs="Calibri"/>
      <w:color w:val="000000"/>
      <w:sz w:val="16"/>
      <w:szCs w:val="16"/>
    </w:rPr>
  </w:style>
  <w:style w:type="character" w:customStyle="1" w:styleId="Tabletext8ptChar">
    <w:name w:val="Table text 8pt Char"/>
    <w:basedOn w:val="TableTextChar"/>
    <w:link w:val="Tabletext8pt"/>
    <w:rsid w:val="00D83AB1"/>
    <w:rPr>
      <w:rFonts w:ascii="Montserrat" w:eastAsia="Calibri" w:hAnsi="Montserrat" w:cs="Calibri"/>
      <w:color w:val="000000"/>
      <w:sz w:val="16"/>
      <w:szCs w:val="16"/>
    </w:rPr>
  </w:style>
  <w:style w:type="character" w:customStyle="1" w:styleId="QualitytextChar">
    <w:name w:val="Quality text Char"/>
    <w:basedOn w:val="Tabletext8ptChar"/>
    <w:link w:val="Qualitytext"/>
    <w:rsid w:val="00D83AB1"/>
    <w:rPr>
      <w:rFonts w:ascii="Montserrat" w:eastAsia="Calibri" w:hAnsi="Montserrat" w:cs="Calibri"/>
      <w:caps/>
      <w:color w:val="000000"/>
      <w:sz w:val="16"/>
      <w:szCs w:val="16"/>
    </w:rPr>
  </w:style>
  <w:style w:type="character" w:customStyle="1" w:styleId="cf01">
    <w:name w:val="cf01"/>
    <w:basedOn w:val="DefaultParagraphFont"/>
    <w:rsid w:val="00D83AB1"/>
    <w:rPr>
      <w:rFonts w:ascii="Segoe UI" w:hAnsi="Segoe UI" w:cs="Segoe UI" w:hint="default"/>
      <w:sz w:val="18"/>
      <w:szCs w:val="18"/>
    </w:rPr>
  </w:style>
  <w:style w:type="paragraph" w:customStyle="1" w:styleId="Heading4a">
    <w:name w:val="Heading 4a"/>
    <w:basedOn w:val="Heading4"/>
    <w:link w:val="Heading4aChar"/>
    <w:qFormat/>
    <w:rsid w:val="00BE4F66"/>
    <w:pPr>
      <w:spacing w:before="200" w:after="0"/>
      <w:ind w:left="0" w:firstLine="0"/>
      <w:outlineLvl w:val="9"/>
    </w:pPr>
    <w:rPr>
      <w:rFonts w:ascii="Montserrat" w:eastAsia="Times New Roman" w:hAnsi="Montserrat" w:cs="Calibri"/>
      <w:bCs/>
      <w:color w:val="595959"/>
      <w:sz w:val="18"/>
      <w:szCs w:val="18"/>
    </w:rPr>
  </w:style>
  <w:style w:type="character" w:customStyle="1" w:styleId="Heading4aChar">
    <w:name w:val="Heading 4a Char"/>
    <w:basedOn w:val="Heading4Char"/>
    <w:link w:val="Heading4a"/>
    <w:rsid w:val="00BE4F66"/>
    <w:rPr>
      <w:rFonts w:ascii="Montserrat" w:eastAsia="Times New Roman" w:hAnsi="Montserrat" w:cs="Calibri"/>
      <w:bCs/>
      <w:i/>
      <w:iCs/>
      <w:color w:val="595959"/>
      <w:sz w:val="18"/>
      <w:szCs w:val="18"/>
    </w:rPr>
  </w:style>
  <w:style w:type="paragraph" w:customStyle="1" w:styleId="2024TABLEFOOTER">
    <w:name w:val="2024_TABLE FOOTER"/>
    <w:basedOn w:val="TableFigureFooter"/>
    <w:qFormat/>
    <w:rsid w:val="009760CB"/>
    <w:pPr>
      <w:spacing w:before="0" w:after="0" w:line="216" w:lineRule="auto"/>
      <w:jc w:val="left"/>
    </w:pPr>
    <w:rPr>
      <w:rFonts w:ascii="Aptos" w:eastAsia="Calibri" w:hAnsi="Aptos"/>
      <w:snapToGrid/>
      <w:sz w:val="16"/>
      <w:szCs w:val="21"/>
    </w:rPr>
  </w:style>
  <w:style w:type="paragraph" w:customStyle="1" w:styleId="2024TABLETEXT">
    <w:name w:val="2024_TABLE TEXT"/>
    <w:basedOn w:val="TABLE"/>
    <w:qFormat/>
    <w:rsid w:val="00603677"/>
    <w:pPr>
      <w:framePr w:hSpace="180" w:wrap="around" w:vAnchor="text" w:hAnchor="text" w:y="1"/>
      <w:spacing w:before="0" w:line="216" w:lineRule="auto"/>
      <w:suppressOverlap/>
    </w:pPr>
    <w:rPr>
      <w:rFonts w:ascii="Aptos" w:hAnsi="Aptos" w:cs="Arial"/>
      <w:sz w:val="18"/>
      <w:szCs w:val="18"/>
      <w:lang w:eastAsia="en-AU"/>
    </w:rPr>
  </w:style>
  <w:style w:type="paragraph" w:customStyle="1" w:styleId="2024TABLEHEADER">
    <w:name w:val="2024_TABLE HEADER"/>
    <w:basedOn w:val="TABLE"/>
    <w:qFormat/>
    <w:rsid w:val="00515FE7"/>
    <w:pPr>
      <w:spacing w:before="60" w:after="60" w:line="216" w:lineRule="auto"/>
    </w:pPr>
    <w:rPr>
      <w:rFonts w:ascii="Aptos" w:hAnsi="Aptos"/>
      <w:b/>
      <w:bCs/>
      <w:sz w:val="18"/>
      <w:szCs w:val="18"/>
      <w:lang w:eastAsia="en-AU"/>
    </w:rPr>
  </w:style>
  <w:style w:type="paragraph" w:customStyle="1" w:styleId="2024TABLECAPTION">
    <w:name w:val="2024_TABLE CAPTION"/>
    <w:basedOn w:val="Caption1"/>
    <w:qFormat/>
    <w:rsid w:val="009E6F7F"/>
    <w:pPr>
      <w:spacing w:before="0"/>
    </w:pPr>
    <w:rPr>
      <w:rFonts w:ascii="Aptos SemiBold" w:hAnsi="Aptos SemiBold"/>
    </w:rPr>
  </w:style>
  <w:style w:type="paragraph" w:customStyle="1" w:styleId="2024TitleNONUMBER">
    <w:name w:val="2024_Title NO NUMBER"/>
    <w:basedOn w:val="TitlePage"/>
    <w:qFormat/>
    <w:rsid w:val="00FB31AB"/>
    <w:rPr>
      <w:sz w:val="36"/>
      <w:szCs w:val="36"/>
    </w:rPr>
  </w:style>
  <w:style w:type="paragraph" w:customStyle="1" w:styleId="2024SMALLTITLENONUMBER">
    <w:name w:val="2024_SMALL TITLE NO NUMBER"/>
    <w:basedOn w:val="TitlePage"/>
    <w:qFormat/>
    <w:rsid w:val="00FB31AB"/>
    <w:rPr>
      <w:sz w:val="28"/>
      <w:szCs w:val="28"/>
    </w:rPr>
  </w:style>
  <w:style w:type="paragraph" w:customStyle="1" w:styleId="2024HEADER1">
    <w:name w:val="2024_HEADER 1"/>
    <w:basedOn w:val="Heading1"/>
    <w:qFormat/>
    <w:rsid w:val="00703071"/>
    <w:pPr>
      <w:numPr>
        <w:numId w:val="7"/>
      </w:numPr>
    </w:pPr>
  </w:style>
  <w:style w:type="paragraph" w:customStyle="1" w:styleId="2024HEADER2">
    <w:name w:val="2024_HEADER 2"/>
    <w:basedOn w:val="Heading2"/>
    <w:qFormat/>
    <w:rsid w:val="00F9201F"/>
    <w:pPr>
      <w:numPr>
        <w:ilvl w:val="1"/>
        <w:numId w:val="7"/>
      </w:numPr>
      <w:spacing w:after="180" w:line="240" w:lineRule="auto"/>
    </w:pPr>
  </w:style>
  <w:style w:type="paragraph" w:customStyle="1" w:styleId="2024HEADER3">
    <w:name w:val="2024_HEADER 3"/>
    <w:basedOn w:val="Heading3"/>
    <w:qFormat/>
    <w:rsid w:val="00803212"/>
    <w:pPr>
      <w:numPr>
        <w:ilvl w:val="2"/>
        <w:numId w:val="7"/>
      </w:numPr>
      <w:spacing w:after="120"/>
    </w:pPr>
    <w:rPr>
      <w:rFonts w:ascii="Aptos SemiBold" w:hAnsi="Aptos SemiBold"/>
    </w:rPr>
  </w:style>
  <w:style w:type="paragraph" w:customStyle="1" w:styleId="2024HEADER4">
    <w:name w:val="2024_HEADER4"/>
    <w:basedOn w:val="2024HEADER3"/>
    <w:qFormat/>
    <w:rsid w:val="001C6526"/>
  </w:style>
  <w:style w:type="paragraph" w:customStyle="1" w:styleId="2024-PRISMA">
    <w:name w:val="2024-PRISMA"/>
    <w:basedOn w:val="TableH28pt"/>
    <w:qFormat/>
    <w:rsid w:val="00D52BE2"/>
    <w:rPr>
      <w:rFonts w:ascii="Arial" w:hAnsi="Arial" w:cs="Arial"/>
      <w:b w:val="0"/>
      <w:sz w:val="18"/>
      <w:szCs w:val="21"/>
    </w:rPr>
  </w:style>
  <w:style w:type="paragraph" w:styleId="EndnoteText">
    <w:name w:val="endnote text"/>
    <w:basedOn w:val="Normal"/>
    <w:link w:val="EndnoteTextChar"/>
    <w:uiPriority w:val="99"/>
    <w:semiHidden/>
    <w:unhideWhenUsed/>
    <w:rsid w:val="00A676A0"/>
    <w:pPr>
      <w:spacing w:before="0" w:after="0" w:line="240" w:lineRule="auto"/>
    </w:pPr>
    <w:rPr>
      <w:sz w:val="20"/>
      <w:szCs w:val="20"/>
    </w:rPr>
  </w:style>
  <w:style w:type="character" w:customStyle="1" w:styleId="EndnoteTextChar">
    <w:name w:val="Endnote Text Char"/>
    <w:basedOn w:val="DefaultParagraphFont"/>
    <w:link w:val="EndnoteText"/>
    <w:uiPriority w:val="99"/>
    <w:semiHidden/>
    <w:rsid w:val="00A676A0"/>
    <w:rPr>
      <w:rFonts w:ascii="Aptos" w:eastAsia="Times New Roman" w:hAnsi="Aptos" w:cs="Times New Roman"/>
      <w:sz w:val="20"/>
      <w:szCs w:val="20"/>
      <w:lang w:eastAsia="en-GB"/>
    </w:rPr>
  </w:style>
  <w:style w:type="character" w:styleId="EndnoteReference">
    <w:name w:val="endnote reference"/>
    <w:basedOn w:val="DefaultParagraphFont"/>
    <w:uiPriority w:val="99"/>
    <w:semiHidden/>
    <w:unhideWhenUsed/>
    <w:rsid w:val="00A676A0"/>
    <w:rPr>
      <w:vertAlign w:val="superscript"/>
    </w:rPr>
  </w:style>
  <w:style w:type="paragraph" w:customStyle="1" w:styleId="Bullet0">
    <w:name w:val="Bullet+0"/>
    <w:basedOn w:val="BodyText"/>
    <w:uiPriority w:val="2"/>
    <w:qFormat/>
    <w:rsid w:val="00CB6EEE"/>
    <w:pPr>
      <w:keepLines/>
      <w:numPr>
        <w:numId w:val="22"/>
      </w:numPr>
      <w:tabs>
        <w:tab w:val="left" w:pos="765"/>
      </w:tabs>
      <w:spacing w:after="0" w:line="288" w:lineRule="auto"/>
    </w:pPr>
    <w:rPr>
      <w:rFonts w:ascii="Montserrat" w:hAnsi="Montserrat"/>
      <w:color w:val="000000" w:themeColor="text1"/>
      <w:sz w:val="19"/>
    </w:rPr>
  </w:style>
  <w:style w:type="paragraph" w:customStyle="1" w:styleId="ListNumberIndent2">
    <w:name w:val="List Number Indent 2"/>
    <w:basedOn w:val="ListNumber2"/>
    <w:uiPriority w:val="15"/>
    <w:semiHidden/>
    <w:qFormat/>
    <w:rsid w:val="0085154D"/>
    <w:pPr>
      <w:numPr>
        <w:ilvl w:val="1"/>
      </w:numPr>
      <w:spacing w:before="0" w:after="120" w:line="259" w:lineRule="auto"/>
      <w:contextualSpacing w:val="0"/>
    </w:pPr>
    <w:rPr>
      <w:rFonts w:asciiTheme="minorHAnsi" w:eastAsiaTheme="minorHAnsi" w:hAnsiTheme="minorHAnsi" w:cstheme="minorBidi"/>
      <w:color w:val="0D0D0D" w:themeColor="text1" w:themeTint="F2"/>
      <w:szCs w:val="20"/>
      <w:lang w:eastAsia="en-US"/>
    </w:rPr>
  </w:style>
  <w:style w:type="paragraph" w:customStyle="1" w:styleId="ListNumberIndent3">
    <w:name w:val="List Number Indent 3"/>
    <w:basedOn w:val="ListNumber3"/>
    <w:uiPriority w:val="15"/>
    <w:semiHidden/>
    <w:qFormat/>
    <w:rsid w:val="0085154D"/>
    <w:pPr>
      <w:numPr>
        <w:ilvl w:val="2"/>
        <w:numId w:val="27"/>
      </w:numPr>
      <w:spacing w:before="0" w:after="120" w:line="259" w:lineRule="auto"/>
      <w:ind w:left="2160" w:hanging="360"/>
      <w:contextualSpacing w:val="0"/>
    </w:pPr>
    <w:rPr>
      <w:rFonts w:asciiTheme="minorHAnsi" w:eastAsiaTheme="minorHAnsi" w:hAnsiTheme="minorHAnsi" w:cstheme="minorBidi"/>
      <w:color w:val="0D0D0D" w:themeColor="text1" w:themeTint="F2"/>
      <w:szCs w:val="20"/>
      <w:lang w:eastAsia="en-US"/>
    </w:rPr>
  </w:style>
  <w:style w:type="paragraph" w:customStyle="1" w:styleId="ListNumberIndent4">
    <w:name w:val="List Number Indent 4"/>
    <w:basedOn w:val="ListNumber4"/>
    <w:uiPriority w:val="15"/>
    <w:semiHidden/>
    <w:qFormat/>
    <w:rsid w:val="0085154D"/>
    <w:pPr>
      <w:numPr>
        <w:ilvl w:val="3"/>
        <w:numId w:val="27"/>
      </w:numPr>
      <w:spacing w:before="0" w:after="120" w:line="259" w:lineRule="auto"/>
      <w:ind w:left="2880" w:hanging="360"/>
      <w:contextualSpacing w:val="0"/>
    </w:pPr>
    <w:rPr>
      <w:rFonts w:asciiTheme="minorHAnsi" w:eastAsiaTheme="minorHAnsi" w:hAnsiTheme="minorHAnsi" w:cstheme="minorBidi"/>
      <w:color w:val="0D0D0D" w:themeColor="text1" w:themeTint="F2"/>
      <w:szCs w:val="20"/>
      <w:lang w:eastAsia="en-US"/>
    </w:rPr>
  </w:style>
  <w:style w:type="paragraph" w:customStyle="1" w:styleId="ListNumberIndent5">
    <w:name w:val="List Number Indent 5"/>
    <w:basedOn w:val="ListNumber5"/>
    <w:uiPriority w:val="15"/>
    <w:semiHidden/>
    <w:qFormat/>
    <w:rsid w:val="0085154D"/>
    <w:pPr>
      <w:numPr>
        <w:ilvl w:val="4"/>
        <w:numId w:val="27"/>
      </w:numPr>
      <w:spacing w:before="0" w:after="120" w:line="259" w:lineRule="auto"/>
      <w:ind w:left="3600" w:hanging="360"/>
      <w:contextualSpacing w:val="0"/>
    </w:pPr>
    <w:rPr>
      <w:rFonts w:asciiTheme="minorHAnsi" w:eastAsiaTheme="minorHAnsi" w:hAnsiTheme="minorHAnsi" w:cstheme="minorBidi"/>
      <w:color w:val="0D0D0D" w:themeColor="text1" w:themeTint="F2"/>
      <w:szCs w:val="20"/>
      <w:lang w:eastAsia="en-US"/>
    </w:rPr>
  </w:style>
  <w:style w:type="paragraph" w:styleId="ListNumber2">
    <w:name w:val="List Number 2"/>
    <w:basedOn w:val="Normal"/>
    <w:uiPriority w:val="99"/>
    <w:semiHidden/>
    <w:unhideWhenUsed/>
    <w:rsid w:val="0085154D"/>
    <w:pPr>
      <w:numPr>
        <w:numId w:val="27"/>
      </w:numPr>
      <w:contextualSpacing/>
    </w:pPr>
  </w:style>
  <w:style w:type="paragraph" w:styleId="ListNumber3">
    <w:name w:val="List Number 3"/>
    <w:basedOn w:val="Normal"/>
    <w:uiPriority w:val="99"/>
    <w:semiHidden/>
    <w:unhideWhenUsed/>
    <w:rsid w:val="0085154D"/>
    <w:pPr>
      <w:numPr>
        <w:numId w:val="28"/>
      </w:numPr>
      <w:contextualSpacing/>
    </w:pPr>
  </w:style>
  <w:style w:type="paragraph" w:styleId="ListNumber4">
    <w:name w:val="List Number 4"/>
    <w:basedOn w:val="Normal"/>
    <w:uiPriority w:val="99"/>
    <w:semiHidden/>
    <w:unhideWhenUsed/>
    <w:rsid w:val="0085154D"/>
    <w:pPr>
      <w:tabs>
        <w:tab w:val="num" w:pos="720"/>
      </w:tabs>
      <w:ind w:left="720" w:hanging="360"/>
      <w:contextualSpacing/>
    </w:pPr>
  </w:style>
  <w:style w:type="paragraph" w:styleId="ListNumber5">
    <w:name w:val="List Number 5"/>
    <w:basedOn w:val="Normal"/>
    <w:uiPriority w:val="99"/>
    <w:semiHidden/>
    <w:unhideWhenUsed/>
    <w:rsid w:val="0085154D"/>
    <w:pPr>
      <w:tabs>
        <w:tab w:val="num" w:pos="720"/>
      </w:tabs>
      <w:ind w:left="720" w:hanging="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425790">
      <w:bodyDiv w:val="1"/>
      <w:marLeft w:val="0"/>
      <w:marRight w:val="0"/>
      <w:marTop w:val="0"/>
      <w:marBottom w:val="0"/>
      <w:divBdr>
        <w:top w:val="none" w:sz="0" w:space="0" w:color="auto"/>
        <w:left w:val="none" w:sz="0" w:space="0" w:color="auto"/>
        <w:bottom w:val="none" w:sz="0" w:space="0" w:color="auto"/>
        <w:right w:val="none" w:sz="0" w:space="0" w:color="auto"/>
      </w:divBdr>
      <w:divsChild>
        <w:div w:id="814952688">
          <w:marLeft w:val="0"/>
          <w:marRight w:val="0"/>
          <w:marTop w:val="0"/>
          <w:marBottom w:val="0"/>
          <w:divBdr>
            <w:top w:val="none" w:sz="0" w:space="0" w:color="auto"/>
            <w:left w:val="none" w:sz="0" w:space="0" w:color="auto"/>
            <w:bottom w:val="none" w:sz="0" w:space="0" w:color="auto"/>
            <w:right w:val="none" w:sz="0" w:space="0" w:color="auto"/>
          </w:divBdr>
          <w:divsChild>
            <w:div w:id="287709841">
              <w:marLeft w:val="0"/>
              <w:marRight w:val="0"/>
              <w:marTop w:val="0"/>
              <w:marBottom w:val="0"/>
              <w:divBdr>
                <w:top w:val="none" w:sz="0" w:space="0" w:color="auto"/>
                <w:left w:val="none" w:sz="0" w:space="0" w:color="auto"/>
                <w:bottom w:val="none" w:sz="0" w:space="0" w:color="auto"/>
                <w:right w:val="none" w:sz="0" w:space="0" w:color="auto"/>
              </w:divBdr>
              <w:divsChild>
                <w:div w:id="1650674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500110">
      <w:bodyDiv w:val="1"/>
      <w:marLeft w:val="0"/>
      <w:marRight w:val="0"/>
      <w:marTop w:val="0"/>
      <w:marBottom w:val="0"/>
      <w:divBdr>
        <w:top w:val="none" w:sz="0" w:space="0" w:color="auto"/>
        <w:left w:val="none" w:sz="0" w:space="0" w:color="auto"/>
        <w:bottom w:val="none" w:sz="0" w:space="0" w:color="auto"/>
        <w:right w:val="none" w:sz="0" w:space="0" w:color="auto"/>
      </w:divBdr>
      <w:divsChild>
        <w:div w:id="155999625">
          <w:marLeft w:val="0"/>
          <w:marRight w:val="0"/>
          <w:marTop w:val="0"/>
          <w:marBottom w:val="0"/>
          <w:divBdr>
            <w:top w:val="none" w:sz="0" w:space="0" w:color="auto"/>
            <w:left w:val="none" w:sz="0" w:space="0" w:color="auto"/>
            <w:bottom w:val="none" w:sz="0" w:space="0" w:color="auto"/>
            <w:right w:val="none" w:sz="0" w:space="0" w:color="auto"/>
          </w:divBdr>
          <w:divsChild>
            <w:div w:id="1223977818">
              <w:marLeft w:val="0"/>
              <w:marRight w:val="0"/>
              <w:marTop w:val="0"/>
              <w:marBottom w:val="0"/>
              <w:divBdr>
                <w:top w:val="none" w:sz="0" w:space="0" w:color="auto"/>
                <w:left w:val="none" w:sz="0" w:space="0" w:color="auto"/>
                <w:bottom w:val="none" w:sz="0" w:space="0" w:color="auto"/>
                <w:right w:val="none" w:sz="0" w:space="0" w:color="auto"/>
              </w:divBdr>
              <w:divsChild>
                <w:div w:id="539782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579689">
      <w:bodyDiv w:val="1"/>
      <w:marLeft w:val="0"/>
      <w:marRight w:val="0"/>
      <w:marTop w:val="0"/>
      <w:marBottom w:val="0"/>
      <w:divBdr>
        <w:top w:val="none" w:sz="0" w:space="0" w:color="auto"/>
        <w:left w:val="none" w:sz="0" w:space="0" w:color="auto"/>
        <w:bottom w:val="none" w:sz="0" w:space="0" w:color="auto"/>
        <w:right w:val="none" w:sz="0" w:space="0" w:color="auto"/>
      </w:divBdr>
    </w:div>
    <w:div w:id="70348942">
      <w:bodyDiv w:val="1"/>
      <w:marLeft w:val="0"/>
      <w:marRight w:val="0"/>
      <w:marTop w:val="0"/>
      <w:marBottom w:val="0"/>
      <w:divBdr>
        <w:top w:val="none" w:sz="0" w:space="0" w:color="auto"/>
        <w:left w:val="none" w:sz="0" w:space="0" w:color="auto"/>
        <w:bottom w:val="none" w:sz="0" w:space="0" w:color="auto"/>
        <w:right w:val="none" w:sz="0" w:space="0" w:color="auto"/>
      </w:divBdr>
    </w:div>
    <w:div w:id="71893878">
      <w:bodyDiv w:val="1"/>
      <w:marLeft w:val="0"/>
      <w:marRight w:val="0"/>
      <w:marTop w:val="0"/>
      <w:marBottom w:val="0"/>
      <w:divBdr>
        <w:top w:val="none" w:sz="0" w:space="0" w:color="auto"/>
        <w:left w:val="none" w:sz="0" w:space="0" w:color="auto"/>
        <w:bottom w:val="none" w:sz="0" w:space="0" w:color="auto"/>
        <w:right w:val="none" w:sz="0" w:space="0" w:color="auto"/>
      </w:divBdr>
    </w:div>
    <w:div w:id="74671492">
      <w:bodyDiv w:val="1"/>
      <w:marLeft w:val="0"/>
      <w:marRight w:val="0"/>
      <w:marTop w:val="0"/>
      <w:marBottom w:val="0"/>
      <w:divBdr>
        <w:top w:val="none" w:sz="0" w:space="0" w:color="auto"/>
        <w:left w:val="none" w:sz="0" w:space="0" w:color="auto"/>
        <w:bottom w:val="none" w:sz="0" w:space="0" w:color="auto"/>
        <w:right w:val="none" w:sz="0" w:space="0" w:color="auto"/>
      </w:divBdr>
    </w:div>
    <w:div w:id="77754839">
      <w:bodyDiv w:val="1"/>
      <w:marLeft w:val="0"/>
      <w:marRight w:val="0"/>
      <w:marTop w:val="0"/>
      <w:marBottom w:val="0"/>
      <w:divBdr>
        <w:top w:val="none" w:sz="0" w:space="0" w:color="auto"/>
        <w:left w:val="none" w:sz="0" w:space="0" w:color="auto"/>
        <w:bottom w:val="none" w:sz="0" w:space="0" w:color="auto"/>
        <w:right w:val="none" w:sz="0" w:space="0" w:color="auto"/>
      </w:divBdr>
      <w:divsChild>
        <w:div w:id="538124377">
          <w:marLeft w:val="0"/>
          <w:marRight w:val="0"/>
          <w:marTop w:val="0"/>
          <w:marBottom w:val="0"/>
          <w:divBdr>
            <w:top w:val="none" w:sz="0" w:space="0" w:color="auto"/>
            <w:left w:val="none" w:sz="0" w:space="0" w:color="auto"/>
            <w:bottom w:val="none" w:sz="0" w:space="0" w:color="auto"/>
            <w:right w:val="none" w:sz="0" w:space="0" w:color="auto"/>
          </w:divBdr>
          <w:divsChild>
            <w:div w:id="218325660">
              <w:marLeft w:val="0"/>
              <w:marRight w:val="0"/>
              <w:marTop w:val="0"/>
              <w:marBottom w:val="0"/>
              <w:divBdr>
                <w:top w:val="none" w:sz="0" w:space="0" w:color="auto"/>
                <w:left w:val="none" w:sz="0" w:space="0" w:color="auto"/>
                <w:bottom w:val="none" w:sz="0" w:space="0" w:color="auto"/>
                <w:right w:val="none" w:sz="0" w:space="0" w:color="auto"/>
              </w:divBdr>
              <w:divsChild>
                <w:div w:id="1771048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652192">
      <w:bodyDiv w:val="1"/>
      <w:marLeft w:val="0"/>
      <w:marRight w:val="0"/>
      <w:marTop w:val="0"/>
      <w:marBottom w:val="0"/>
      <w:divBdr>
        <w:top w:val="none" w:sz="0" w:space="0" w:color="auto"/>
        <w:left w:val="none" w:sz="0" w:space="0" w:color="auto"/>
        <w:bottom w:val="none" w:sz="0" w:space="0" w:color="auto"/>
        <w:right w:val="none" w:sz="0" w:space="0" w:color="auto"/>
      </w:divBdr>
      <w:divsChild>
        <w:div w:id="71195578">
          <w:marLeft w:val="0"/>
          <w:marRight w:val="0"/>
          <w:marTop w:val="0"/>
          <w:marBottom w:val="0"/>
          <w:divBdr>
            <w:top w:val="none" w:sz="0" w:space="0" w:color="auto"/>
            <w:left w:val="none" w:sz="0" w:space="0" w:color="auto"/>
            <w:bottom w:val="none" w:sz="0" w:space="0" w:color="auto"/>
            <w:right w:val="none" w:sz="0" w:space="0" w:color="auto"/>
          </w:divBdr>
          <w:divsChild>
            <w:div w:id="1039009512">
              <w:marLeft w:val="0"/>
              <w:marRight w:val="0"/>
              <w:marTop w:val="0"/>
              <w:marBottom w:val="0"/>
              <w:divBdr>
                <w:top w:val="none" w:sz="0" w:space="0" w:color="auto"/>
                <w:left w:val="none" w:sz="0" w:space="0" w:color="auto"/>
                <w:bottom w:val="none" w:sz="0" w:space="0" w:color="auto"/>
                <w:right w:val="none" w:sz="0" w:space="0" w:color="auto"/>
              </w:divBdr>
              <w:divsChild>
                <w:div w:id="620259634">
                  <w:marLeft w:val="0"/>
                  <w:marRight w:val="0"/>
                  <w:marTop w:val="0"/>
                  <w:marBottom w:val="0"/>
                  <w:divBdr>
                    <w:top w:val="none" w:sz="0" w:space="0" w:color="auto"/>
                    <w:left w:val="none" w:sz="0" w:space="0" w:color="auto"/>
                    <w:bottom w:val="none" w:sz="0" w:space="0" w:color="auto"/>
                    <w:right w:val="none" w:sz="0" w:space="0" w:color="auto"/>
                  </w:divBdr>
                  <w:divsChild>
                    <w:div w:id="1046177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192498">
      <w:bodyDiv w:val="1"/>
      <w:marLeft w:val="0"/>
      <w:marRight w:val="0"/>
      <w:marTop w:val="0"/>
      <w:marBottom w:val="0"/>
      <w:divBdr>
        <w:top w:val="none" w:sz="0" w:space="0" w:color="auto"/>
        <w:left w:val="none" w:sz="0" w:space="0" w:color="auto"/>
        <w:bottom w:val="none" w:sz="0" w:space="0" w:color="auto"/>
        <w:right w:val="none" w:sz="0" w:space="0" w:color="auto"/>
      </w:divBdr>
      <w:divsChild>
        <w:div w:id="1065646482">
          <w:marLeft w:val="0"/>
          <w:marRight w:val="0"/>
          <w:marTop w:val="0"/>
          <w:marBottom w:val="0"/>
          <w:divBdr>
            <w:top w:val="none" w:sz="0" w:space="0" w:color="auto"/>
            <w:left w:val="none" w:sz="0" w:space="0" w:color="auto"/>
            <w:bottom w:val="none" w:sz="0" w:space="0" w:color="auto"/>
            <w:right w:val="none" w:sz="0" w:space="0" w:color="auto"/>
          </w:divBdr>
          <w:divsChild>
            <w:div w:id="1941328770">
              <w:marLeft w:val="0"/>
              <w:marRight w:val="0"/>
              <w:marTop w:val="0"/>
              <w:marBottom w:val="0"/>
              <w:divBdr>
                <w:top w:val="none" w:sz="0" w:space="0" w:color="auto"/>
                <w:left w:val="none" w:sz="0" w:space="0" w:color="auto"/>
                <w:bottom w:val="none" w:sz="0" w:space="0" w:color="auto"/>
                <w:right w:val="none" w:sz="0" w:space="0" w:color="auto"/>
              </w:divBdr>
              <w:divsChild>
                <w:div w:id="144668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402255">
      <w:bodyDiv w:val="1"/>
      <w:marLeft w:val="0"/>
      <w:marRight w:val="0"/>
      <w:marTop w:val="0"/>
      <w:marBottom w:val="0"/>
      <w:divBdr>
        <w:top w:val="none" w:sz="0" w:space="0" w:color="auto"/>
        <w:left w:val="none" w:sz="0" w:space="0" w:color="auto"/>
        <w:bottom w:val="none" w:sz="0" w:space="0" w:color="auto"/>
        <w:right w:val="none" w:sz="0" w:space="0" w:color="auto"/>
      </w:divBdr>
      <w:divsChild>
        <w:div w:id="1541285757">
          <w:marLeft w:val="0"/>
          <w:marRight w:val="0"/>
          <w:marTop w:val="0"/>
          <w:marBottom w:val="0"/>
          <w:divBdr>
            <w:top w:val="none" w:sz="0" w:space="0" w:color="auto"/>
            <w:left w:val="none" w:sz="0" w:space="0" w:color="auto"/>
            <w:bottom w:val="none" w:sz="0" w:space="0" w:color="auto"/>
            <w:right w:val="none" w:sz="0" w:space="0" w:color="auto"/>
          </w:divBdr>
          <w:divsChild>
            <w:div w:id="575826777">
              <w:marLeft w:val="0"/>
              <w:marRight w:val="0"/>
              <w:marTop w:val="0"/>
              <w:marBottom w:val="0"/>
              <w:divBdr>
                <w:top w:val="none" w:sz="0" w:space="0" w:color="auto"/>
                <w:left w:val="none" w:sz="0" w:space="0" w:color="auto"/>
                <w:bottom w:val="none" w:sz="0" w:space="0" w:color="auto"/>
                <w:right w:val="none" w:sz="0" w:space="0" w:color="auto"/>
              </w:divBdr>
              <w:divsChild>
                <w:div w:id="930088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403111">
      <w:bodyDiv w:val="1"/>
      <w:marLeft w:val="0"/>
      <w:marRight w:val="0"/>
      <w:marTop w:val="0"/>
      <w:marBottom w:val="0"/>
      <w:divBdr>
        <w:top w:val="none" w:sz="0" w:space="0" w:color="auto"/>
        <w:left w:val="none" w:sz="0" w:space="0" w:color="auto"/>
        <w:bottom w:val="none" w:sz="0" w:space="0" w:color="auto"/>
        <w:right w:val="none" w:sz="0" w:space="0" w:color="auto"/>
      </w:divBdr>
      <w:divsChild>
        <w:div w:id="1917322701">
          <w:marLeft w:val="0"/>
          <w:marRight w:val="0"/>
          <w:marTop w:val="0"/>
          <w:marBottom w:val="0"/>
          <w:divBdr>
            <w:top w:val="none" w:sz="0" w:space="0" w:color="auto"/>
            <w:left w:val="none" w:sz="0" w:space="0" w:color="auto"/>
            <w:bottom w:val="none" w:sz="0" w:space="0" w:color="auto"/>
            <w:right w:val="none" w:sz="0" w:space="0" w:color="auto"/>
          </w:divBdr>
          <w:divsChild>
            <w:div w:id="634066068">
              <w:marLeft w:val="0"/>
              <w:marRight w:val="0"/>
              <w:marTop w:val="0"/>
              <w:marBottom w:val="0"/>
              <w:divBdr>
                <w:top w:val="none" w:sz="0" w:space="0" w:color="auto"/>
                <w:left w:val="none" w:sz="0" w:space="0" w:color="auto"/>
                <w:bottom w:val="none" w:sz="0" w:space="0" w:color="auto"/>
                <w:right w:val="none" w:sz="0" w:space="0" w:color="auto"/>
              </w:divBdr>
              <w:divsChild>
                <w:div w:id="136239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057567">
      <w:bodyDiv w:val="1"/>
      <w:marLeft w:val="0"/>
      <w:marRight w:val="0"/>
      <w:marTop w:val="0"/>
      <w:marBottom w:val="0"/>
      <w:divBdr>
        <w:top w:val="none" w:sz="0" w:space="0" w:color="auto"/>
        <w:left w:val="none" w:sz="0" w:space="0" w:color="auto"/>
        <w:bottom w:val="none" w:sz="0" w:space="0" w:color="auto"/>
        <w:right w:val="none" w:sz="0" w:space="0" w:color="auto"/>
      </w:divBdr>
    </w:div>
    <w:div w:id="124469491">
      <w:bodyDiv w:val="1"/>
      <w:marLeft w:val="0"/>
      <w:marRight w:val="0"/>
      <w:marTop w:val="0"/>
      <w:marBottom w:val="0"/>
      <w:divBdr>
        <w:top w:val="none" w:sz="0" w:space="0" w:color="auto"/>
        <w:left w:val="none" w:sz="0" w:space="0" w:color="auto"/>
        <w:bottom w:val="none" w:sz="0" w:space="0" w:color="auto"/>
        <w:right w:val="none" w:sz="0" w:space="0" w:color="auto"/>
      </w:divBdr>
      <w:divsChild>
        <w:div w:id="2097095919">
          <w:marLeft w:val="0"/>
          <w:marRight w:val="0"/>
          <w:marTop w:val="0"/>
          <w:marBottom w:val="0"/>
          <w:divBdr>
            <w:top w:val="none" w:sz="0" w:space="0" w:color="auto"/>
            <w:left w:val="none" w:sz="0" w:space="0" w:color="auto"/>
            <w:bottom w:val="none" w:sz="0" w:space="0" w:color="auto"/>
            <w:right w:val="none" w:sz="0" w:space="0" w:color="auto"/>
          </w:divBdr>
          <w:divsChild>
            <w:div w:id="1952473608">
              <w:marLeft w:val="0"/>
              <w:marRight w:val="0"/>
              <w:marTop w:val="0"/>
              <w:marBottom w:val="0"/>
              <w:divBdr>
                <w:top w:val="none" w:sz="0" w:space="0" w:color="auto"/>
                <w:left w:val="none" w:sz="0" w:space="0" w:color="auto"/>
                <w:bottom w:val="none" w:sz="0" w:space="0" w:color="auto"/>
                <w:right w:val="none" w:sz="0" w:space="0" w:color="auto"/>
              </w:divBdr>
              <w:divsChild>
                <w:div w:id="1295673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021928">
      <w:bodyDiv w:val="1"/>
      <w:marLeft w:val="0"/>
      <w:marRight w:val="0"/>
      <w:marTop w:val="0"/>
      <w:marBottom w:val="0"/>
      <w:divBdr>
        <w:top w:val="none" w:sz="0" w:space="0" w:color="auto"/>
        <w:left w:val="none" w:sz="0" w:space="0" w:color="auto"/>
        <w:bottom w:val="none" w:sz="0" w:space="0" w:color="auto"/>
        <w:right w:val="none" w:sz="0" w:space="0" w:color="auto"/>
      </w:divBdr>
      <w:divsChild>
        <w:div w:id="326709061">
          <w:marLeft w:val="0"/>
          <w:marRight w:val="0"/>
          <w:marTop w:val="0"/>
          <w:marBottom w:val="0"/>
          <w:divBdr>
            <w:top w:val="none" w:sz="0" w:space="0" w:color="auto"/>
            <w:left w:val="none" w:sz="0" w:space="0" w:color="auto"/>
            <w:bottom w:val="none" w:sz="0" w:space="0" w:color="auto"/>
            <w:right w:val="none" w:sz="0" w:space="0" w:color="auto"/>
          </w:divBdr>
          <w:divsChild>
            <w:div w:id="903761372">
              <w:marLeft w:val="0"/>
              <w:marRight w:val="0"/>
              <w:marTop w:val="0"/>
              <w:marBottom w:val="0"/>
              <w:divBdr>
                <w:top w:val="none" w:sz="0" w:space="0" w:color="auto"/>
                <w:left w:val="none" w:sz="0" w:space="0" w:color="auto"/>
                <w:bottom w:val="none" w:sz="0" w:space="0" w:color="auto"/>
                <w:right w:val="none" w:sz="0" w:space="0" w:color="auto"/>
              </w:divBdr>
              <w:divsChild>
                <w:div w:id="218979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413163">
      <w:bodyDiv w:val="1"/>
      <w:marLeft w:val="0"/>
      <w:marRight w:val="0"/>
      <w:marTop w:val="0"/>
      <w:marBottom w:val="0"/>
      <w:divBdr>
        <w:top w:val="none" w:sz="0" w:space="0" w:color="auto"/>
        <w:left w:val="none" w:sz="0" w:space="0" w:color="auto"/>
        <w:bottom w:val="none" w:sz="0" w:space="0" w:color="auto"/>
        <w:right w:val="none" w:sz="0" w:space="0" w:color="auto"/>
      </w:divBdr>
      <w:divsChild>
        <w:div w:id="954560960">
          <w:marLeft w:val="0"/>
          <w:marRight w:val="0"/>
          <w:marTop w:val="0"/>
          <w:marBottom w:val="0"/>
          <w:divBdr>
            <w:top w:val="none" w:sz="0" w:space="0" w:color="auto"/>
            <w:left w:val="none" w:sz="0" w:space="0" w:color="auto"/>
            <w:bottom w:val="none" w:sz="0" w:space="0" w:color="auto"/>
            <w:right w:val="none" w:sz="0" w:space="0" w:color="auto"/>
          </w:divBdr>
          <w:divsChild>
            <w:div w:id="1513297953">
              <w:marLeft w:val="0"/>
              <w:marRight w:val="0"/>
              <w:marTop w:val="0"/>
              <w:marBottom w:val="0"/>
              <w:divBdr>
                <w:top w:val="none" w:sz="0" w:space="0" w:color="auto"/>
                <w:left w:val="none" w:sz="0" w:space="0" w:color="auto"/>
                <w:bottom w:val="none" w:sz="0" w:space="0" w:color="auto"/>
                <w:right w:val="none" w:sz="0" w:space="0" w:color="auto"/>
              </w:divBdr>
              <w:divsChild>
                <w:div w:id="1024091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517021">
      <w:bodyDiv w:val="1"/>
      <w:marLeft w:val="0"/>
      <w:marRight w:val="0"/>
      <w:marTop w:val="0"/>
      <w:marBottom w:val="0"/>
      <w:divBdr>
        <w:top w:val="none" w:sz="0" w:space="0" w:color="auto"/>
        <w:left w:val="none" w:sz="0" w:space="0" w:color="auto"/>
        <w:bottom w:val="none" w:sz="0" w:space="0" w:color="auto"/>
        <w:right w:val="none" w:sz="0" w:space="0" w:color="auto"/>
      </w:divBdr>
    </w:div>
    <w:div w:id="148526337">
      <w:bodyDiv w:val="1"/>
      <w:marLeft w:val="0"/>
      <w:marRight w:val="0"/>
      <w:marTop w:val="0"/>
      <w:marBottom w:val="0"/>
      <w:divBdr>
        <w:top w:val="none" w:sz="0" w:space="0" w:color="auto"/>
        <w:left w:val="none" w:sz="0" w:space="0" w:color="auto"/>
        <w:bottom w:val="none" w:sz="0" w:space="0" w:color="auto"/>
        <w:right w:val="none" w:sz="0" w:space="0" w:color="auto"/>
      </w:divBdr>
      <w:divsChild>
        <w:div w:id="858012006">
          <w:marLeft w:val="0"/>
          <w:marRight w:val="0"/>
          <w:marTop w:val="0"/>
          <w:marBottom w:val="0"/>
          <w:divBdr>
            <w:top w:val="none" w:sz="0" w:space="0" w:color="auto"/>
            <w:left w:val="none" w:sz="0" w:space="0" w:color="auto"/>
            <w:bottom w:val="none" w:sz="0" w:space="0" w:color="auto"/>
            <w:right w:val="none" w:sz="0" w:space="0" w:color="auto"/>
          </w:divBdr>
          <w:divsChild>
            <w:div w:id="1735153641">
              <w:marLeft w:val="0"/>
              <w:marRight w:val="0"/>
              <w:marTop w:val="0"/>
              <w:marBottom w:val="0"/>
              <w:divBdr>
                <w:top w:val="none" w:sz="0" w:space="0" w:color="auto"/>
                <w:left w:val="none" w:sz="0" w:space="0" w:color="auto"/>
                <w:bottom w:val="none" w:sz="0" w:space="0" w:color="auto"/>
                <w:right w:val="none" w:sz="0" w:space="0" w:color="auto"/>
              </w:divBdr>
              <w:divsChild>
                <w:div w:id="982546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629696">
      <w:bodyDiv w:val="1"/>
      <w:marLeft w:val="0"/>
      <w:marRight w:val="0"/>
      <w:marTop w:val="0"/>
      <w:marBottom w:val="0"/>
      <w:divBdr>
        <w:top w:val="none" w:sz="0" w:space="0" w:color="auto"/>
        <w:left w:val="none" w:sz="0" w:space="0" w:color="auto"/>
        <w:bottom w:val="none" w:sz="0" w:space="0" w:color="auto"/>
        <w:right w:val="none" w:sz="0" w:space="0" w:color="auto"/>
      </w:divBdr>
      <w:divsChild>
        <w:div w:id="885793464">
          <w:marLeft w:val="0"/>
          <w:marRight w:val="0"/>
          <w:marTop w:val="0"/>
          <w:marBottom w:val="0"/>
          <w:divBdr>
            <w:top w:val="none" w:sz="0" w:space="0" w:color="auto"/>
            <w:left w:val="none" w:sz="0" w:space="0" w:color="auto"/>
            <w:bottom w:val="none" w:sz="0" w:space="0" w:color="auto"/>
            <w:right w:val="none" w:sz="0" w:space="0" w:color="auto"/>
          </w:divBdr>
          <w:divsChild>
            <w:div w:id="1711804995">
              <w:marLeft w:val="0"/>
              <w:marRight w:val="0"/>
              <w:marTop w:val="0"/>
              <w:marBottom w:val="0"/>
              <w:divBdr>
                <w:top w:val="none" w:sz="0" w:space="0" w:color="auto"/>
                <w:left w:val="none" w:sz="0" w:space="0" w:color="auto"/>
                <w:bottom w:val="none" w:sz="0" w:space="0" w:color="auto"/>
                <w:right w:val="none" w:sz="0" w:space="0" w:color="auto"/>
              </w:divBdr>
              <w:divsChild>
                <w:div w:id="1802572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474681">
      <w:bodyDiv w:val="1"/>
      <w:marLeft w:val="0"/>
      <w:marRight w:val="0"/>
      <w:marTop w:val="0"/>
      <w:marBottom w:val="0"/>
      <w:divBdr>
        <w:top w:val="none" w:sz="0" w:space="0" w:color="auto"/>
        <w:left w:val="none" w:sz="0" w:space="0" w:color="auto"/>
        <w:bottom w:val="none" w:sz="0" w:space="0" w:color="auto"/>
        <w:right w:val="none" w:sz="0" w:space="0" w:color="auto"/>
      </w:divBdr>
    </w:div>
    <w:div w:id="164367883">
      <w:bodyDiv w:val="1"/>
      <w:marLeft w:val="0"/>
      <w:marRight w:val="0"/>
      <w:marTop w:val="0"/>
      <w:marBottom w:val="0"/>
      <w:divBdr>
        <w:top w:val="none" w:sz="0" w:space="0" w:color="auto"/>
        <w:left w:val="none" w:sz="0" w:space="0" w:color="auto"/>
        <w:bottom w:val="none" w:sz="0" w:space="0" w:color="auto"/>
        <w:right w:val="none" w:sz="0" w:space="0" w:color="auto"/>
      </w:divBdr>
      <w:divsChild>
        <w:div w:id="962658748">
          <w:marLeft w:val="0"/>
          <w:marRight w:val="0"/>
          <w:marTop w:val="0"/>
          <w:marBottom w:val="0"/>
          <w:divBdr>
            <w:top w:val="none" w:sz="0" w:space="0" w:color="auto"/>
            <w:left w:val="none" w:sz="0" w:space="0" w:color="auto"/>
            <w:bottom w:val="none" w:sz="0" w:space="0" w:color="auto"/>
            <w:right w:val="none" w:sz="0" w:space="0" w:color="auto"/>
          </w:divBdr>
          <w:divsChild>
            <w:div w:id="1898929523">
              <w:marLeft w:val="0"/>
              <w:marRight w:val="0"/>
              <w:marTop w:val="0"/>
              <w:marBottom w:val="0"/>
              <w:divBdr>
                <w:top w:val="none" w:sz="0" w:space="0" w:color="auto"/>
                <w:left w:val="none" w:sz="0" w:space="0" w:color="auto"/>
                <w:bottom w:val="none" w:sz="0" w:space="0" w:color="auto"/>
                <w:right w:val="none" w:sz="0" w:space="0" w:color="auto"/>
              </w:divBdr>
              <w:divsChild>
                <w:div w:id="60746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286095">
      <w:bodyDiv w:val="1"/>
      <w:marLeft w:val="0"/>
      <w:marRight w:val="0"/>
      <w:marTop w:val="0"/>
      <w:marBottom w:val="0"/>
      <w:divBdr>
        <w:top w:val="none" w:sz="0" w:space="0" w:color="auto"/>
        <w:left w:val="none" w:sz="0" w:space="0" w:color="auto"/>
        <w:bottom w:val="none" w:sz="0" w:space="0" w:color="auto"/>
        <w:right w:val="none" w:sz="0" w:space="0" w:color="auto"/>
      </w:divBdr>
      <w:divsChild>
        <w:div w:id="2129199261">
          <w:marLeft w:val="0"/>
          <w:marRight w:val="0"/>
          <w:marTop w:val="0"/>
          <w:marBottom w:val="0"/>
          <w:divBdr>
            <w:top w:val="none" w:sz="0" w:space="0" w:color="auto"/>
            <w:left w:val="none" w:sz="0" w:space="0" w:color="auto"/>
            <w:bottom w:val="none" w:sz="0" w:space="0" w:color="auto"/>
            <w:right w:val="none" w:sz="0" w:space="0" w:color="auto"/>
          </w:divBdr>
          <w:divsChild>
            <w:div w:id="2003004327">
              <w:marLeft w:val="0"/>
              <w:marRight w:val="0"/>
              <w:marTop w:val="0"/>
              <w:marBottom w:val="0"/>
              <w:divBdr>
                <w:top w:val="none" w:sz="0" w:space="0" w:color="auto"/>
                <w:left w:val="none" w:sz="0" w:space="0" w:color="auto"/>
                <w:bottom w:val="none" w:sz="0" w:space="0" w:color="auto"/>
                <w:right w:val="none" w:sz="0" w:space="0" w:color="auto"/>
              </w:divBdr>
              <w:divsChild>
                <w:div w:id="297033551">
                  <w:marLeft w:val="0"/>
                  <w:marRight w:val="0"/>
                  <w:marTop w:val="0"/>
                  <w:marBottom w:val="0"/>
                  <w:divBdr>
                    <w:top w:val="none" w:sz="0" w:space="0" w:color="auto"/>
                    <w:left w:val="none" w:sz="0" w:space="0" w:color="auto"/>
                    <w:bottom w:val="none" w:sz="0" w:space="0" w:color="auto"/>
                    <w:right w:val="none" w:sz="0" w:space="0" w:color="auto"/>
                  </w:divBdr>
                  <w:divsChild>
                    <w:div w:id="1995645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604921">
      <w:bodyDiv w:val="1"/>
      <w:marLeft w:val="0"/>
      <w:marRight w:val="0"/>
      <w:marTop w:val="0"/>
      <w:marBottom w:val="0"/>
      <w:divBdr>
        <w:top w:val="none" w:sz="0" w:space="0" w:color="auto"/>
        <w:left w:val="none" w:sz="0" w:space="0" w:color="auto"/>
        <w:bottom w:val="none" w:sz="0" w:space="0" w:color="auto"/>
        <w:right w:val="none" w:sz="0" w:space="0" w:color="auto"/>
      </w:divBdr>
      <w:divsChild>
        <w:div w:id="1374889913">
          <w:marLeft w:val="0"/>
          <w:marRight w:val="0"/>
          <w:marTop w:val="0"/>
          <w:marBottom w:val="0"/>
          <w:divBdr>
            <w:top w:val="none" w:sz="0" w:space="0" w:color="auto"/>
            <w:left w:val="none" w:sz="0" w:space="0" w:color="auto"/>
            <w:bottom w:val="none" w:sz="0" w:space="0" w:color="auto"/>
            <w:right w:val="none" w:sz="0" w:space="0" w:color="auto"/>
          </w:divBdr>
          <w:divsChild>
            <w:div w:id="537592747">
              <w:marLeft w:val="0"/>
              <w:marRight w:val="0"/>
              <w:marTop w:val="0"/>
              <w:marBottom w:val="0"/>
              <w:divBdr>
                <w:top w:val="none" w:sz="0" w:space="0" w:color="auto"/>
                <w:left w:val="none" w:sz="0" w:space="0" w:color="auto"/>
                <w:bottom w:val="none" w:sz="0" w:space="0" w:color="auto"/>
                <w:right w:val="none" w:sz="0" w:space="0" w:color="auto"/>
              </w:divBdr>
              <w:divsChild>
                <w:div w:id="5638876">
                  <w:marLeft w:val="0"/>
                  <w:marRight w:val="0"/>
                  <w:marTop w:val="0"/>
                  <w:marBottom w:val="0"/>
                  <w:divBdr>
                    <w:top w:val="none" w:sz="0" w:space="0" w:color="auto"/>
                    <w:left w:val="none" w:sz="0" w:space="0" w:color="auto"/>
                    <w:bottom w:val="none" w:sz="0" w:space="0" w:color="auto"/>
                    <w:right w:val="none" w:sz="0" w:space="0" w:color="auto"/>
                  </w:divBdr>
                  <w:divsChild>
                    <w:div w:id="35475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427739">
      <w:bodyDiv w:val="1"/>
      <w:marLeft w:val="0"/>
      <w:marRight w:val="0"/>
      <w:marTop w:val="0"/>
      <w:marBottom w:val="0"/>
      <w:divBdr>
        <w:top w:val="none" w:sz="0" w:space="0" w:color="auto"/>
        <w:left w:val="none" w:sz="0" w:space="0" w:color="auto"/>
        <w:bottom w:val="none" w:sz="0" w:space="0" w:color="auto"/>
        <w:right w:val="none" w:sz="0" w:space="0" w:color="auto"/>
      </w:divBdr>
      <w:divsChild>
        <w:div w:id="1124807600">
          <w:marLeft w:val="0"/>
          <w:marRight w:val="0"/>
          <w:marTop w:val="0"/>
          <w:marBottom w:val="0"/>
          <w:divBdr>
            <w:top w:val="none" w:sz="0" w:space="0" w:color="auto"/>
            <w:left w:val="none" w:sz="0" w:space="0" w:color="auto"/>
            <w:bottom w:val="none" w:sz="0" w:space="0" w:color="auto"/>
            <w:right w:val="none" w:sz="0" w:space="0" w:color="auto"/>
          </w:divBdr>
          <w:divsChild>
            <w:div w:id="1233001492">
              <w:marLeft w:val="0"/>
              <w:marRight w:val="0"/>
              <w:marTop w:val="0"/>
              <w:marBottom w:val="0"/>
              <w:divBdr>
                <w:top w:val="none" w:sz="0" w:space="0" w:color="auto"/>
                <w:left w:val="none" w:sz="0" w:space="0" w:color="auto"/>
                <w:bottom w:val="none" w:sz="0" w:space="0" w:color="auto"/>
                <w:right w:val="none" w:sz="0" w:space="0" w:color="auto"/>
              </w:divBdr>
              <w:divsChild>
                <w:div w:id="1969239082">
                  <w:marLeft w:val="0"/>
                  <w:marRight w:val="0"/>
                  <w:marTop w:val="0"/>
                  <w:marBottom w:val="0"/>
                  <w:divBdr>
                    <w:top w:val="none" w:sz="0" w:space="0" w:color="auto"/>
                    <w:left w:val="none" w:sz="0" w:space="0" w:color="auto"/>
                    <w:bottom w:val="none" w:sz="0" w:space="0" w:color="auto"/>
                    <w:right w:val="none" w:sz="0" w:space="0" w:color="auto"/>
                  </w:divBdr>
                  <w:divsChild>
                    <w:div w:id="695812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893251">
      <w:bodyDiv w:val="1"/>
      <w:marLeft w:val="0"/>
      <w:marRight w:val="0"/>
      <w:marTop w:val="0"/>
      <w:marBottom w:val="0"/>
      <w:divBdr>
        <w:top w:val="none" w:sz="0" w:space="0" w:color="auto"/>
        <w:left w:val="none" w:sz="0" w:space="0" w:color="auto"/>
        <w:bottom w:val="none" w:sz="0" w:space="0" w:color="auto"/>
        <w:right w:val="none" w:sz="0" w:space="0" w:color="auto"/>
      </w:divBdr>
      <w:divsChild>
        <w:div w:id="1174221444">
          <w:marLeft w:val="0"/>
          <w:marRight w:val="0"/>
          <w:marTop w:val="0"/>
          <w:marBottom w:val="0"/>
          <w:divBdr>
            <w:top w:val="none" w:sz="0" w:space="0" w:color="auto"/>
            <w:left w:val="none" w:sz="0" w:space="0" w:color="auto"/>
            <w:bottom w:val="none" w:sz="0" w:space="0" w:color="auto"/>
            <w:right w:val="none" w:sz="0" w:space="0" w:color="auto"/>
          </w:divBdr>
          <w:divsChild>
            <w:div w:id="783883007">
              <w:marLeft w:val="0"/>
              <w:marRight w:val="0"/>
              <w:marTop w:val="0"/>
              <w:marBottom w:val="0"/>
              <w:divBdr>
                <w:top w:val="none" w:sz="0" w:space="0" w:color="auto"/>
                <w:left w:val="none" w:sz="0" w:space="0" w:color="auto"/>
                <w:bottom w:val="none" w:sz="0" w:space="0" w:color="auto"/>
                <w:right w:val="none" w:sz="0" w:space="0" w:color="auto"/>
              </w:divBdr>
              <w:divsChild>
                <w:div w:id="276644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9219749">
      <w:bodyDiv w:val="1"/>
      <w:marLeft w:val="0"/>
      <w:marRight w:val="0"/>
      <w:marTop w:val="0"/>
      <w:marBottom w:val="0"/>
      <w:divBdr>
        <w:top w:val="none" w:sz="0" w:space="0" w:color="auto"/>
        <w:left w:val="none" w:sz="0" w:space="0" w:color="auto"/>
        <w:bottom w:val="none" w:sz="0" w:space="0" w:color="auto"/>
        <w:right w:val="none" w:sz="0" w:space="0" w:color="auto"/>
      </w:divBdr>
      <w:divsChild>
        <w:div w:id="381634525">
          <w:marLeft w:val="0"/>
          <w:marRight w:val="0"/>
          <w:marTop w:val="0"/>
          <w:marBottom w:val="0"/>
          <w:divBdr>
            <w:top w:val="none" w:sz="0" w:space="0" w:color="auto"/>
            <w:left w:val="none" w:sz="0" w:space="0" w:color="auto"/>
            <w:bottom w:val="none" w:sz="0" w:space="0" w:color="auto"/>
            <w:right w:val="none" w:sz="0" w:space="0" w:color="auto"/>
          </w:divBdr>
          <w:divsChild>
            <w:div w:id="328559120">
              <w:marLeft w:val="0"/>
              <w:marRight w:val="0"/>
              <w:marTop w:val="0"/>
              <w:marBottom w:val="0"/>
              <w:divBdr>
                <w:top w:val="none" w:sz="0" w:space="0" w:color="auto"/>
                <w:left w:val="none" w:sz="0" w:space="0" w:color="auto"/>
                <w:bottom w:val="none" w:sz="0" w:space="0" w:color="auto"/>
                <w:right w:val="none" w:sz="0" w:space="0" w:color="auto"/>
              </w:divBdr>
              <w:divsChild>
                <w:div w:id="925378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3102241">
      <w:bodyDiv w:val="1"/>
      <w:marLeft w:val="0"/>
      <w:marRight w:val="0"/>
      <w:marTop w:val="0"/>
      <w:marBottom w:val="0"/>
      <w:divBdr>
        <w:top w:val="none" w:sz="0" w:space="0" w:color="auto"/>
        <w:left w:val="none" w:sz="0" w:space="0" w:color="auto"/>
        <w:bottom w:val="none" w:sz="0" w:space="0" w:color="auto"/>
        <w:right w:val="none" w:sz="0" w:space="0" w:color="auto"/>
      </w:divBdr>
      <w:divsChild>
        <w:div w:id="1370490841">
          <w:marLeft w:val="0"/>
          <w:marRight w:val="0"/>
          <w:marTop w:val="0"/>
          <w:marBottom w:val="0"/>
          <w:divBdr>
            <w:top w:val="none" w:sz="0" w:space="0" w:color="auto"/>
            <w:left w:val="none" w:sz="0" w:space="0" w:color="auto"/>
            <w:bottom w:val="none" w:sz="0" w:space="0" w:color="auto"/>
            <w:right w:val="none" w:sz="0" w:space="0" w:color="auto"/>
          </w:divBdr>
          <w:divsChild>
            <w:div w:id="642587158">
              <w:marLeft w:val="0"/>
              <w:marRight w:val="0"/>
              <w:marTop w:val="0"/>
              <w:marBottom w:val="0"/>
              <w:divBdr>
                <w:top w:val="none" w:sz="0" w:space="0" w:color="auto"/>
                <w:left w:val="none" w:sz="0" w:space="0" w:color="auto"/>
                <w:bottom w:val="none" w:sz="0" w:space="0" w:color="auto"/>
                <w:right w:val="none" w:sz="0" w:space="0" w:color="auto"/>
              </w:divBdr>
              <w:divsChild>
                <w:div w:id="1321075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8561300">
      <w:bodyDiv w:val="1"/>
      <w:marLeft w:val="0"/>
      <w:marRight w:val="0"/>
      <w:marTop w:val="0"/>
      <w:marBottom w:val="0"/>
      <w:divBdr>
        <w:top w:val="none" w:sz="0" w:space="0" w:color="auto"/>
        <w:left w:val="none" w:sz="0" w:space="0" w:color="auto"/>
        <w:bottom w:val="none" w:sz="0" w:space="0" w:color="auto"/>
        <w:right w:val="none" w:sz="0" w:space="0" w:color="auto"/>
      </w:divBdr>
      <w:divsChild>
        <w:div w:id="1402294291">
          <w:marLeft w:val="0"/>
          <w:marRight w:val="0"/>
          <w:marTop w:val="0"/>
          <w:marBottom w:val="0"/>
          <w:divBdr>
            <w:top w:val="none" w:sz="0" w:space="0" w:color="auto"/>
            <w:left w:val="none" w:sz="0" w:space="0" w:color="auto"/>
            <w:bottom w:val="none" w:sz="0" w:space="0" w:color="auto"/>
            <w:right w:val="none" w:sz="0" w:space="0" w:color="auto"/>
          </w:divBdr>
          <w:divsChild>
            <w:div w:id="23990235">
              <w:marLeft w:val="0"/>
              <w:marRight w:val="0"/>
              <w:marTop w:val="0"/>
              <w:marBottom w:val="0"/>
              <w:divBdr>
                <w:top w:val="none" w:sz="0" w:space="0" w:color="auto"/>
                <w:left w:val="none" w:sz="0" w:space="0" w:color="auto"/>
                <w:bottom w:val="none" w:sz="0" w:space="0" w:color="auto"/>
                <w:right w:val="none" w:sz="0" w:space="0" w:color="auto"/>
              </w:divBdr>
              <w:divsChild>
                <w:div w:id="1652976290">
                  <w:marLeft w:val="0"/>
                  <w:marRight w:val="0"/>
                  <w:marTop w:val="0"/>
                  <w:marBottom w:val="0"/>
                  <w:divBdr>
                    <w:top w:val="none" w:sz="0" w:space="0" w:color="auto"/>
                    <w:left w:val="none" w:sz="0" w:space="0" w:color="auto"/>
                    <w:bottom w:val="none" w:sz="0" w:space="0" w:color="auto"/>
                    <w:right w:val="none" w:sz="0" w:space="0" w:color="auto"/>
                  </w:divBdr>
                  <w:divsChild>
                    <w:div w:id="545139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8393792">
      <w:bodyDiv w:val="1"/>
      <w:marLeft w:val="0"/>
      <w:marRight w:val="0"/>
      <w:marTop w:val="0"/>
      <w:marBottom w:val="0"/>
      <w:divBdr>
        <w:top w:val="none" w:sz="0" w:space="0" w:color="auto"/>
        <w:left w:val="none" w:sz="0" w:space="0" w:color="auto"/>
        <w:bottom w:val="none" w:sz="0" w:space="0" w:color="auto"/>
        <w:right w:val="none" w:sz="0" w:space="0" w:color="auto"/>
      </w:divBdr>
    </w:div>
    <w:div w:id="286930411">
      <w:bodyDiv w:val="1"/>
      <w:marLeft w:val="0"/>
      <w:marRight w:val="0"/>
      <w:marTop w:val="0"/>
      <w:marBottom w:val="0"/>
      <w:divBdr>
        <w:top w:val="none" w:sz="0" w:space="0" w:color="auto"/>
        <w:left w:val="none" w:sz="0" w:space="0" w:color="auto"/>
        <w:bottom w:val="none" w:sz="0" w:space="0" w:color="auto"/>
        <w:right w:val="none" w:sz="0" w:space="0" w:color="auto"/>
      </w:divBdr>
    </w:div>
    <w:div w:id="326522361">
      <w:bodyDiv w:val="1"/>
      <w:marLeft w:val="0"/>
      <w:marRight w:val="0"/>
      <w:marTop w:val="0"/>
      <w:marBottom w:val="0"/>
      <w:divBdr>
        <w:top w:val="none" w:sz="0" w:space="0" w:color="auto"/>
        <w:left w:val="none" w:sz="0" w:space="0" w:color="auto"/>
        <w:bottom w:val="none" w:sz="0" w:space="0" w:color="auto"/>
        <w:right w:val="none" w:sz="0" w:space="0" w:color="auto"/>
      </w:divBdr>
      <w:divsChild>
        <w:div w:id="127630575">
          <w:marLeft w:val="0"/>
          <w:marRight w:val="0"/>
          <w:marTop w:val="0"/>
          <w:marBottom w:val="0"/>
          <w:divBdr>
            <w:top w:val="none" w:sz="0" w:space="0" w:color="auto"/>
            <w:left w:val="none" w:sz="0" w:space="0" w:color="auto"/>
            <w:bottom w:val="none" w:sz="0" w:space="0" w:color="auto"/>
            <w:right w:val="none" w:sz="0" w:space="0" w:color="auto"/>
          </w:divBdr>
          <w:divsChild>
            <w:div w:id="755126274">
              <w:marLeft w:val="0"/>
              <w:marRight w:val="0"/>
              <w:marTop w:val="0"/>
              <w:marBottom w:val="0"/>
              <w:divBdr>
                <w:top w:val="none" w:sz="0" w:space="0" w:color="auto"/>
                <w:left w:val="none" w:sz="0" w:space="0" w:color="auto"/>
                <w:bottom w:val="none" w:sz="0" w:space="0" w:color="auto"/>
                <w:right w:val="none" w:sz="0" w:space="0" w:color="auto"/>
              </w:divBdr>
              <w:divsChild>
                <w:div w:id="1125998900">
                  <w:marLeft w:val="0"/>
                  <w:marRight w:val="0"/>
                  <w:marTop w:val="0"/>
                  <w:marBottom w:val="0"/>
                  <w:divBdr>
                    <w:top w:val="none" w:sz="0" w:space="0" w:color="auto"/>
                    <w:left w:val="none" w:sz="0" w:space="0" w:color="auto"/>
                    <w:bottom w:val="none" w:sz="0" w:space="0" w:color="auto"/>
                    <w:right w:val="none" w:sz="0" w:space="0" w:color="auto"/>
                  </w:divBdr>
                  <w:divsChild>
                    <w:div w:id="692149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5881531">
      <w:bodyDiv w:val="1"/>
      <w:marLeft w:val="0"/>
      <w:marRight w:val="0"/>
      <w:marTop w:val="0"/>
      <w:marBottom w:val="0"/>
      <w:divBdr>
        <w:top w:val="none" w:sz="0" w:space="0" w:color="auto"/>
        <w:left w:val="none" w:sz="0" w:space="0" w:color="auto"/>
        <w:bottom w:val="none" w:sz="0" w:space="0" w:color="auto"/>
        <w:right w:val="none" w:sz="0" w:space="0" w:color="auto"/>
      </w:divBdr>
    </w:div>
    <w:div w:id="338001322">
      <w:bodyDiv w:val="1"/>
      <w:marLeft w:val="0"/>
      <w:marRight w:val="0"/>
      <w:marTop w:val="0"/>
      <w:marBottom w:val="0"/>
      <w:divBdr>
        <w:top w:val="none" w:sz="0" w:space="0" w:color="auto"/>
        <w:left w:val="none" w:sz="0" w:space="0" w:color="auto"/>
        <w:bottom w:val="none" w:sz="0" w:space="0" w:color="auto"/>
        <w:right w:val="none" w:sz="0" w:space="0" w:color="auto"/>
      </w:divBdr>
      <w:divsChild>
        <w:div w:id="1504204753">
          <w:marLeft w:val="0"/>
          <w:marRight w:val="0"/>
          <w:marTop w:val="0"/>
          <w:marBottom w:val="0"/>
          <w:divBdr>
            <w:top w:val="none" w:sz="0" w:space="0" w:color="auto"/>
            <w:left w:val="none" w:sz="0" w:space="0" w:color="auto"/>
            <w:bottom w:val="none" w:sz="0" w:space="0" w:color="auto"/>
            <w:right w:val="none" w:sz="0" w:space="0" w:color="auto"/>
          </w:divBdr>
          <w:divsChild>
            <w:div w:id="1530337871">
              <w:marLeft w:val="0"/>
              <w:marRight w:val="0"/>
              <w:marTop w:val="0"/>
              <w:marBottom w:val="0"/>
              <w:divBdr>
                <w:top w:val="none" w:sz="0" w:space="0" w:color="auto"/>
                <w:left w:val="none" w:sz="0" w:space="0" w:color="auto"/>
                <w:bottom w:val="none" w:sz="0" w:space="0" w:color="auto"/>
                <w:right w:val="none" w:sz="0" w:space="0" w:color="auto"/>
              </w:divBdr>
              <w:divsChild>
                <w:div w:id="588780674">
                  <w:marLeft w:val="0"/>
                  <w:marRight w:val="0"/>
                  <w:marTop w:val="0"/>
                  <w:marBottom w:val="0"/>
                  <w:divBdr>
                    <w:top w:val="none" w:sz="0" w:space="0" w:color="auto"/>
                    <w:left w:val="none" w:sz="0" w:space="0" w:color="auto"/>
                    <w:bottom w:val="none" w:sz="0" w:space="0" w:color="auto"/>
                    <w:right w:val="none" w:sz="0" w:space="0" w:color="auto"/>
                  </w:divBdr>
                  <w:divsChild>
                    <w:div w:id="1127354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8945451">
      <w:bodyDiv w:val="1"/>
      <w:marLeft w:val="0"/>
      <w:marRight w:val="0"/>
      <w:marTop w:val="0"/>
      <w:marBottom w:val="0"/>
      <w:divBdr>
        <w:top w:val="none" w:sz="0" w:space="0" w:color="auto"/>
        <w:left w:val="none" w:sz="0" w:space="0" w:color="auto"/>
        <w:bottom w:val="none" w:sz="0" w:space="0" w:color="auto"/>
        <w:right w:val="none" w:sz="0" w:space="0" w:color="auto"/>
      </w:divBdr>
      <w:divsChild>
        <w:div w:id="1393381475">
          <w:marLeft w:val="0"/>
          <w:marRight w:val="0"/>
          <w:marTop w:val="0"/>
          <w:marBottom w:val="0"/>
          <w:divBdr>
            <w:top w:val="none" w:sz="0" w:space="0" w:color="auto"/>
            <w:left w:val="none" w:sz="0" w:space="0" w:color="auto"/>
            <w:bottom w:val="none" w:sz="0" w:space="0" w:color="auto"/>
            <w:right w:val="none" w:sz="0" w:space="0" w:color="auto"/>
          </w:divBdr>
          <w:divsChild>
            <w:div w:id="444278929">
              <w:marLeft w:val="0"/>
              <w:marRight w:val="0"/>
              <w:marTop w:val="0"/>
              <w:marBottom w:val="0"/>
              <w:divBdr>
                <w:top w:val="none" w:sz="0" w:space="0" w:color="auto"/>
                <w:left w:val="none" w:sz="0" w:space="0" w:color="auto"/>
                <w:bottom w:val="none" w:sz="0" w:space="0" w:color="auto"/>
                <w:right w:val="none" w:sz="0" w:space="0" w:color="auto"/>
              </w:divBdr>
              <w:divsChild>
                <w:div w:id="1949773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8241404">
      <w:bodyDiv w:val="1"/>
      <w:marLeft w:val="0"/>
      <w:marRight w:val="0"/>
      <w:marTop w:val="0"/>
      <w:marBottom w:val="0"/>
      <w:divBdr>
        <w:top w:val="none" w:sz="0" w:space="0" w:color="auto"/>
        <w:left w:val="none" w:sz="0" w:space="0" w:color="auto"/>
        <w:bottom w:val="none" w:sz="0" w:space="0" w:color="auto"/>
        <w:right w:val="none" w:sz="0" w:space="0" w:color="auto"/>
      </w:divBdr>
    </w:div>
    <w:div w:id="362708348">
      <w:bodyDiv w:val="1"/>
      <w:marLeft w:val="0"/>
      <w:marRight w:val="0"/>
      <w:marTop w:val="0"/>
      <w:marBottom w:val="0"/>
      <w:divBdr>
        <w:top w:val="none" w:sz="0" w:space="0" w:color="auto"/>
        <w:left w:val="none" w:sz="0" w:space="0" w:color="auto"/>
        <w:bottom w:val="none" w:sz="0" w:space="0" w:color="auto"/>
        <w:right w:val="none" w:sz="0" w:space="0" w:color="auto"/>
      </w:divBdr>
      <w:divsChild>
        <w:div w:id="776097104">
          <w:marLeft w:val="0"/>
          <w:marRight w:val="0"/>
          <w:marTop w:val="0"/>
          <w:marBottom w:val="0"/>
          <w:divBdr>
            <w:top w:val="none" w:sz="0" w:space="0" w:color="auto"/>
            <w:left w:val="none" w:sz="0" w:space="0" w:color="auto"/>
            <w:bottom w:val="none" w:sz="0" w:space="0" w:color="auto"/>
            <w:right w:val="none" w:sz="0" w:space="0" w:color="auto"/>
          </w:divBdr>
          <w:divsChild>
            <w:div w:id="2122143985">
              <w:marLeft w:val="0"/>
              <w:marRight w:val="0"/>
              <w:marTop w:val="0"/>
              <w:marBottom w:val="0"/>
              <w:divBdr>
                <w:top w:val="none" w:sz="0" w:space="0" w:color="auto"/>
                <w:left w:val="none" w:sz="0" w:space="0" w:color="auto"/>
                <w:bottom w:val="none" w:sz="0" w:space="0" w:color="auto"/>
                <w:right w:val="none" w:sz="0" w:space="0" w:color="auto"/>
              </w:divBdr>
              <w:divsChild>
                <w:div w:id="1453473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4451164">
      <w:bodyDiv w:val="1"/>
      <w:marLeft w:val="0"/>
      <w:marRight w:val="0"/>
      <w:marTop w:val="0"/>
      <w:marBottom w:val="0"/>
      <w:divBdr>
        <w:top w:val="none" w:sz="0" w:space="0" w:color="auto"/>
        <w:left w:val="none" w:sz="0" w:space="0" w:color="auto"/>
        <w:bottom w:val="none" w:sz="0" w:space="0" w:color="auto"/>
        <w:right w:val="none" w:sz="0" w:space="0" w:color="auto"/>
      </w:divBdr>
    </w:div>
    <w:div w:id="385761870">
      <w:bodyDiv w:val="1"/>
      <w:marLeft w:val="0"/>
      <w:marRight w:val="0"/>
      <w:marTop w:val="0"/>
      <w:marBottom w:val="0"/>
      <w:divBdr>
        <w:top w:val="none" w:sz="0" w:space="0" w:color="auto"/>
        <w:left w:val="none" w:sz="0" w:space="0" w:color="auto"/>
        <w:bottom w:val="none" w:sz="0" w:space="0" w:color="auto"/>
        <w:right w:val="none" w:sz="0" w:space="0" w:color="auto"/>
      </w:divBdr>
      <w:divsChild>
        <w:div w:id="848328936">
          <w:marLeft w:val="0"/>
          <w:marRight w:val="0"/>
          <w:marTop w:val="0"/>
          <w:marBottom w:val="0"/>
          <w:divBdr>
            <w:top w:val="none" w:sz="0" w:space="0" w:color="auto"/>
            <w:left w:val="none" w:sz="0" w:space="0" w:color="auto"/>
            <w:bottom w:val="none" w:sz="0" w:space="0" w:color="auto"/>
            <w:right w:val="none" w:sz="0" w:space="0" w:color="auto"/>
          </w:divBdr>
          <w:divsChild>
            <w:div w:id="284435536">
              <w:marLeft w:val="0"/>
              <w:marRight w:val="0"/>
              <w:marTop w:val="0"/>
              <w:marBottom w:val="0"/>
              <w:divBdr>
                <w:top w:val="none" w:sz="0" w:space="0" w:color="auto"/>
                <w:left w:val="none" w:sz="0" w:space="0" w:color="auto"/>
                <w:bottom w:val="none" w:sz="0" w:space="0" w:color="auto"/>
                <w:right w:val="none" w:sz="0" w:space="0" w:color="auto"/>
              </w:divBdr>
              <w:divsChild>
                <w:div w:id="1349796969">
                  <w:marLeft w:val="0"/>
                  <w:marRight w:val="0"/>
                  <w:marTop w:val="0"/>
                  <w:marBottom w:val="0"/>
                  <w:divBdr>
                    <w:top w:val="none" w:sz="0" w:space="0" w:color="auto"/>
                    <w:left w:val="none" w:sz="0" w:space="0" w:color="auto"/>
                    <w:bottom w:val="none" w:sz="0" w:space="0" w:color="auto"/>
                    <w:right w:val="none" w:sz="0" w:space="0" w:color="auto"/>
                  </w:divBdr>
                  <w:divsChild>
                    <w:div w:id="222569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3940386">
      <w:bodyDiv w:val="1"/>
      <w:marLeft w:val="0"/>
      <w:marRight w:val="0"/>
      <w:marTop w:val="0"/>
      <w:marBottom w:val="0"/>
      <w:divBdr>
        <w:top w:val="none" w:sz="0" w:space="0" w:color="auto"/>
        <w:left w:val="none" w:sz="0" w:space="0" w:color="auto"/>
        <w:bottom w:val="none" w:sz="0" w:space="0" w:color="auto"/>
        <w:right w:val="none" w:sz="0" w:space="0" w:color="auto"/>
      </w:divBdr>
      <w:divsChild>
        <w:div w:id="1541431116">
          <w:marLeft w:val="0"/>
          <w:marRight w:val="0"/>
          <w:marTop w:val="0"/>
          <w:marBottom w:val="0"/>
          <w:divBdr>
            <w:top w:val="none" w:sz="0" w:space="0" w:color="auto"/>
            <w:left w:val="none" w:sz="0" w:space="0" w:color="auto"/>
            <w:bottom w:val="none" w:sz="0" w:space="0" w:color="auto"/>
            <w:right w:val="none" w:sz="0" w:space="0" w:color="auto"/>
          </w:divBdr>
          <w:divsChild>
            <w:div w:id="1044259051">
              <w:marLeft w:val="0"/>
              <w:marRight w:val="0"/>
              <w:marTop w:val="0"/>
              <w:marBottom w:val="0"/>
              <w:divBdr>
                <w:top w:val="none" w:sz="0" w:space="0" w:color="auto"/>
                <w:left w:val="none" w:sz="0" w:space="0" w:color="auto"/>
                <w:bottom w:val="none" w:sz="0" w:space="0" w:color="auto"/>
                <w:right w:val="none" w:sz="0" w:space="0" w:color="auto"/>
              </w:divBdr>
              <w:divsChild>
                <w:div w:id="1259563427">
                  <w:marLeft w:val="0"/>
                  <w:marRight w:val="0"/>
                  <w:marTop w:val="0"/>
                  <w:marBottom w:val="0"/>
                  <w:divBdr>
                    <w:top w:val="none" w:sz="0" w:space="0" w:color="auto"/>
                    <w:left w:val="none" w:sz="0" w:space="0" w:color="auto"/>
                    <w:bottom w:val="none" w:sz="0" w:space="0" w:color="auto"/>
                    <w:right w:val="none" w:sz="0" w:space="0" w:color="auto"/>
                  </w:divBdr>
                </w:div>
                <w:div w:id="1267691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6516302">
      <w:bodyDiv w:val="1"/>
      <w:marLeft w:val="0"/>
      <w:marRight w:val="0"/>
      <w:marTop w:val="0"/>
      <w:marBottom w:val="0"/>
      <w:divBdr>
        <w:top w:val="none" w:sz="0" w:space="0" w:color="auto"/>
        <w:left w:val="none" w:sz="0" w:space="0" w:color="auto"/>
        <w:bottom w:val="none" w:sz="0" w:space="0" w:color="auto"/>
        <w:right w:val="none" w:sz="0" w:space="0" w:color="auto"/>
      </w:divBdr>
      <w:divsChild>
        <w:div w:id="726798584">
          <w:marLeft w:val="0"/>
          <w:marRight w:val="0"/>
          <w:marTop w:val="0"/>
          <w:marBottom w:val="0"/>
          <w:divBdr>
            <w:top w:val="none" w:sz="0" w:space="0" w:color="auto"/>
            <w:left w:val="none" w:sz="0" w:space="0" w:color="auto"/>
            <w:bottom w:val="none" w:sz="0" w:space="0" w:color="auto"/>
            <w:right w:val="none" w:sz="0" w:space="0" w:color="auto"/>
          </w:divBdr>
          <w:divsChild>
            <w:div w:id="160125528">
              <w:marLeft w:val="0"/>
              <w:marRight w:val="0"/>
              <w:marTop w:val="0"/>
              <w:marBottom w:val="0"/>
              <w:divBdr>
                <w:top w:val="none" w:sz="0" w:space="0" w:color="auto"/>
                <w:left w:val="none" w:sz="0" w:space="0" w:color="auto"/>
                <w:bottom w:val="none" w:sz="0" w:space="0" w:color="auto"/>
                <w:right w:val="none" w:sz="0" w:space="0" w:color="auto"/>
              </w:divBdr>
              <w:divsChild>
                <w:div w:id="1343817335">
                  <w:marLeft w:val="0"/>
                  <w:marRight w:val="0"/>
                  <w:marTop w:val="0"/>
                  <w:marBottom w:val="0"/>
                  <w:divBdr>
                    <w:top w:val="none" w:sz="0" w:space="0" w:color="auto"/>
                    <w:left w:val="none" w:sz="0" w:space="0" w:color="auto"/>
                    <w:bottom w:val="none" w:sz="0" w:space="0" w:color="auto"/>
                    <w:right w:val="none" w:sz="0" w:space="0" w:color="auto"/>
                  </w:divBdr>
                  <w:divsChild>
                    <w:div w:id="1331181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9064061">
      <w:bodyDiv w:val="1"/>
      <w:marLeft w:val="0"/>
      <w:marRight w:val="0"/>
      <w:marTop w:val="0"/>
      <w:marBottom w:val="0"/>
      <w:divBdr>
        <w:top w:val="none" w:sz="0" w:space="0" w:color="auto"/>
        <w:left w:val="none" w:sz="0" w:space="0" w:color="auto"/>
        <w:bottom w:val="none" w:sz="0" w:space="0" w:color="auto"/>
        <w:right w:val="none" w:sz="0" w:space="0" w:color="auto"/>
      </w:divBdr>
      <w:divsChild>
        <w:div w:id="1725062928">
          <w:marLeft w:val="0"/>
          <w:marRight w:val="0"/>
          <w:marTop w:val="0"/>
          <w:marBottom w:val="0"/>
          <w:divBdr>
            <w:top w:val="none" w:sz="0" w:space="0" w:color="auto"/>
            <w:left w:val="none" w:sz="0" w:space="0" w:color="auto"/>
            <w:bottom w:val="none" w:sz="0" w:space="0" w:color="auto"/>
            <w:right w:val="none" w:sz="0" w:space="0" w:color="auto"/>
          </w:divBdr>
          <w:divsChild>
            <w:div w:id="1089812947">
              <w:marLeft w:val="0"/>
              <w:marRight w:val="0"/>
              <w:marTop w:val="0"/>
              <w:marBottom w:val="0"/>
              <w:divBdr>
                <w:top w:val="none" w:sz="0" w:space="0" w:color="auto"/>
                <w:left w:val="none" w:sz="0" w:space="0" w:color="auto"/>
                <w:bottom w:val="none" w:sz="0" w:space="0" w:color="auto"/>
                <w:right w:val="none" w:sz="0" w:space="0" w:color="auto"/>
              </w:divBdr>
              <w:divsChild>
                <w:div w:id="696740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0808993">
      <w:bodyDiv w:val="1"/>
      <w:marLeft w:val="0"/>
      <w:marRight w:val="0"/>
      <w:marTop w:val="0"/>
      <w:marBottom w:val="0"/>
      <w:divBdr>
        <w:top w:val="none" w:sz="0" w:space="0" w:color="auto"/>
        <w:left w:val="none" w:sz="0" w:space="0" w:color="auto"/>
        <w:bottom w:val="none" w:sz="0" w:space="0" w:color="auto"/>
        <w:right w:val="none" w:sz="0" w:space="0" w:color="auto"/>
      </w:divBdr>
      <w:divsChild>
        <w:div w:id="144014529">
          <w:marLeft w:val="0"/>
          <w:marRight w:val="0"/>
          <w:marTop w:val="0"/>
          <w:marBottom w:val="0"/>
          <w:divBdr>
            <w:top w:val="none" w:sz="0" w:space="0" w:color="auto"/>
            <w:left w:val="none" w:sz="0" w:space="0" w:color="auto"/>
            <w:bottom w:val="none" w:sz="0" w:space="0" w:color="auto"/>
            <w:right w:val="none" w:sz="0" w:space="0" w:color="auto"/>
          </w:divBdr>
          <w:divsChild>
            <w:div w:id="378013076">
              <w:marLeft w:val="0"/>
              <w:marRight w:val="0"/>
              <w:marTop w:val="0"/>
              <w:marBottom w:val="0"/>
              <w:divBdr>
                <w:top w:val="none" w:sz="0" w:space="0" w:color="auto"/>
                <w:left w:val="none" w:sz="0" w:space="0" w:color="auto"/>
                <w:bottom w:val="none" w:sz="0" w:space="0" w:color="auto"/>
                <w:right w:val="none" w:sz="0" w:space="0" w:color="auto"/>
              </w:divBdr>
              <w:divsChild>
                <w:div w:id="318122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3457193">
      <w:bodyDiv w:val="1"/>
      <w:marLeft w:val="0"/>
      <w:marRight w:val="0"/>
      <w:marTop w:val="0"/>
      <w:marBottom w:val="0"/>
      <w:divBdr>
        <w:top w:val="none" w:sz="0" w:space="0" w:color="auto"/>
        <w:left w:val="none" w:sz="0" w:space="0" w:color="auto"/>
        <w:bottom w:val="none" w:sz="0" w:space="0" w:color="auto"/>
        <w:right w:val="none" w:sz="0" w:space="0" w:color="auto"/>
      </w:divBdr>
      <w:divsChild>
        <w:div w:id="926377888">
          <w:marLeft w:val="0"/>
          <w:marRight w:val="0"/>
          <w:marTop w:val="0"/>
          <w:marBottom w:val="0"/>
          <w:divBdr>
            <w:top w:val="none" w:sz="0" w:space="0" w:color="auto"/>
            <w:left w:val="none" w:sz="0" w:space="0" w:color="auto"/>
            <w:bottom w:val="none" w:sz="0" w:space="0" w:color="auto"/>
            <w:right w:val="none" w:sz="0" w:space="0" w:color="auto"/>
          </w:divBdr>
          <w:divsChild>
            <w:div w:id="2143571458">
              <w:marLeft w:val="0"/>
              <w:marRight w:val="0"/>
              <w:marTop w:val="0"/>
              <w:marBottom w:val="0"/>
              <w:divBdr>
                <w:top w:val="none" w:sz="0" w:space="0" w:color="auto"/>
                <w:left w:val="none" w:sz="0" w:space="0" w:color="auto"/>
                <w:bottom w:val="none" w:sz="0" w:space="0" w:color="auto"/>
                <w:right w:val="none" w:sz="0" w:space="0" w:color="auto"/>
              </w:divBdr>
              <w:divsChild>
                <w:div w:id="1190755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9131569">
      <w:bodyDiv w:val="1"/>
      <w:marLeft w:val="0"/>
      <w:marRight w:val="0"/>
      <w:marTop w:val="0"/>
      <w:marBottom w:val="0"/>
      <w:divBdr>
        <w:top w:val="none" w:sz="0" w:space="0" w:color="auto"/>
        <w:left w:val="none" w:sz="0" w:space="0" w:color="auto"/>
        <w:bottom w:val="none" w:sz="0" w:space="0" w:color="auto"/>
        <w:right w:val="none" w:sz="0" w:space="0" w:color="auto"/>
      </w:divBdr>
      <w:divsChild>
        <w:div w:id="1871718256">
          <w:marLeft w:val="0"/>
          <w:marRight w:val="0"/>
          <w:marTop w:val="0"/>
          <w:marBottom w:val="0"/>
          <w:divBdr>
            <w:top w:val="none" w:sz="0" w:space="0" w:color="auto"/>
            <w:left w:val="none" w:sz="0" w:space="0" w:color="auto"/>
            <w:bottom w:val="none" w:sz="0" w:space="0" w:color="auto"/>
            <w:right w:val="none" w:sz="0" w:space="0" w:color="auto"/>
          </w:divBdr>
          <w:divsChild>
            <w:div w:id="814374584">
              <w:marLeft w:val="0"/>
              <w:marRight w:val="0"/>
              <w:marTop w:val="0"/>
              <w:marBottom w:val="0"/>
              <w:divBdr>
                <w:top w:val="none" w:sz="0" w:space="0" w:color="auto"/>
                <w:left w:val="none" w:sz="0" w:space="0" w:color="auto"/>
                <w:bottom w:val="none" w:sz="0" w:space="0" w:color="auto"/>
                <w:right w:val="none" w:sz="0" w:space="0" w:color="auto"/>
              </w:divBdr>
              <w:divsChild>
                <w:div w:id="727461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3861687">
      <w:bodyDiv w:val="1"/>
      <w:marLeft w:val="0"/>
      <w:marRight w:val="0"/>
      <w:marTop w:val="0"/>
      <w:marBottom w:val="0"/>
      <w:divBdr>
        <w:top w:val="none" w:sz="0" w:space="0" w:color="auto"/>
        <w:left w:val="none" w:sz="0" w:space="0" w:color="auto"/>
        <w:bottom w:val="none" w:sz="0" w:space="0" w:color="auto"/>
        <w:right w:val="none" w:sz="0" w:space="0" w:color="auto"/>
      </w:divBdr>
      <w:divsChild>
        <w:div w:id="1382097092">
          <w:marLeft w:val="0"/>
          <w:marRight w:val="0"/>
          <w:marTop w:val="0"/>
          <w:marBottom w:val="0"/>
          <w:divBdr>
            <w:top w:val="none" w:sz="0" w:space="0" w:color="auto"/>
            <w:left w:val="none" w:sz="0" w:space="0" w:color="auto"/>
            <w:bottom w:val="none" w:sz="0" w:space="0" w:color="auto"/>
            <w:right w:val="none" w:sz="0" w:space="0" w:color="auto"/>
          </w:divBdr>
          <w:divsChild>
            <w:div w:id="1044333678">
              <w:marLeft w:val="0"/>
              <w:marRight w:val="0"/>
              <w:marTop w:val="0"/>
              <w:marBottom w:val="0"/>
              <w:divBdr>
                <w:top w:val="none" w:sz="0" w:space="0" w:color="auto"/>
                <w:left w:val="none" w:sz="0" w:space="0" w:color="auto"/>
                <w:bottom w:val="none" w:sz="0" w:space="0" w:color="auto"/>
                <w:right w:val="none" w:sz="0" w:space="0" w:color="auto"/>
              </w:divBdr>
              <w:divsChild>
                <w:div w:id="1101879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6564778">
      <w:bodyDiv w:val="1"/>
      <w:marLeft w:val="0"/>
      <w:marRight w:val="0"/>
      <w:marTop w:val="0"/>
      <w:marBottom w:val="0"/>
      <w:divBdr>
        <w:top w:val="none" w:sz="0" w:space="0" w:color="auto"/>
        <w:left w:val="none" w:sz="0" w:space="0" w:color="auto"/>
        <w:bottom w:val="none" w:sz="0" w:space="0" w:color="auto"/>
        <w:right w:val="none" w:sz="0" w:space="0" w:color="auto"/>
      </w:divBdr>
      <w:divsChild>
        <w:div w:id="609702958">
          <w:marLeft w:val="0"/>
          <w:marRight w:val="0"/>
          <w:marTop w:val="0"/>
          <w:marBottom w:val="0"/>
          <w:divBdr>
            <w:top w:val="none" w:sz="0" w:space="0" w:color="auto"/>
            <w:left w:val="none" w:sz="0" w:space="0" w:color="auto"/>
            <w:bottom w:val="none" w:sz="0" w:space="0" w:color="auto"/>
            <w:right w:val="none" w:sz="0" w:space="0" w:color="auto"/>
          </w:divBdr>
          <w:divsChild>
            <w:div w:id="1571112268">
              <w:marLeft w:val="0"/>
              <w:marRight w:val="0"/>
              <w:marTop w:val="0"/>
              <w:marBottom w:val="0"/>
              <w:divBdr>
                <w:top w:val="none" w:sz="0" w:space="0" w:color="auto"/>
                <w:left w:val="none" w:sz="0" w:space="0" w:color="auto"/>
                <w:bottom w:val="none" w:sz="0" w:space="0" w:color="auto"/>
                <w:right w:val="none" w:sz="0" w:space="0" w:color="auto"/>
              </w:divBdr>
              <w:divsChild>
                <w:div w:id="970554753">
                  <w:marLeft w:val="0"/>
                  <w:marRight w:val="0"/>
                  <w:marTop w:val="0"/>
                  <w:marBottom w:val="0"/>
                  <w:divBdr>
                    <w:top w:val="none" w:sz="0" w:space="0" w:color="auto"/>
                    <w:left w:val="none" w:sz="0" w:space="0" w:color="auto"/>
                    <w:bottom w:val="none" w:sz="0" w:space="0" w:color="auto"/>
                    <w:right w:val="none" w:sz="0" w:space="0" w:color="auto"/>
                  </w:divBdr>
                  <w:divsChild>
                    <w:div w:id="21982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2942281">
      <w:bodyDiv w:val="1"/>
      <w:marLeft w:val="0"/>
      <w:marRight w:val="0"/>
      <w:marTop w:val="0"/>
      <w:marBottom w:val="0"/>
      <w:divBdr>
        <w:top w:val="none" w:sz="0" w:space="0" w:color="auto"/>
        <w:left w:val="none" w:sz="0" w:space="0" w:color="auto"/>
        <w:bottom w:val="none" w:sz="0" w:space="0" w:color="auto"/>
        <w:right w:val="none" w:sz="0" w:space="0" w:color="auto"/>
      </w:divBdr>
    </w:div>
    <w:div w:id="455567635">
      <w:bodyDiv w:val="1"/>
      <w:marLeft w:val="0"/>
      <w:marRight w:val="0"/>
      <w:marTop w:val="0"/>
      <w:marBottom w:val="0"/>
      <w:divBdr>
        <w:top w:val="none" w:sz="0" w:space="0" w:color="auto"/>
        <w:left w:val="none" w:sz="0" w:space="0" w:color="auto"/>
        <w:bottom w:val="none" w:sz="0" w:space="0" w:color="auto"/>
        <w:right w:val="none" w:sz="0" w:space="0" w:color="auto"/>
      </w:divBdr>
      <w:divsChild>
        <w:div w:id="1225992028">
          <w:marLeft w:val="0"/>
          <w:marRight w:val="0"/>
          <w:marTop w:val="0"/>
          <w:marBottom w:val="0"/>
          <w:divBdr>
            <w:top w:val="none" w:sz="0" w:space="0" w:color="auto"/>
            <w:left w:val="none" w:sz="0" w:space="0" w:color="auto"/>
            <w:bottom w:val="none" w:sz="0" w:space="0" w:color="auto"/>
            <w:right w:val="none" w:sz="0" w:space="0" w:color="auto"/>
          </w:divBdr>
          <w:divsChild>
            <w:div w:id="1234194673">
              <w:marLeft w:val="0"/>
              <w:marRight w:val="0"/>
              <w:marTop w:val="0"/>
              <w:marBottom w:val="0"/>
              <w:divBdr>
                <w:top w:val="none" w:sz="0" w:space="0" w:color="auto"/>
                <w:left w:val="none" w:sz="0" w:space="0" w:color="auto"/>
                <w:bottom w:val="none" w:sz="0" w:space="0" w:color="auto"/>
                <w:right w:val="none" w:sz="0" w:space="0" w:color="auto"/>
              </w:divBdr>
              <w:divsChild>
                <w:div w:id="320040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7479424">
      <w:bodyDiv w:val="1"/>
      <w:marLeft w:val="0"/>
      <w:marRight w:val="0"/>
      <w:marTop w:val="0"/>
      <w:marBottom w:val="0"/>
      <w:divBdr>
        <w:top w:val="none" w:sz="0" w:space="0" w:color="auto"/>
        <w:left w:val="none" w:sz="0" w:space="0" w:color="auto"/>
        <w:bottom w:val="none" w:sz="0" w:space="0" w:color="auto"/>
        <w:right w:val="none" w:sz="0" w:space="0" w:color="auto"/>
      </w:divBdr>
      <w:divsChild>
        <w:div w:id="351692928">
          <w:marLeft w:val="0"/>
          <w:marRight w:val="0"/>
          <w:marTop w:val="0"/>
          <w:marBottom w:val="0"/>
          <w:divBdr>
            <w:top w:val="none" w:sz="0" w:space="0" w:color="auto"/>
            <w:left w:val="none" w:sz="0" w:space="0" w:color="auto"/>
            <w:bottom w:val="none" w:sz="0" w:space="0" w:color="auto"/>
            <w:right w:val="none" w:sz="0" w:space="0" w:color="auto"/>
          </w:divBdr>
          <w:divsChild>
            <w:div w:id="146359211">
              <w:marLeft w:val="0"/>
              <w:marRight w:val="0"/>
              <w:marTop w:val="0"/>
              <w:marBottom w:val="0"/>
              <w:divBdr>
                <w:top w:val="none" w:sz="0" w:space="0" w:color="auto"/>
                <w:left w:val="none" w:sz="0" w:space="0" w:color="auto"/>
                <w:bottom w:val="none" w:sz="0" w:space="0" w:color="auto"/>
                <w:right w:val="none" w:sz="0" w:space="0" w:color="auto"/>
              </w:divBdr>
              <w:divsChild>
                <w:div w:id="658658957">
                  <w:marLeft w:val="0"/>
                  <w:marRight w:val="0"/>
                  <w:marTop w:val="0"/>
                  <w:marBottom w:val="0"/>
                  <w:divBdr>
                    <w:top w:val="none" w:sz="0" w:space="0" w:color="auto"/>
                    <w:left w:val="none" w:sz="0" w:space="0" w:color="auto"/>
                    <w:bottom w:val="none" w:sz="0" w:space="0" w:color="auto"/>
                    <w:right w:val="none" w:sz="0" w:space="0" w:color="auto"/>
                  </w:divBdr>
                  <w:divsChild>
                    <w:div w:id="1710184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5487796">
      <w:bodyDiv w:val="1"/>
      <w:marLeft w:val="0"/>
      <w:marRight w:val="0"/>
      <w:marTop w:val="0"/>
      <w:marBottom w:val="0"/>
      <w:divBdr>
        <w:top w:val="none" w:sz="0" w:space="0" w:color="auto"/>
        <w:left w:val="none" w:sz="0" w:space="0" w:color="auto"/>
        <w:bottom w:val="none" w:sz="0" w:space="0" w:color="auto"/>
        <w:right w:val="none" w:sz="0" w:space="0" w:color="auto"/>
      </w:divBdr>
      <w:divsChild>
        <w:div w:id="804083976">
          <w:marLeft w:val="0"/>
          <w:marRight w:val="0"/>
          <w:marTop w:val="0"/>
          <w:marBottom w:val="0"/>
          <w:divBdr>
            <w:top w:val="none" w:sz="0" w:space="0" w:color="auto"/>
            <w:left w:val="none" w:sz="0" w:space="0" w:color="auto"/>
            <w:bottom w:val="none" w:sz="0" w:space="0" w:color="auto"/>
            <w:right w:val="none" w:sz="0" w:space="0" w:color="auto"/>
          </w:divBdr>
          <w:divsChild>
            <w:div w:id="790785506">
              <w:marLeft w:val="0"/>
              <w:marRight w:val="0"/>
              <w:marTop w:val="0"/>
              <w:marBottom w:val="0"/>
              <w:divBdr>
                <w:top w:val="none" w:sz="0" w:space="0" w:color="auto"/>
                <w:left w:val="none" w:sz="0" w:space="0" w:color="auto"/>
                <w:bottom w:val="none" w:sz="0" w:space="0" w:color="auto"/>
                <w:right w:val="none" w:sz="0" w:space="0" w:color="auto"/>
              </w:divBdr>
              <w:divsChild>
                <w:div w:id="2040734620">
                  <w:marLeft w:val="0"/>
                  <w:marRight w:val="0"/>
                  <w:marTop w:val="0"/>
                  <w:marBottom w:val="0"/>
                  <w:divBdr>
                    <w:top w:val="none" w:sz="0" w:space="0" w:color="auto"/>
                    <w:left w:val="none" w:sz="0" w:space="0" w:color="auto"/>
                    <w:bottom w:val="none" w:sz="0" w:space="0" w:color="auto"/>
                    <w:right w:val="none" w:sz="0" w:space="0" w:color="auto"/>
                  </w:divBdr>
                  <w:divsChild>
                    <w:div w:id="2084334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9811590">
      <w:bodyDiv w:val="1"/>
      <w:marLeft w:val="0"/>
      <w:marRight w:val="0"/>
      <w:marTop w:val="0"/>
      <w:marBottom w:val="0"/>
      <w:divBdr>
        <w:top w:val="none" w:sz="0" w:space="0" w:color="auto"/>
        <w:left w:val="none" w:sz="0" w:space="0" w:color="auto"/>
        <w:bottom w:val="none" w:sz="0" w:space="0" w:color="auto"/>
        <w:right w:val="none" w:sz="0" w:space="0" w:color="auto"/>
      </w:divBdr>
      <w:divsChild>
        <w:div w:id="1002508707">
          <w:marLeft w:val="0"/>
          <w:marRight w:val="0"/>
          <w:marTop w:val="0"/>
          <w:marBottom w:val="0"/>
          <w:divBdr>
            <w:top w:val="none" w:sz="0" w:space="0" w:color="auto"/>
            <w:left w:val="none" w:sz="0" w:space="0" w:color="auto"/>
            <w:bottom w:val="none" w:sz="0" w:space="0" w:color="auto"/>
            <w:right w:val="none" w:sz="0" w:space="0" w:color="auto"/>
          </w:divBdr>
          <w:divsChild>
            <w:div w:id="222444877">
              <w:marLeft w:val="0"/>
              <w:marRight w:val="0"/>
              <w:marTop w:val="0"/>
              <w:marBottom w:val="0"/>
              <w:divBdr>
                <w:top w:val="none" w:sz="0" w:space="0" w:color="auto"/>
                <w:left w:val="none" w:sz="0" w:space="0" w:color="auto"/>
                <w:bottom w:val="none" w:sz="0" w:space="0" w:color="auto"/>
                <w:right w:val="none" w:sz="0" w:space="0" w:color="auto"/>
              </w:divBdr>
              <w:divsChild>
                <w:div w:id="1904102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1626683">
      <w:bodyDiv w:val="1"/>
      <w:marLeft w:val="0"/>
      <w:marRight w:val="0"/>
      <w:marTop w:val="0"/>
      <w:marBottom w:val="0"/>
      <w:divBdr>
        <w:top w:val="none" w:sz="0" w:space="0" w:color="auto"/>
        <w:left w:val="none" w:sz="0" w:space="0" w:color="auto"/>
        <w:bottom w:val="none" w:sz="0" w:space="0" w:color="auto"/>
        <w:right w:val="none" w:sz="0" w:space="0" w:color="auto"/>
      </w:divBdr>
      <w:divsChild>
        <w:div w:id="138697742">
          <w:marLeft w:val="0"/>
          <w:marRight w:val="0"/>
          <w:marTop w:val="0"/>
          <w:marBottom w:val="0"/>
          <w:divBdr>
            <w:top w:val="none" w:sz="0" w:space="0" w:color="auto"/>
            <w:left w:val="none" w:sz="0" w:space="0" w:color="auto"/>
            <w:bottom w:val="none" w:sz="0" w:space="0" w:color="auto"/>
            <w:right w:val="none" w:sz="0" w:space="0" w:color="auto"/>
          </w:divBdr>
          <w:divsChild>
            <w:div w:id="1516991009">
              <w:marLeft w:val="0"/>
              <w:marRight w:val="0"/>
              <w:marTop w:val="0"/>
              <w:marBottom w:val="0"/>
              <w:divBdr>
                <w:top w:val="none" w:sz="0" w:space="0" w:color="auto"/>
                <w:left w:val="none" w:sz="0" w:space="0" w:color="auto"/>
                <w:bottom w:val="none" w:sz="0" w:space="0" w:color="auto"/>
                <w:right w:val="none" w:sz="0" w:space="0" w:color="auto"/>
              </w:divBdr>
              <w:divsChild>
                <w:div w:id="109983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5194392">
      <w:bodyDiv w:val="1"/>
      <w:marLeft w:val="0"/>
      <w:marRight w:val="0"/>
      <w:marTop w:val="0"/>
      <w:marBottom w:val="0"/>
      <w:divBdr>
        <w:top w:val="none" w:sz="0" w:space="0" w:color="auto"/>
        <w:left w:val="none" w:sz="0" w:space="0" w:color="auto"/>
        <w:bottom w:val="none" w:sz="0" w:space="0" w:color="auto"/>
        <w:right w:val="none" w:sz="0" w:space="0" w:color="auto"/>
      </w:divBdr>
      <w:divsChild>
        <w:div w:id="1409378892">
          <w:marLeft w:val="0"/>
          <w:marRight w:val="0"/>
          <w:marTop w:val="0"/>
          <w:marBottom w:val="0"/>
          <w:divBdr>
            <w:top w:val="none" w:sz="0" w:space="0" w:color="auto"/>
            <w:left w:val="none" w:sz="0" w:space="0" w:color="auto"/>
            <w:bottom w:val="none" w:sz="0" w:space="0" w:color="auto"/>
            <w:right w:val="none" w:sz="0" w:space="0" w:color="auto"/>
          </w:divBdr>
          <w:divsChild>
            <w:div w:id="717901191">
              <w:marLeft w:val="0"/>
              <w:marRight w:val="0"/>
              <w:marTop w:val="0"/>
              <w:marBottom w:val="0"/>
              <w:divBdr>
                <w:top w:val="none" w:sz="0" w:space="0" w:color="auto"/>
                <w:left w:val="none" w:sz="0" w:space="0" w:color="auto"/>
                <w:bottom w:val="none" w:sz="0" w:space="0" w:color="auto"/>
                <w:right w:val="none" w:sz="0" w:space="0" w:color="auto"/>
              </w:divBdr>
              <w:divsChild>
                <w:div w:id="1700280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6987548">
      <w:bodyDiv w:val="1"/>
      <w:marLeft w:val="0"/>
      <w:marRight w:val="0"/>
      <w:marTop w:val="0"/>
      <w:marBottom w:val="0"/>
      <w:divBdr>
        <w:top w:val="none" w:sz="0" w:space="0" w:color="auto"/>
        <w:left w:val="none" w:sz="0" w:space="0" w:color="auto"/>
        <w:bottom w:val="none" w:sz="0" w:space="0" w:color="auto"/>
        <w:right w:val="none" w:sz="0" w:space="0" w:color="auto"/>
      </w:divBdr>
    </w:div>
    <w:div w:id="538781113">
      <w:bodyDiv w:val="1"/>
      <w:marLeft w:val="0"/>
      <w:marRight w:val="0"/>
      <w:marTop w:val="0"/>
      <w:marBottom w:val="0"/>
      <w:divBdr>
        <w:top w:val="none" w:sz="0" w:space="0" w:color="auto"/>
        <w:left w:val="none" w:sz="0" w:space="0" w:color="auto"/>
        <w:bottom w:val="none" w:sz="0" w:space="0" w:color="auto"/>
        <w:right w:val="none" w:sz="0" w:space="0" w:color="auto"/>
      </w:divBdr>
    </w:div>
    <w:div w:id="566375846">
      <w:bodyDiv w:val="1"/>
      <w:marLeft w:val="0"/>
      <w:marRight w:val="0"/>
      <w:marTop w:val="0"/>
      <w:marBottom w:val="0"/>
      <w:divBdr>
        <w:top w:val="none" w:sz="0" w:space="0" w:color="auto"/>
        <w:left w:val="none" w:sz="0" w:space="0" w:color="auto"/>
        <w:bottom w:val="none" w:sz="0" w:space="0" w:color="auto"/>
        <w:right w:val="none" w:sz="0" w:space="0" w:color="auto"/>
      </w:divBdr>
      <w:divsChild>
        <w:div w:id="162597326">
          <w:marLeft w:val="0"/>
          <w:marRight w:val="0"/>
          <w:marTop w:val="0"/>
          <w:marBottom w:val="0"/>
          <w:divBdr>
            <w:top w:val="none" w:sz="0" w:space="0" w:color="auto"/>
            <w:left w:val="none" w:sz="0" w:space="0" w:color="auto"/>
            <w:bottom w:val="none" w:sz="0" w:space="0" w:color="auto"/>
            <w:right w:val="none" w:sz="0" w:space="0" w:color="auto"/>
          </w:divBdr>
          <w:divsChild>
            <w:div w:id="35355663">
              <w:marLeft w:val="0"/>
              <w:marRight w:val="0"/>
              <w:marTop w:val="0"/>
              <w:marBottom w:val="0"/>
              <w:divBdr>
                <w:top w:val="none" w:sz="0" w:space="0" w:color="auto"/>
                <w:left w:val="none" w:sz="0" w:space="0" w:color="auto"/>
                <w:bottom w:val="none" w:sz="0" w:space="0" w:color="auto"/>
                <w:right w:val="none" w:sz="0" w:space="0" w:color="auto"/>
              </w:divBdr>
              <w:divsChild>
                <w:div w:id="1782188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703981">
          <w:marLeft w:val="0"/>
          <w:marRight w:val="0"/>
          <w:marTop w:val="0"/>
          <w:marBottom w:val="0"/>
          <w:divBdr>
            <w:top w:val="none" w:sz="0" w:space="0" w:color="auto"/>
            <w:left w:val="none" w:sz="0" w:space="0" w:color="auto"/>
            <w:bottom w:val="none" w:sz="0" w:space="0" w:color="auto"/>
            <w:right w:val="none" w:sz="0" w:space="0" w:color="auto"/>
          </w:divBdr>
          <w:divsChild>
            <w:div w:id="620767106">
              <w:marLeft w:val="0"/>
              <w:marRight w:val="0"/>
              <w:marTop w:val="0"/>
              <w:marBottom w:val="0"/>
              <w:divBdr>
                <w:top w:val="none" w:sz="0" w:space="0" w:color="auto"/>
                <w:left w:val="none" w:sz="0" w:space="0" w:color="auto"/>
                <w:bottom w:val="none" w:sz="0" w:space="0" w:color="auto"/>
                <w:right w:val="none" w:sz="0" w:space="0" w:color="auto"/>
              </w:divBdr>
            </w:div>
          </w:divsChild>
        </w:div>
        <w:div w:id="1412921512">
          <w:marLeft w:val="0"/>
          <w:marRight w:val="0"/>
          <w:marTop w:val="0"/>
          <w:marBottom w:val="0"/>
          <w:divBdr>
            <w:top w:val="none" w:sz="0" w:space="0" w:color="auto"/>
            <w:left w:val="none" w:sz="0" w:space="0" w:color="auto"/>
            <w:bottom w:val="none" w:sz="0" w:space="0" w:color="auto"/>
            <w:right w:val="none" w:sz="0" w:space="0" w:color="auto"/>
          </w:divBdr>
          <w:divsChild>
            <w:div w:id="598415994">
              <w:marLeft w:val="0"/>
              <w:marRight w:val="0"/>
              <w:marTop w:val="0"/>
              <w:marBottom w:val="0"/>
              <w:divBdr>
                <w:top w:val="none" w:sz="0" w:space="0" w:color="auto"/>
                <w:left w:val="none" w:sz="0" w:space="0" w:color="auto"/>
                <w:bottom w:val="none" w:sz="0" w:space="0" w:color="auto"/>
                <w:right w:val="none" w:sz="0" w:space="0" w:color="auto"/>
              </w:divBdr>
            </w:div>
          </w:divsChild>
        </w:div>
        <w:div w:id="1830246221">
          <w:marLeft w:val="0"/>
          <w:marRight w:val="0"/>
          <w:marTop w:val="0"/>
          <w:marBottom w:val="0"/>
          <w:divBdr>
            <w:top w:val="none" w:sz="0" w:space="0" w:color="auto"/>
            <w:left w:val="none" w:sz="0" w:space="0" w:color="auto"/>
            <w:bottom w:val="none" w:sz="0" w:space="0" w:color="auto"/>
            <w:right w:val="none" w:sz="0" w:space="0" w:color="auto"/>
          </w:divBdr>
          <w:divsChild>
            <w:div w:id="1569268561">
              <w:marLeft w:val="0"/>
              <w:marRight w:val="0"/>
              <w:marTop w:val="0"/>
              <w:marBottom w:val="0"/>
              <w:divBdr>
                <w:top w:val="none" w:sz="0" w:space="0" w:color="auto"/>
                <w:left w:val="none" w:sz="0" w:space="0" w:color="auto"/>
                <w:bottom w:val="none" w:sz="0" w:space="0" w:color="auto"/>
                <w:right w:val="none" w:sz="0" w:space="0" w:color="auto"/>
              </w:divBdr>
            </w:div>
          </w:divsChild>
        </w:div>
        <w:div w:id="1957516204">
          <w:marLeft w:val="0"/>
          <w:marRight w:val="0"/>
          <w:marTop w:val="0"/>
          <w:marBottom w:val="0"/>
          <w:divBdr>
            <w:top w:val="none" w:sz="0" w:space="0" w:color="auto"/>
            <w:left w:val="none" w:sz="0" w:space="0" w:color="auto"/>
            <w:bottom w:val="none" w:sz="0" w:space="0" w:color="auto"/>
            <w:right w:val="none" w:sz="0" w:space="0" w:color="auto"/>
          </w:divBdr>
          <w:divsChild>
            <w:div w:id="1538810600">
              <w:marLeft w:val="0"/>
              <w:marRight w:val="0"/>
              <w:marTop w:val="0"/>
              <w:marBottom w:val="0"/>
              <w:divBdr>
                <w:top w:val="none" w:sz="0" w:space="0" w:color="auto"/>
                <w:left w:val="none" w:sz="0" w:space="0" w:color="auto"/>
                <w:bottom w:val="none" w:sz="0" w:space="0" w:color="auto"/>
                <w:right w:val="none" w:sz="0" w:space="0" w:color="auto"/>
              </w:divBdr>
            </w:div>
          </w:divsChild>
        </w:div>
        <w:div w:id="2028826404">
          <w:marLeft w:val="0"/>
          <w:marRight w:val="0"/>
          <w:marTop w:val="0"/>
          <w:marBottom w:val="0"/>
          <w:divBdr>
            <w:top w:val="none" w:sz="0" w:space="0" w:color="auto"/>
            <w:left w:val="none" w:sz="0" w:space="0" w:color="auto"/>
            <w:bottom w:val="none" w:sz="0" w:space="0" w:color="auto"/>
            <w:right w:val="none" w:sz="0" w:space="0" w:color="auto"/>
          </w:divBdr>
          <w:divsChild>
            <w:div w:id="751198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939077">
      <w:bodyDiv w:val="1"/>
      <w:marLeft w:val="0"/>
      <w:marRight w:val="0"/>
      <w:marTop w:val="0"/>
      <w:marBottom w:val="0"/>
      <w:divBdr>
        <w:top w:val="none" w:sz="0" w:space="0" w:color="auto"/>
        <w:left w:val="none" w:sz="0" w:space="0" w:color="auto"/>
        <w:bottom w:val="none" w:sz="0" w:space="0" w:color="auto"/>
        <w:right w:val="none" w:sz="0" w:space="0" w:color="auto"/>
      </w:divBdr>
      <w:divsChild>
        <w:div w:id="2024242242">
          <w:marLeft w:val="0"/>
          <w:marRight w:val="0"/>
          <w:marTop w:val="0"/>
          <w:marBottom w:val="0"/>
          <w:divBdr>
            <w:top w:val="none" w:sz="0" w:space="0" w:color="auto"/>
            <w:left w:val="none" w:sz="0" w:space="0" w:color="auto"/>
            <w:bottom w:val="none" w:sz="0" w:space="0" w:color="auto"/>
            <w:right w:val="none" w:sz="0" w:space="0" w:color="auto"/>
          </w:divBdr>
          <w:divsChild>
            <w:div w:id="2003579994">
              <w:marLeft w:val="0"/>
              <w:marRight w:val="0"/>
              <w:marTop w:val="0"/>
              <w:marBottom w:val="0"/>
              <w:divBdr>
                <w:top w:val="none" w:sz="0" w:space="0" w:color="auto"/>
                <w:left w:val="none" w:sz="0" w:space="0" w:color="auto"/>
                <w:bottom w:val="none" w:sz="0" w:space="0" w:color="auto"/>
                <w:right w:val="none" w:sz="0" w:space="0" w:color="auto"/>
              </w:divBdr>
              <w:divsChild>
                <w:div w:id="1240628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6133289">
      <w:bodyDiv w:val="1"/>
      <w:marLeft w:val="0"/>
      <w:marRight w:val="0"/>
      <w:marTop w:val="0"/>
      <w:marBottom w:val="0"/>
      <w:divBdr>
        <w:top w:val="none" w:sz="0" w:space="0" w:color="auto"/>
        <w:left w:val="none" w:sz="0" w:space="0" w:color="auto"/>
        <w:bottom w:val="none" w:sz="0" w:space="0" w:color="auto"/>
        <w:right w:val="none" w:sz="0" w:space="0" w:color="auto"/>
      </w:divBdr>
      <w:divsChild>
        <w:div w:id="273251444">
          <w:marLeft w:val="0"/>
          <w:marRight w:val="0"/>
          <w:marTop w:val="0"/>
          <w:marBottom w:val="0"/>
          <w:divBdr>
            <w:top w:val="none" w:sz="0" w:space="0" w:color="auto"/>
            <w:left w:val="none" w:sz="0" w:space="0" w:color="auto"/>
            <w:bottom w:val="none" w:sz="0" w:space="0" w:color="auto"/>
            <w:right w:val="none" w:sz="0" w:space="0" w:color="auto"/>
          </w:divBdr>
          <w:divsChild>
            <w:div w:id="1657683145">
              <w:marLeft w:val="0"/>
              <w:marRight w:val="0"/>
              <w:marTop w:val="0"/>
              <w:marBottom w:val="0"/>
              <w:divBdr>
                <w:top w:val="none" w:sz="0" w:space="0" w:color="auto"/>
                <w:left w:val="none" w:sz="0" w:space="0" w:color="auto"/>
                <w:bottom w:val="none" w:sz="0" w:space="0" w:color="auto"/>
                <w:right w:val="none" w:sz="0" w:space="0" w:color="auto"/>
              </w:divBdr>
              <w:divsChild>
                <w:div w:id="674965319">
                  <w:marLeft w:val="0"/>
                  <w:marRight w:val="0"/>
                  <w:marTop w:val="0"/>
                  <w:marBottom w:val="0"/>
                  <w:divBdr>
                    <w:top w:val="none" w:sz="0" w:space="0" w:color="auto"/>
                    <w:left w:val="none" w:sz="0" w:space="0" w:color="auto"/>
                    <w:bottom w:val="none" w:sz="0" w:space="0" w:color="auto"/>
                    <w:right w:val="none" w:sz="0" w:space="0" w:color="auto"/>
                  </w:divBdr>
                  <w:divsChild>
                    <w:div w:id="1536431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0118076">
      <w:bodyDiv w:val="1"/>
      <w:marLeft w:val="0"/>
      <w:marRight w:val="0"/>
      <w:marTop w:val="0"/>
      <w:marBottom w:val="0"/>
      <w:divBdr>
        <w:top w:val="none" w:sz="0" w:space="0" w:color="auto"/>
        <w:left w:val="none" w:sz="0" w:space="0" w:color="auto"/>
        <w:bottom w:val="none" w:sz="0" w:space="0" w:color="auto"/>
        <w:right w:val="none" w:sz="0" w:space="0" w:color="auto"/>
      </w:divBdr>
      <w:divsChild>
        <w:div w:id="2080785424">
          <w:marLeft w:val="0"/>
          <w:marRight w:val="0"/>
          <w:marTop w:val="0"/>
          <w:marBottom w:val="0"/>
          <w:divBdr>
            <w:top w:val="none" w:sz="0" w:space="0" w:color="auto"/>
            <w:left w:val="none" w:sz="0" w:space="0" w:color="auto"/>
            <w:bottom w:val="none" w:sz="0" w:space="0" w:color="auto"/>
            <w:right w:val="none" w:sz="0" w:space="0" w:color="auto"/>
          </w:divBdr>
          <w:divsChild>
            <w:div w:id="2126074065">
              <w:marLeft w:val="0"/>
              <w:marRight w:val="0"/>
              <w:marTop w:val="0"/>
              <w:marBottom w:val="0"/>
              <w:divBdr>
                <w:top w:val="none" w:sz="0" w:space="0" w:color="auto"/>
                <w:left w:val="none" w:sz="0" w:space="0" w:color="auto"/>
                <w:bottom w:val="none" w:sz="0" w:space="0" w:color="auto"/>
                <w:right w:val="none" w:sz="0" w:space="0" w:color="auto"/>
              </w:divBdr>
              <w:divsChild>
                <w:div w:id="1000619486">
                  <w:marLeft w:val="0"/>
                  <w:marRight w:val="0"/>
                  <w:marTop w:val="0"/>
                  <w:marBottom w:val="0"/>
                  <w:divBdr>
                    <w:top w:val="none" w:sz="0" w:space="0" w:color="auto"/>
                    <w:left w:val="none" w:sz="0" w:space="0" w:color="auto"/>
                    <w:bottom w:val="none" w:sz="0" w:space="0" w:color="auto"/>
                    <w:right w:val="none" w:sz="0" w:space="0" w:color="auto"/>
                  </w:divBdr>
                  <w:divsChild>
                    <w:div w:id="1662855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4244187">
      <w:bodyDiv w:val="1"/>
      <w:marLeft w:val="0"/>
      <w:marRight w:val="0"/>
      <w:marTop w:val="0"/>
      <w:marBottom w:val="0"/>
      <w:divBdr>
        <w:top w:val="none" w:sz="0" w:space="0" w:color="auto"/>
        <w:left w:val="none" w:sz="0" w:space="0" w:color="auto"/>
        <w:bottom w:val="none" w:sz="0" w:space="0" w:color="auto"/>
        <w:right w:val="none" w:sz="0" w:space="0" w:color="auto"/>
      </w:divBdr>
      <w:divsChild>
        <w:div w:id="1239248861">
          <w:marLeft w:val="0"/>
          <w:marRight w:val="0"/>
          <w:marTop w:val="0"/>
          <w:marBottom w:val="0"/>
          <w:divBdr>
            <w:top w:val="none" w:sz="0" w:space="0" w:color="auto"/>
            <w:left w:val="none" w:sz="0" w:space="0" w:color="auto"/>
            <w:bottom w:val="none" w:sz="0" w:space="0" w:color="auto"/>
            <w:right w:val="none" w:sz="0" w:space="0" w:color="auto"/>
          </w:divBdr>
          <w:divsChild>
            <w:div w:id="2125463624">
              <w:marLeft w:val="0"/>
              <w:marRight w:val="0"/>
              <w:marTop w:val="0"/>
              <w:marBottom w:val="0"/>
              <w:divBdr>
                <w:top w:val="none" w:sz="0" w:space="0" w:color="auto"/>
                <w:left w:val="none" w:sz="0" w:space="0" w:color="auto"/>
                <w:bottom w:val="none" w:sz="0" w:space="0" w:color="auto"/>
                <w:right w:val="none" w:sz="0" w:space="0" w:color="auto"/>
              </w:divBdr>
              <w:divsChild>
                <w:div w:id="747508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0264892">
      <w:bodyDiv w:val="1"/>
      <w:marLeft w:val="0"/>
      <w:marRight w:val="0"/>
      <w:marTop w:val="0"/>
      <w:marBottom w:val="0"/>
      <w:divBdr>
        <w:top w:val="none" w:sz="0" w:space="0" w:color="auto"/>
        <w:left w:val="none" w:sz="0" w:space="0" w:color="auto"/>
        <w:bottom w:val="none" w:sz="0" w:space="0" w:color="auto"/>
        <w:right w:val="none" w:sz="0" w:space="0" w:color="auto"/>
      </w:divBdr>
      <w:divsChild>
        <w:div w:id="860895497">
          <w:marLeft w:val="0"/>
          <w:marRight w:val="0"/>
          <w:marTop w:val="0"/>
          <w:marBottom w:val="0"/>
          <w:divBdr>
            <w:top w:val="none" w:sz="0" w:space="0" w:color="auto"/>
            <w:left w:val="none" w:sz="0" w:space="0" w:color="auto"/>
            <w:bottom w:val="none" w:sz="0" w:space="0" w:color="auto"/>
            <w:right w:val="none" w:sz="0" w:space="0" w:color="auto"/>
          </w:divBdr>
          <w:divsChild>
            <w:div w:id="618072386">
              <w:marLeft w:val="0"/>
              <w:marRight w:val="0"/>
              <w:marTop w:val="0"/>
              <w:marBottom w:val="0"/>
              <w:divBdr>
                <w:top w:val="none" w:sz="0" w:space="0" w:color="auto"/>
                <w:left w:val="none" w:sz="0" w:space="0" w:color="auto"/>
                <w:bottom w:val="none" w:sz="0" w:space="0" w:color="auto"/>
                <w:right w:val="none" w:sz="0" w:space="0" w:color="auto"/>
              </w:divBdr>
              <w:divsChild>
                <w:div w:id="657878792">
                  <w:marLeft w:val="0"/>
                  <w:marRight w:val="0"/>
                  <w:marTop w:val="0"/>
                  <w:marBottom w:val="0"/>
                  <w:divBdr>
                    <w:top w:val="none" w:sz="0" w:space="0" w:color="auto"/>
                    <w:left w:val="none" w:sz="0" w:space="0" w:color="auto"/>
                    <w:bottom w:val="none" w:sz="0" w:space="0" w:color="auto"/>
                    <w:right w:val="none" w:sz="0" w:space="0" w:color="auto"/>
                  </w:divBdr>
                  <w:divsChild>
                    <w:div w:id="16928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1227323">
      <w:bodyDiv w:val="1"/>
      <w:marLeft w:val="0"/>
      <w:marRight w:val="0"/>
      <w:marTop w:val="0"/>
      <w:marBottom w:val="0"/>
      <w:divBdr>
        <w:top w:val="none" w:sz="0" w:space="0" w:color="auto"/>
        <w:left w:val="none" w:sz="0" w:space="0" w:color="auto"/>
        <w:bottom w:val="none" w:sz="0" w:space="0" w:color="auto"/>
        <w:right w:val="none" w:sz="0" w:space="0" w:color="auto"/>
      </w:divBdr>
      <w:divsChild>
        <w:div w:id="472723807">
          <w:marLeft w:val="0"/>
          <w:marRight w:val="0"/>
          <w:marTop w:val="0"/>
          <w:marBottom w:val="0"/>
          <w:divBdr>
            <w:top w:val="none" w:sz="0" w:space="0" w:color="auto"/>
            <w:left w:val="none" w:sz="0" w:space="0" w:color="auto"/>
            <w:bottom w:val="none" w:sz="0" w:space="0" w:color="auto"/>
            <w:right w:val="none" w:sz="0" w:space="0" w:color="auto"/>
          </w:divBdr>
          <w:divsChild>
            <w:div w:id="1918317622">
              <w:marLeft w:val="0"/>
              <w:marRight w:val="0"/>
              <w:marTop w:val="0"/>
              <w:marBottom w:val="0"/>
              <w:divBdr>
                <w:top w:val="none" w:sz="0" w:space="0" w:color="auto"/>
                <w:left w:val="none" w:sz="0" w:space="0" w:color="auto"/>
                <w:bottom w:val="none" w:sz="0" w:space="0" w:color="auto"/>
                <w:right w:val="none" w:sz="0" w:space="0" w:color="auto"/>
              </w:divBdr>
              <w:divsChild>
                <w:div w:id="245697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8660181">
      <w:bodyDiv w:val="1"/>
      <w:marLeft w:val="0"/>
      <w:marRight w:val="0"/>
      <w:marTop w:val="0"/>
      <w:marBottom w:val="0"/>
      <w:divBdr>
        <w:top w:val="none" w:sz="0" w:space="0" w:color="auto"/>
        <w:left w:val="none" w:sz="0" w:space="0" w:color="auto"/>
        <w:bottom w:val="none" w:sz="0" w:space="0" w:color="auto"/>
        <w:right w:val="none" w:sz="0" w:space="0" w:color="auto"/>
      </w:divBdr>
    </w:div>
    <w:div w:id="622729635">
      <w:bodyDiv w:val="1"/>
      <w:marLeft w:val="0"/>
      <w:marRight w:val="0"/>
      <w:marTop w:val="0"/>
      <w:marBottom w:val="0"/>
      <w:divBdr>
        <w:top w:val="none" w:sz="0" w:space="0" w:color="auto"/>
        <w:left w:val="none" w:sz="0" w:space="0" w:color="auto"/>
        <w:bottom w:val="none" w:sz="0" w:space="0" w:color="auto"/>
        <w:right w:val="none" w:sz="0" w:space="0" w:color="auto"/>
      </w:divBdr>
      <w:divsChild>
        <w:div w:id="439571743">
          <w:marLeft w:val="0"/>
          <w:marRight w:val="0"/>
          <w:marTop w:val="0"/>
          <w:marBottom w:val="0"/>
          <w:divBdr>
            <w:top w:val="none" w:sz="0" w:space="0" w:color="auto"/>
            <w:left w:val="none" w:sz="0" w:space="0" w:color="auto"/>
            <w:bottom w:val="none" w:sz="0" w:space="0" w:color="auto"/>
            <w:right w:val="none" w:sz="0" w:space="0" w:color="auto"/>
          </w:divBdr>
        </w:div>
        <w:div w:id="880439149">
          <w:marLeft w:val="0"/>
          <w:marRight w:val="0"/>
          <w:marTop w:val="0"/>
          <w:marBottom w:val="0"/>
          <w:divBdr>
            <w:top w:val="none" w:sz="0" w:space="0" w:color="auto"/>
            <w:left w:val="none" w:sz="0" w:space="0" w:color="auto"/>
            <w:bottom w:val="none" w:sz="0" w:space="0" w:color="auto"/>
            <w:right w:val="none" w:sz="0" w:space="0" w:color="auto"/>
          </w:divBdr>
        </w:div>
      </w:divsChild>
    </w:div>
    <w:div w:id="631985501">
      <w:bodyDiv w:val="1"/>
      <w:marLeft w:val="0"/>
      <w:marRight w:val="0"/>
      <w:marTop w:val="0"/>
      <w:marBottom w:val="0"/>
      <w:divBdr>
        <w:top w:val="none" w:sz="0" w:space="0" w:color="auto"/>
        <w:left w:val="none" w:sz="0" w:space="0" w:color="auto"/>
        <w:bottom w:val="none" w:sz="0" w:space="0" w:color="auto"/>
        <w:right w:val="none" w:sz="0" w:space="0" w:color="auto"/>
      </w:divBdr>
      <w:divsChild>
        <w:div w:id="283342197">
          <w:marLeft w:val="0"/>
          <w:marRight w:val="0"/>
          <w:marTop w:val="0"/>
          <w:marBottom w:val="0"/>
          <w:divBdr>
            <w:top w:val="none" w:sz="0" w:space="0" w:color="auto"/>
            <w:left w:val="none" w:sz="0" w:space="0" w:color="auto"/>
            <w:bottom w:val="none" w:sz="0" w:space="0" w:color="auto"/>
            <w:right w:val="none" w:sz="0" w:space="0" w:color="auto"/>
          </w:divBdr>
          <w:divsChild>
            <w:div w:id="1762797848">
              <w:marLeft w:val="0"/>
              <w:marRight w:val="0"/>
              <w:marTop w:val="0"/>
              <w:marBottom w:val="0"/>
              <w:divBdr>
                <w:top w:val="none" w:sz="0" w:space="0" w:color="auto"/>
                <w:left w:val="none" w:sz="0" w:space="0" w:color="auto"/>
                <w:bottom w:val="none" w:sz="0" w:space="0" w:color="auto"/>
                <w:right w:val="none" w:sz="0" w:space="0" w:color="auto"/>
              </w:divBdr>
              <w:divsChild>
                <w:div w:id="54011662">
                  <w:marLeft w:val="0"/>
                  <w:marRight w:val="0"/>
                  <w:marTop w:val="0"/>
                  <w:marBottom w:val="0"/>
                  <w:divBdr>
                    <w:top w:val="none" w:sz="0" w:space="0" w:color="auto"/>
                    <w:left w:val="none" w:sz="0" w:space="0" w:color="auto"/>
                    <w:bottom w:val="none" w:sz="0" w:space="0" w:color="auto"/>
                    <w:right w:val="none" w:sz="0" w:space="0" w:color="auto"/>
                  </w:divBdr>
                  <w:divsChild>
                    <w:div w:id="1882205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6281333">
      <w:bodyDiv w:val="1"/>
      <w:marLeft w:val="0"/>
      <w:marRight w:val="0"/>
      <w:marTop w:val="0"/>
      <w:marBottom w:val="0"/>
      <w:divBdr>
        <w:top w:val="none" w:sz="0" w:space="0" w:color="auto"/>
        <w:left w:val="none" w:sz="0" w:space="0" w:color="auto"/>
        <w:bottom w:val="none" w:sz="0" w:space="0" w:color="auto"/>
        <w:right w:val="none" w:sz="0" w:space="0" w:color="auto"/>
      </w:divBdr>
    </w:div>
    <w:div w:id="659161369">
      <w:bodyDiv w:val="1"/>
      <w:marLeft w:val="0"/>
      <w:marRight w:val="0"/>
      <w:marTop w:val="0"/>
      <w:marBottom w:val="0"/>
      <w:divBdr>
        <w:top w:val="none" w:sz="0" w:space="0" w:color="auto"/>
        <w:left w:val="none" w:sz="0" w:space="0" w:color="auto"/>
        <w:bottom w:val="none" w:sz="0" w:space="0" w:color="auto"/>
        <w:right w:val="none" w:sz="0" w:space="0" w:color="auto"/>
      </w:divBdr>
      <w:divsChild>
        <w:div w:id="82772880">
          <w:marLeft w:val="0"/>
          <w:marRight w:val="0"/>
          <w:marTop w:val="0"/>
          <w:marBottom w:val="0"/>
          <w:divBdr>
            <w:top w:val="none" w:sz="0" w:space="0" w:color="auto"/>
            <w:left w:val="none" w:sz="0" w:space="0" w:color="auto"/>
            <w:bottom w:val="none" w:sz="0" w:space="0" w:color="auto"/>
            <w:right w:val="none" w:sz="0" w:space="0" w:color="auto"/>
          </w:divBdr>
          <w:divsChild>
            <w:div w:id="1550530103">
              <w:marLeft w:val="0"/>
              <w:marRight w:val="0"/>
              <w:marTop w:val="0"/>
              <w:marBottom w:val="0"/>
              <w:divBdr>
                <w:top w:val="none" w:sz="0" w:space="0" w:color="auto"/>
                <w:left w:val="none" w:sz="0" w:space="0" w:color="auto"/>
                <w:bottom w:val="none" w:sz="0" w:space="0" w:color="auto"/>
                <w:right w:val="none" w:sz="0" w:space="0" w:color="auto"/>
              </w:divBdr>
              <w:divsChild>
                <w:div w:id="627978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0541633">
      <w:bodyDiv w:val="1"/>
      <w:marLeft w:val="0"/>
      <w:marRight w:val="0"/>
      <w:marTop w:val="0"/>
      <w:marBottom w:val="0"/>
      <w:divBdr>
        <w:top w:val="none" w:sz="0" w:space="0" w:color="auto"/>
        <w:left w:val="none" w:sz="0" w:space="0" w:color="auto"/>
        <w:bottom w:val="none" w:sz="0" w:space="0" w:color="auto"/>
        <w:right w:val="none" w:sz="0" w:space="0" w:color="auto"/>
      </w:divBdr>
      <w:divsChild>
        <w:div w:id="1852790367">
          <w:marLeft w:val="0"/>
          <w:marRight w:val="0"/>
          <w:marTop w:val="0"/>
          <w:marBottom w:val="0"/>
          <w:divBdr>
            <w:top w:val="none" w:sz="0" w:space="0" w:color="auto"/>
            <w:left w:val="none" w:sz="0" w:space="0" w:color="auto"/>
            <w:bottom w:val="none" w:sz="0" w:space="0" w:color="auto"/>
            <w:right w:val="none" w:sz="0" w:space="0" w:color="auto"/>
          </w:divBdr>
          <w:divsChild>
            <w:div w:id="91319530">
              <w:marLeft w:val="0"/>
              <w:marRight w:val="0"/>
              <w:marTop w:val="0"/>
              <w:marBottom w:val="0"/>
              <w:divBdr>
                <w:top w:val="none" w:sz="0" w:space="0" w:color="auto"/>
                <w:left w:val="none" w:sz="0" w:space="0" w:color="auto"/>
                <w:bottom w:val="none" w:sz="0" w:space="0" w:color="auto"/>
                <w:right w:val="none" w:sz="0" w:space="0" w:color="auto"/>
              </w:divBdr>
              <w:divsChild>
                <w:div w:id="974874781">
                  <w:marLeft w:val="0"/>
                  <w:marRight w:val="0"/>
                  <w:marTop w:val="0"/>
                  <w:marBottom w:val="0"/>
                  <w:divBdr>
                    <w:top w:val="none" w:sz="0" w:space="0" w:color="auto"/>
                    <w:left w:val="none" w:sz="0" w:space="0" w:color="auto"/>
                    <w:bottom w:val="none" w:sz="0" w:space="0" w:color="auto"/>
                    <w:right w:val="none" w:sz="0" w:space="0" w:color="auto"/>
                  </w:divBdr>
                  <w:divsChild>
                    <w:div w:id="1230968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3582434">
      <w:bodyDiv w:val="1"/>
      <w:marLeft w:val="0"/>
      <w:marRight w:val="0"/>
      <w:marTop w:val="0"/>
      <w:marBottom w:val="0"/>
      <w:divBdr>
        <w:top w:val="none" w:sz="0" w:space="0" w:color="auto"/>
        <w:left w:val="none" w:sz="0" w:space="0" w:color="auto"/>
        <w:bottom w:val="none" w:sz="0" w:space="0" w:color="auto"/>
        <w:right w:val="none" w:sz="0" w:space="0" w:color="auto"/>
      </w:divBdr>
      <w:divsChild>
        <w:div w:id="1691375935">
          <w:marLeft w:val="0"/>
          <w:marRight w:val="0"/>
          <w:marTop w:val="0"/>
          <w:marBottom w:val="0"/>
          <w:divBdr>
            <w:top w:val="none" w:sz="0" w:space="0" w:color="auto"/>
            <w:left w:val="none" w:sz="0" w:space="0" w:color="auto"/>
            <w:bottom w:val="none" w:sz="0" w:space="0" w:color="auto"/>
            <w:right w:val="none" w:sz="0" w:space="0" w:color="auto"/>
          </w:divBdr>
        </w:div>
      </w:divsChild>
    </w:div>
    <w:div w:id="668406506">
      <w:bodyDiv w:val="1"/>
      <w:marLeft w:val="0"/>
      <w:marRight w:val="0"/>
      <w:marTop w:val="0"/>
      <w:marBottom w:val="0"/>
      <w:divBdr>
        <w:top w:val="none" w:sz="0" w:space="0" w:color="auto"/>
        <w:left w:val="none" w:sz="0" w:space="0" w:color="auto"/>
        <w:bottom w:val="none" w:sz="0" w:space="0" w:color="auto"/>
        <w:right w:val="none" w:sz="0" w:space="0" w:color="auto"/>
      </w:divBdr>
    </w:div>
    <w:div w:id="700740417">
      <w:bodyDiv w:val="1"/>
      <w:marLeft w:val="0"/>
      <w:marRight w:val="0"/>
      <w:marTop w:val="0"/>
      <w:marBottom w:val="0"/>
      <w:divBdr>
        <w:top w:val="none" w:sz="0" w:space="0" w:color="auto"/>
        <w:left w:val="none" w:sz="0" w:space="0" w:color="auto"/>
        <w:bottom w:val="none" w:sz="0" w:space="0" w:color="auto"/>
        <w:right w:val="none" w:sz="0" w:space="0" w:color="auto"/>
      </w:divBdr>
    </w:div>
    <w:div w:id="701981449">
      <w:bodyDiv w:val="1"/>
      <w:marLeft w:val="0"/>
      <w:marRight w:val="0"/>
      <w:marTop w:val="0"/>
      <w:marBottom w:val="0"/>
      <w:divBdr>
        <w:top w:val="none" w:sz="0" w:space="0" w:color="auto"/>
        <w:left w:val="none" w:sz="0" w:space="0" w:color="auto"/>
        <w:bottom w:val="none" w:sz="0" w:space="0" w:color="auto"/>
        <w:right w:val="none" w:sz="0" w:space="0" w:color="auto"/>
      </w:divBdr>
      <w:divsChild>
        <w:div w:id="357777450">
          <w:marLeft w:val="0"/>
          <w:marRight w:val="0"/>
          <w:marTop w:val="0"/>
          <w:marBottom w:val="0"/>
          <w:divBdr>
            <w:top w:val="none" w:sz="0" w:space="0" w:color="auto"/>
            <w:left w:val="none" w:sz="0" w:space="0" w:color="auto"/>
            <w:bottom w:val="none" w:sz="0" w:space="0" w:color="auto"/>
            <w:right w:val="none" w:sz="0" w:space="0" w:color="auto"/>
          </w:divBdr>
          <w:divsChild>
            <w:div w:id="1753504311">
              <w:marLeft w:val="0"/>
              <w:marRight w:val="0"/>
              <w:marTop w:val="0"/>
              <w:marBottom w:val="0"/>
              <w:divBdr>
                <w:top w:val="none" w:sz="0" w:space="0" w:color="auto"/>
                <w:left w:val="none" w:sz="0" w:space="0" w:color="auto"/>
                <w:bottom w:val="none" w:sz="0" w:space="0" w:color="auto"/>
                <w:right w:val="none" w:sz="0" w:space="0" w:color="auto"/>
              </w:divBdr>
              <w:divsChild>
                <w:div w:id="1163738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443094">
      <w:bodyDiv w:val="1"/>
      <w:marLeft w:val="0"/>
      <w:marRight w:val="0"/>
      <w:marTop w:val="0"/>
      <w:marBottom w:val="0"/>
      <w:divBdr>
        <w:top w:val="none" w:sz="0" w:space="0" w:color="auto"/>
        <w:left w:val="none" w:sz="0" w:space="0" w:color="auto"/>
        <w:bottom w:val="none" w:sz="0" w:space="0" w:color="auto"/>
        <w:right w:val="none" w:sz="0" w:space="0" w:color="auto"/>
      </w:divBdr>
      <w:divsChild>
        <w:div w:id="164563636">
          <w:marLeft w:val="0"/>
          <w:marRight w:val="0"/>
          <w:marTop w:val="0"/>
          <w:marBottom w:val="0"/>
          <w:divBdr>
            <w:top w:val="none" w:sz="0" w:space="0" w:color="auto"/>
            <w:left w:val="none" w:sz="0" w:space="0" w:color="auto"/>
            <w:bottom w:val="none" w:sz="0" w:space="0" w:color="auto"/>
            <w:right w:val="none" w:sz="0" w:space="0" w:color="auto"/>
          </w:divBdr>
          <w:divsChild>
            <w:div w:id="1528985498">
              <w:marLeft w:val="0"/>
              <w:marRight w:val="0"/>
              <w:marTop w:val="0"/>
              <w:marBottom w:val="0"/>
              <w:divBdr>
                <w:top w:val="none" w:sz="0" w:space="0" w:color="auto"/>
                <w:left w:val="none" w:sz="0" w:space="0" w:color="auto"/>
                <w:bottom w:val="none" w:sz="0" w:space="0" w:color="auto"/>
                <w:right w:val="none" w:sz="0" w:space="0" w:color="auto"/>
              </w:divBdr>
              <w:divsChild>
                <w:div w:id="2111588152">
                  <w:marLeft w:val="0"/>
                  <w:marRight w:val="0"/>
                  <w:marTop w:val="0"/>
                  <w:marBottom w:val="0"/>
                  <w:divBdr>
                    <w:top w:val="none" w:sz="0" w:space="0" w:color="auto"/>
                    <w:left w:val="none" w:sz="0" w:space="0" w:color="auto"/>
                    <w:bottom w:val="none" w:sz="0" w:space="0" w:color="auto"/>
                    <w:right w:val="none" w:sz="0" w:space="0" w:color="auto"/>
                  </w:divBdr>
                  <w:divsChild>
                    <w:div w:id="2016154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2950920">
      <w:bodyDiv w:val="1"/>
      <w:marLeft w:val="0"/>
      <w:marRight w:val="0"/>
      <w:marTop w:val="0"/>
      <w:marBottom w:val="0"/>
      <w:divBdr>
        <w:top w:val="none" w:sz="0" w:space="0" w:color="auto"/>
        <w:left w:val="none" w:sz="0" w:space="0" w:color="auto"/>
        <w:bottom w:val="none" w:sz="0" w:space="0" w:color="auto"/>
        <w:right w:val="none" w:sz="0" w:space="0" w:color="auto"/>
      </w:divBdr>
      <w:divsChild>
        <w:div w:id="221142280">
          <w:marLeft w:val="0"/>
          <w:marRight w:val="0"/>
          <w:marTop w:val="0"/>
          <w:marBottom w:val="0"/>
          <w:divBdr>
            <w:top w:val="none" w:sz="0" w:space="0" w:color="auto"/>
            <w:left w:val="none" w:sz="0" w:space="0" w:color="auto"/>
            <w:bottom w:val="none" w:sz="0" w:space="0" w:color="auto"/>
            <w:right w:val="none" w:sz="0" w:space="0" w:color="auto"/>
          </w:divBdr>
          <w:divsChild>
            <w:div w:id="1120606594">
              <w:marLeft w:val="0"/>
              <w:marRight w:val="0"/>
              <w:marTop w:val="0"/>
              <w:marBottom w:val="0"/>
              <w:divBdr>
                <w:top w:val="none" w:sz="0" w:space="0" w:color="auto"/>
                <w:left w:val="none" w:sz="0" w:space="0" w:color="auto"/>
                <w:bottom w:val="none" w:sz="0" w:space="0" w:color="auto"/>
                <w:right w:val="none" w:sz="0" w:space="0" w:color="auto"/>
              </w:divBdr>
              <w:divsChild>
                <w:div w:id="699281670">
                  <w:marLeft w:val="0"/>
                  <w:marRight w:val="0"/>
                  <w:marTop w:val="0"/>
                  <w:marBottom w:val="0"/>
                  <w:divBdr>
                    <w:top w:val="none" w:sz="0" w:space="0" w:color="auto"/>
                    <w:left w:val="none" w:sz="0" w:space="0" w:color="auto"/>
                    <w:bottom w:val="none" w:sz="0" w:space="0" w:color="auto"/>
                    <w:right w:val="none" w:sz="0" w:space="0" w:color="auto"/>
                  </w:divBdr>
                  <w:divsChild>
                    <w:div w:id="1800345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6241047">
      <w:bodyDiv w:val="1"/>
      <w:marLeft w:val="0"/>
      <w:marRight w:val="0"/>
      <w:marTop w:val="0"/>
      <w:marBottom w:val="0"/>
      <w:divBdr>
        <w:top w:val="none" w:sz="0" w:space="0" w:color="auto"/>
        <w:left w:val="none" w:sz="0" w:space="0" w:color="auto"/>
        <w:bottom w:val="none" w:sz="0" w:space="0" w:color="auto"/>
        <w:right w:val="none" w:sz="0" w:space="0" w:color="auto"/>
      </w:divBdr>
    </w:div>
    <w:div w:id="768085667">
      <w:bodyDiv w:val="1"/>
      <w:marLeft w:val="0"/>
      <w:marRight w:val="0"/>
      <w:marTop w:val="0"/>
      <w:marBottom w:val="0"/>
      <w:divBdr>
        <w:top w:val="none" w:sz="0" w:space="0" w:color="auto"/>
        <w:left w:val="none" w:sz="0" w:space="0" w:color="auto"/>
        <w:bottom w:val="none" w:sz="0" w:space="0" w:color="auto"/>
        <w:right w:val="none" w:sz="0" w:space="0" w:color="auto"/>
      </w:divBdr>
      <w:divsChild>
        <w:div w:id="2102528649">
          <w:marLeft w:val="0"/>
          <w:marRight w:val="0"/>
          <w:marTop w:val="0"/>
          <w:marBottom w:val="0"/>
          <w:divBdr>
            <w:top w:val="none" w:sz="0" w:space="0" w:color="auto"/>
            <w:left w:val="none" w:sz="0" w:space="0" w:color="auto"/>
            <w:bottom w:val="none" w:sz="0" w:space="0" w:color="auto"/>
            <w:right w:val="none" w:sz="0" w:space="0" w:color="auto"/>
          </w:divBdr>
          <w:divsChild>
            <w:div w:id="1538545944">
              <w:marLeft w:val="0"/>
              <w:marRight w:val="0"/>
              <w:marTop w:val="0"/>
              <w:marBottom w:val="0"/>
              <w:divBdr>
                <w:top w:val="none" w:sz="0" w:space="0" w:color="auto"/>
                <w:left w:val="none" w:sz="0" w:space="0" w:color="auto"/>
                <w:bottom w:val="none" w:sz="0" w:space="0" w:color="auto"/>
                <w:right w:val="none" w:sz="0" w:space="0" w:color="auto"/>
              </w:divBdr>
              <w:divsChild>
                <w:div w:id="1656058834">
                  <w:marLeft w:val="0"/>
                  <w:marRight w:val="0"/>
                  <w:marTop w:val="0"/>
                  <w:marBottom w:val="0"/>
                  <w:divBdr>
                    <w:top w:val="none" w:sz="0" w:space="0" w:color="auto"/>
                    <w:left w:val="none" w:sz="0" w:space="0" w:color="auto"/>
                    <w:bottom w:val="none" w:sz="0" w:space="0" w:color="auto"/>
                    <w:right w:val="none" w:sz="0" w:space="0" w:color="auto"/>
                  </w:divBdr>
                  <w:divsChild>
                    <w:div w:id="1729763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9080580">
      <w:bodyDiv w:val="1"/>
      <w:marLeft w:val="0"/>
      <w:marRight w:val="0"/>
      <w:marTop w:val="0"/>
      <w:marBottom w:val="0"/>
      <w:divBdr>
        <w:top w:val="none" w:sz="0" w:space="0" w:color="auto"/>
        <w:left w:val="none" w:sz="0" w:space="0" w:color="auto"/>
        <w:bottom w:val="none" w:sz="0" w:space="0" w:color="auto"/>
        <w:right w:val="none" w:sz="0" w:space="0" w:color="auto"/>
      </w:divBdr>
      <w:divsChild>
        <w:div w:id="1823933238">
          <w:marLeft w:val="0"/>
          <w:marRight w:val="0"/>
          <w:marTop w:val="0"/>
          <w:marBottom w:val="0"/>
          <w:divBdr>
            <w:top w:val="none" w:sz="0" w:space="0" w:color="auto"/>
            <w:left w:val="none" w:sz="0" w:space="0" w:color="auto"/>
            <w:bottom w:val="none" w:sz="0" w:space="0" w:color="auto"/>
            <w:right w:val="none" w:sz="0" w:space="0" w:color="auto"/>
          </w:divBdr>
          <w:divsChild>
            <w:div w:id="130514455">
              <w:marLeft w:val="0"/>
              <w:marRight w:val="0"/>
              <w:marTop w:val="0"/>
              <w:marBottom w:val="0"/>
              <w:divBdr>
                <w:top w:val="none" w:sz="0" w:space="0" w:color="auto"/>
                <w:left w:val="none" w:sz="0" w:space="0" w:color="auto"/>
                <w:bottom w:val="none" w:sz="0" w:space="0" w:color="auto"/>
                <w:right w:val="none" w:sz="0" w:space="0" w:color="auto"/>
              </w:divBdr>
              <w:divsChild>
                <w:div w:id="1224100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1703002">
      <w:bodyDiv w:val="1"/>
      <w:marLeft w:val="0"/>
      <w:marRight w:val="0"/>
      <w:marTop w:val="0"/>
      <w:marBottom w:val="0"/>
      <w:divBdr>
        <w:top w:val="none" w:sz="0" w:space="0" w:color="auto"/>
        <w:left w:val="none" w:sz="0" w:space="0" w:color="auto"/>
        <w:bottom w:val="none" w:sz="0" w:space="0" w:color="auto"/>
        <w:right w:val="none" w:sz="0" w:space="0" w:color="auto"/>
      </w:divBdr>
      <w:divsChild>
        <w:div w:id="1891764039">
          <w:marLeft w:val="0"/>
          <w:marRight w:val="0"/>
          <w:marTop w:val="0"/>
          <w:marBottom w:val="0"/>
          <w:divBdr>
            <w:top w:val="none" w:sz="0" w:space="0" w:color="auto"/>
            <w:left w:val="none" w:sz="0" w:space="0" w:color="auto"/>
            <w:bottom w:val="none" w:sz="0" w:space="0" w:color="auto"/>
            <w:right w:val="none" w:sz="0" w:space="0" w:color="auto"/>
          </w:divBdr>
          <w:divsChild>
            <w:div w:id="112095847">
              <w:marLeft w:val="0"/>
              <w:marRight w:val="0"/>
              <w:marTop w:val="0"/>
              <w:marBottom w:val="0"/>
              <w:divBdr>
                <w:top w:val="none" w:sz="0" w:space="0" w:color="auto"/>
                <w:left w:val="none" w:sz="0" w:space="0" w:color="auto"/>
                <w:bottom w:val="none" w:sz="0" w:space="0" w:color="auto"/>
                <w:right w:val="none" w:sz="0" w:space="0" w:color="auto"/>
              </w:divBdr>
              <w:divsChild>
                <w:div w:id="1507597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2554674">
      <w:bodyDiv w:val="1"/>
      <w:marLeft w:val="0"/>
      <w:marRight w:val="0"/>
      <w:marTop w:val="0"/>
      <w:marBottom w:val="0"/>
      <w:divBdr>
        <w:top w:val="none" w:sz="0" w:space="0" w:color="auto"/>
        <w:left w:val="none" w:sz="0" w:space="0" w:color="auto"/>
        <w:bottom w:val="none" w:sz="0" w:space="0" w:color="auto"/>
        <w:right w:val="none" w:sz="0" w:space="0" w:color="auto"/>
      </w:divBdr>
    </w:div>
    <w:div w:id="807212719">
      <w:bodyDiv w:val="1"/>
      <w:marLeft w:val="0"/>
      <w:marRight w:val="0"/>
      <w:marTop w:val="0"/>
      <w:marBottom w:val="0"/>
      <w:divBdr>
        <w:top w:val="none" w:sz="0" w:space="0" w:color="auto"/>
        <w:left w:val="none" w:sz="0" w:space="0" w:color="auto"/>
        <w:bottom w:val="none" w:sz="0" w:space="0" w:color="auto"/>
        <w:right w:val="none" w:sz="0" w:space="0" w:color="auto"/>
      </w:divBdr>
      <w:divsChild>
        <w:div w:id="1967075926">
          <w:marLeft w:val="0"/>
          <w:marRight w:val="0"/>
          <w:marTop w:val="0"/>
          <w:marBottom w:val="0"/>
          <w:divBdr>
            <w:top w:val="none" w:sz="0" w:space="0" w:color="auto"/>
            <w:left w:val="none" w:sz="0" w:space="0" w:color="auto"/>
            <w:bottom w:val="none" w:sz="0" w:space="0" w:color="auto"/>
            <w:right w:val="none" w:sz="0" w:space="0" w:color="auto"/>
          </w:divBdr>
          <w:divsChild>
            <w:div w:id="23291384">
              <w:marLeft w:val="0"/>
              <w:marRight w:val="0"/>
              <w:marTop w:val="0"/>
              <w:marBottom w:val="0"/>
              <w:divBdr>
                <w:top w:val="none" w:sz="0" w:space="0" w:color="auto"/>
                <w:left w:val="none" w:sz="0" w:space="0" w:color="auto"/>
                <w:bottom w:val="none" w:sz="0" w:space="0" w:color="auto"/>
                <w:right w:val="none" w:sz="0" w:space="0" w:color="auto"/>
              </w:divBdr>
              <w:divsChild>
                <w:div w:id="1458984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6165200">
      <w:bodyDiv w:val="1"/>
      <w:marLeft w:val="0"/>
      <w:marRight w:val="0"/>
      <w:marTop w:val="0"/>
      <w:marBottom w:val="0"/>
      <w:divBdr>
        <w:top w:val="none" w:sz="0" w:space="0" w:color="auto"/>
        <w:left w:val="none" w:sz="0" w:space="0" w:color="auto"/>
        <w:bottom w:val="none" w:sz="0" w:space="0" w:color="auto"/>
        <w:right w:val="none" w:sz="0" w:space="0" w:color="auto"/>
      </w:divBdr>
      <w:divsChild>
        <w:div w:id="1955744024">
          <w:marLeft w:val="0"/>
          <w:marRight w:val="0"/>
          <w:marTop w:val="0"/>
          <w:marBottom w:val="0"/>
          <w:divBdr>
            <w:top w:val="none" w:sz="0" w:space="0" w:color="auto"/>
            <w:left w:val="none" w:sz="0" w:space="0" w:color="auto"/>
            <w:bottom w:val="none" w:sz="0" w:space="0" w:color="auto"/>
            <w:right w:val="none" w:sz="0" w:space="0" w:color="auto"/>
          </w:divBdr>
          <w:divsChild>
            <w:div w:id="412706362">
              <w:marLeft w:val="0"/>
              <w:marRight w:val="0"/>
              <w:marTop w:val="0"/>
              <w:marBottom w:val="0"/>
              <w:divBdr>
                <w:top w:val="none" w:sz="0" w:space="0" w:color="auto"/>
                <w:left w:val="none" w:sz="0" w:space="0" w:color="auto"/>
                <w:bottom w:val="none" w:sz="0" w:space="0" w:color="auto"/>
                <w:right w:val="none" w:sz="0" w:space="0" w:color="auto"/>
              </w:divBdr>
              <w:divsChild>
                <w:div w:id="136774265">
                  <w:marLeft w:val="0"/>
                  <w:marRight w:val="0"/>
                  <w:marTop w:val="0"/>
                  <w:marBottom w:val="0"/>
                  <w:divBdr>
                    <w:top w:val="none" w:sz="0" w:space="0" w:color="auto"/>
                    <w:left w:val="none" w:sz="0" w:space="0" w:color="auto"/>
                    <w:bottom w:val="none" w:sz="0" w:space="0" w:color="auto"/>
                    <w:right w:val="none" w:sz="0" w:space="0" w:color="auto"/>
                  </w:divBdr>
                  <w:divsChild>
                    <w:div w:id="69206557">
                      <w:marLeft w:val="0"/>
                      <w:marRight w:val="0"/>
                      <w:marTop w:val="0"/>
                      <w:marBottom w:val="0"/>
                      <w:divBdr>
                        <w:top w:val="none" w:sz="0" w:space="0" w:color="auto"/>
                        <w:left w:val="none" w:sz="0" w:space="0" w:color="auto"/>
                        <w:bottom w:val="none" w:sz="0" w:space="0" w:color="auto"/>
                        <w:right w:val="none" w:sz="0" w:space="0" w:color="auto"/>
                      </w:divBdr>
                    </w:div>
                  </w:divsChild>
                </w:div>
                <w:div w:id="521555670">
                  <w:marLeft w:val="0"/>
                  <w:marRight w:val="0"/>
                  <w:marTop w:val="0"/>
                  <w:marBottom w:val="0"/>
                  <w:divBdr>
                    <w:top w:val="none" w:sz="0" w:space="0" w:color="auto"/>
                    <w:left w:val="none" w:sz="0" w:space="0" w:color="auto"/>
                    <w:bottom w:val="none" w:sz="0" w:space="0" w:color="auto"/>
                    <w:right w:val="none" w:sz="0" w:space="0" w:color="auto"/>
                  </w:divBdr>
                  <w:divsChild>
                    <w:div w:id="332608199">
                      <w:marLeft w:val="0"/>
                      <w:marRight w:val="0"/>
                      <w:marTop w:val="0"/>
                      <w:marBottom w:val="0"/>
                      <w:divBdr>
                        <w:top w:val="none" w:sz="0" w:space="0" w:color="auto"/>
                        <w:left w:val="none" w:sz="0" w:space="0" w:color="auto"/>
                        <w:bottom w:val="none" w:sz="0" w:space="0" w:color="auto"/>
                        <w:right w:val="none" w:sz="0" w:space="0" w:color="auto"/>
                      </w:divBdr>
                    </w:div>
                  </w:divsChild>
                </w:div>
                <w:div w:id="2085638013">
                  <w:marLeft w:val="0"/>
                  <w:marRight w:val="0"/>
                  <w:marTop w:val="0"/>
                  <w:marBottom w:val="0"/>
                  <w:divBdr>
                    <w:top w:val="none" w:sz="0" w:space="0" w:color="auto"/>
                    <w:left w:val="none" w:sz="0" w:space="0" w:color="auto"/>
                    <w:bottom w:val="none" w:sz="0" w:space="0" w:color="auto"/>
                    <w:right w:val="none" w:sz="0" w:space="0" w:color="auto"/>
                  </w:divBdr>
                  <w:divsChild>
                    <w:div w:id="1713380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0655748">
      <w:bodyDiv w:val="1"/>
      <w:marLeft w:val="0"/>
      <w:marRight w:val="0"/>
      <w:marTop w:val="0"/>
      <w:marBottom w:val="0"/>
      <w:divBdr>
        <w:top w:val="none" w:sz="0" w:space="0" w:color="auto"/>
        <w:left w:val="none" w:sz="0" w:space="0" w:color="auto"/>
        <w:bottom w:val="none" w:sz="0" w:space="0" w:color="auto"/>
        <w:right w:val="none" w:sz="0" w:space="0" w:color="auto"/>
      </w:divBdr>
    </w:div>
    <w:div w:id="856772538">
      <w:bodyDiv w:val="1"/>
      <w:marLeft w:val="0"/>
      <w:marRight w:val="0"/>
      <w:marTop w:val="0"/>
      <w:marBottom w:val="0"/>
      <w:divBdr>
        <w:top w:val="none" w:sz="0" w:space="0" w:color="auto"/>
        <w:left w:val="none" w:sz="0" w:space="0" w:color="auto"/>
        <w:bottom w:val="none" w:sz="0" w:space="0" w:color="auto"/>
        <w:right w:val="none" w:sz="0" w:space="0" w:color="auto"/>
      </w:divBdr>
    </w:div>
    <w:div w:id="869728928">
      <w:bodyDiv w:val="1"/>
      <w:marLeft w:val="0"/>
      <w:marRight w:val="0"/>
      <w:marTop w:val="0"/>
      <w:marBottom w:val="0"/>
      <w:divBdr>
        <w:top w:val="none" w:sz="0" w:space="0" w:color="auto"/>
        <w:left w:val="none" w:sz="0" w:space="0" w:color="auto"/>
        <w:bottom w:val="none" w:sz="0" w:space="0" w:color="auto"/>
        <w:right w:val="none" w:sz="0" w:space="0" w:color="auto"/>
      </w:divBdr>
      <w:divsChild>
        <w:div w:id="230702766">
          <w:marLeft w:val="0"/>
          <w:marRight w:val="0"/>
          <w:marTop w:val="0"/>
          <w:marBottom w:val="0"/>
          <w:divBdr>
            <w:top w:val="none" w:sz="0" w:space="0" w:color="auto"/>
            <w:left w:val="none" w:sz="0" w:space="0" w:color="auto"/>
            <w:bottom w:val="none" w:sz="0" w:space="0" w:color="auto"/>
            <w:right w:val="none" w:sz="0" w:space="0" w:color="auto"/>
          </w:divBdr>
          <w:divsChild>
            <w:div w:id="595132773">
              <w:marLeft w:val="0"/>
              <w:marRight w:val="0"/>
              <w:marTop w:val="0"/>
              <w:marBottom w:val="0"/>
              <w:divBdr>
                <w:top w:val="none" w:sz="0" w:space="0" w:color="auto"/>
                <w:left w:val="none" w:sz="0" w:space="0" w:color="auto"/>
                <w:bottom w:val="none" w:sz="0" w:space="0" w:color="auto"/>
                <w:right w:val="none" w:sz="0" w:space="0" w:color="auto"/>
              </w:divBdr>
              <w:divsChild>
                <w:div w:id="838690647">
                  <w:marLeft w:val="0"/>
                  <w:marRight w:val="0"/>
                  <w:marTop w:val="0"/>
                  <w:marBottom w:val="0"/>
                  <w:divBdr>
                    <w:top w:val="none" w:sz="0" w:space="0" w:color="auto"/>
                    <w:left w:val="none" w:sz="0" w:space="0" w:color="auto"/>
                    <w:bottom w:val="none" w:sz="0" w:space="0" w:color="auto"/>
                    <w:right w:val="none" w:sz="0" w:space="0" w:color="auto"/>
                  </w:divBdr>
                  <w:divsChild>
                    <w:div w:id="1611820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1574802">
      <w:bodyDiv w:val="1"/>
      <w:marLeft w:val="0"/>
      <w:marRight w:val="0"/>
      <w:marTop w:val="0"/>
      <w:marBottom w:val="0"/>
      <w:divBdr>
        <w:top w:val="none" w:sz="0" w:space="0" w:color="auto"/>
        <w:left w:val="none" w:sz="0" w:space="0" w:color="auto"/>
        <w:bottom w:val="none" w:sz="0" w:space="0" w:color="auto"/>
        <w:right w:val="none" w:sz="0" w:space="0" w:color="auto"/>
      </w:divBdr>
    </w:div>
    <w:div w:id="874541730">
      <w:bodyDiv w:val="1"/>
      <w:marLeft w:val="0"/>
      <w:marRight w:val="0"/>
      <w:marTop w:val="0"/>
      <w:marBottom w:val="0"/>
      <w:divBdr>
        <w:top w:val="none" w:sz="0" w:space="0" w:color="auto"/>
        <w:left w:val="none" w:sz="0" w:space="0" w:color="auto"/>
        <w:bottom w:val="none" w:sz="0" w:space="0" w:color="auto"/>
        <w:right w:val="none" w:sz="0" w:space="0" w:color="auto"/>
      </w:divBdr>
    </w:div>
    <w:div w:id="885800167">
      <w:bodyDiv w:val="1"/>
      <w:marLeft w:val="0"/>
      <w:marRight w:val="0"/>
      <w:marTop w:val="0"/>
      <w:marBottom w:val="0"/>
      <w:divBdr>
        <w:top w:val="none" w:sz="0" w:space="0" w:color="auto"/>
        <w:left w:val="none" w:sz="0" w:space="0" w:color="auto"/>
        <w:bottom w:val="none" w:sz="0" w:space="0" w:color="auto"/>
        <w:right w:val="none" w:sz="0" w:space="0" w:color="auto"/>
      </w:divBdr>
      <w:divsChild>
        <w:div w:id="437873212">
          <w:marLeft w:val="0"/>
          <w:marRight w:val="0"/>
          <w:marTop w:val="0"/>
          <w:marBottom w:val="0"/>
          <w:divBdr>
            <w:top w:val="none" w:sz="0" w:space="0" w:color="auto"/>
            <w:left w:val="none" w:sz="0" w:space="0" w:color="auto"/>
            <w:bottom w:val="none" w:sz="0" w:space="0" w:color="auto"/>
            <w:right w:val="none" w:sz="0" w:space="0" w:color="auto"/>
          </w:divBdr>
          <w:divsChild>
            <w:div w:id="997458478">
              <w:marLeft w:val="0"/>
              <w:marRight w:val="0"/>
              <w:marTop w:val="0"/>
              <w:marBottom w:val="0"/>
              <w:divBdr>
                <w:top w:val="none" w:sz="0" w:space="0" w:color="auto"/>
                <w:left w:val="none" w:sz="0" w:space="0" w:color="auto"/>
                <w:bottom w:val="none" w:sz="0" w:space="0" w:color="auto"/>
                <w:right w:val="none" w:sz="0" w:space="0" w:color="auto"/>
              </w:divBdr>
              <w:divsChild>
                <w:div w:id="1248421063">
                  <w:marLeft w:val="0"/>
                  <w:marRight w:val="0"/>
                  <w:marTop w:val="0"/>
                  <w:marBottom w:val="0"/>
                  <w:divBdr>
                    <w:top w:val="none" w:sz="0" w:space="0" w:color="auto"/>
                    <w:left w:val="none" w:sz="0" w:space="0" w:color="auto"/>
                    <w:bottom w:val="none" w:sz="0" w:space="0" w:color="auto"/>
                    <w:right w:val="none" w:sz="0" w:space="0" w:color="auto"/>
                  </w:divBdr>
                  <w:divsChild>
                    <w:div w:id="1294603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7835347">
      <w:bodyDiv w:val="1"/>
      <w:marLeft w:val="0"/>
      <w:marRight w:val="0"/>
      <w:marTop w:val="0"/>
      <w:marBottom w:val="0"/>
      <w:divBdr>
        <w:top w:val="none" w:sz="0" w:space="0" w:color="auto"/>
        <w:left w:val="none" w:sz="0" w:space="0" w:color="auto"/>
        <w:bottom w:val="none" w:sz="0" w:space="0" w:color="auto"/>
        <w:right w:val="none" w:sz="0" w:space="0" w:color="auto"/>
      </w:divBdr>
    </w:div>
    <w:div w:id="892469939">
      <w:bodyDiv w:val="1"/>
      <w:marLeft w:val="0"/>
      <w:marRight w:val="0"/>
      <w:marTop w:val="0"/>
      <w:marBottom w:val="0"/>
      <w:divBdr>
        <w:top w:val="none" w:sz="0" w:space="0" w:color="auto"/>
        <w:left w:val="none" w:sz="0" w:space="0" w:color="auto"/>
        <w:bottom w:val="none" w:sz="0" w:space="0" w:color="auto"/>
        <w:right w:val="none" w:sz="0" w:space="0" w:color="auto"/>
      </w:divBdr>
      <w:divsChild>
        <w:div w:id="2130008198">
          <w:marLeft w:val="0"/>
          <w:marRight w:val="0"/>
          <w:marTop w:val="0"/>
          <w:marBottom w:val="0"/>
          <w:divBdr>
            <w:top w:val="none" w:sz="0" w:space="0" w:color="auto"/>
            <w:left w:val="none" w:sz="0" w:space="0" w:color="auto"/>
            <w:bottom w:val="none" w:sz="0" w:space="0" w:color="auto"/>
            <w:right w:val="none" w:sz="0" w:space="0" w:color="auto"/>
          </w:divBdr>
          <w:divsChild>
            <w:div w:id="110516667">
              <w:marLeft w:val="0"/>
              <w:marRight w:val="0"/>
              <w:marTop w:val="0"/>
              <w:marBottom w:val="0"/>
              <w:divBdr>
                <w:top w:val="none" w:sz="0" w:space="0" w:color="auto"/>
                <w:left w:val="none" w:sz="0" w:space="0" w:color="auto"/>
                <w:bottom w:val="none" w:sz="0" w:space="0" w:color="auto"/>
                <w:right w:val="none" w:sz="0" w:space="0" w:color="auto"/>
              </w:divBdr>
              <w:divsChild>
                <w:div w:id="1166481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3851353">
      <w:bodyDiv w:val="1"/>
      <w:marLeft w:val="0"/>
      <w:marRight w:val="0"/>
      <w:marTop w:val="0"/>
      <w:marBottom w:val="0"/>
      <w:divBdr>
        <w:top w:val="none" w:sz="0" w:space="0" w:color="auto"/>
        <w:left w:val="none" w:sz="0" w:space="0" w:color="auto"/>
        <w:bottom w:val="none" w:sz="0" w:space="0" w:color="auto"/>
        <w:right w:val="none" w:sz="0" w:space="0" w:color="auto"/>
      </w:divBdr>
      <w:divsChild>
        <w:div w:id="1538278793">
          <w:marLeft w:val="0"/>
          <w:marRight w:val="0"/>
          <w:marTop w:val="0"/>
          <w:marBottom w:val="0"/>
          <w:divBdr>
            <w:top w:val="none" w:sz="0" w:space="0" w:color="auto"/>
            <w:left w:val="none" w:sz="0" w:space="0" w:color="auto"/>
            <w:bottom w:val="none" w:sz="0" w:space="0" w:color="auto"/>
            <w:right w:val="none" w:sz="0" w:space="0" w:color="auto"/>
          </w:divBdr>
          <w:divsChild>
            <w:div w:id="181554380">
              <w:marLeft w:val="0"/>
              <w:marRight w:val="0"/>
              <w:marTop w:val="0"/>
              <w:marBottom w:val="0"/>
              <w:divBdr>
                <w:top w:val="none" w:sz="0" w:space="0" w:color="auto"/>
                <w:left w:val="none" w:sz="0" w:space="0" w:color="auto"/>
                <w:bottom w:val="none" w:sz="0" w:space="0" w:color="auto"/>
                <w:right w:val="none" w:sz="0" w:space="0" w:color="auto"/>
              </w:divBdr>
              <w:divsChild>
                <w:div w:id="1882670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3273839">
      <w:bodyDiv w:val="1"/>
      <w:marLeft w:val="0"/>
      <w:marRight w:val="0"/>
      <w:marTop w:val="0"/>
      <w:marBottom w:val="0"/>
      <w:divBdr>
        <w:top w:val="none" w:sz="0" w:space="0" w:color="auto"/>
        <w:left w:val="none" w:sz="0" w:space="0" w:color="auto"/>
        <w:bottom w:val="none" w:sz="0" w:space="0" w:color="auto"/>
        <w:right w:val="none" w:sz="0" w:space="0" w:color="auto"/>
      </w:divBdr>
      <w:divsChild>
        <w:div w:id="511265852">
          <w:marLeft w:val="0"/>
          <w:marRight w:val="0"/>
          <w:marTop w:val="0"/>
          <w:marBottom w:val="0"/>
          <w:divBdr>
            <w:top w:val="none" w:sz="0" w:space="0" w:color="auto"/>
            <w:left w:val="none" w:sz="0" w:space="0" w:color="auto"/>
            <w:bottom w:val="none" w:sz="0" w:space="0" w:color="auto"/>
            <w:right w:val="none" w:sz="0" w:space="0" w:color="auto"/>
          </w:divBdr>
        </w:div>
      </w:divsChild>
    </w:div>
    <w:div w:id="914557407">
      <w:bodyDiv w:val="1"/>
      <w:marLeft w:val="0"/>
      <w:marRight w:val="0"/>
      <w:marTop w:val="0"/>
      <w:marBottom w:val="0"/>
      <w:divBdr>
        <w:top w:val="none" w:sz="0" w:space="0" w:color="auto"/>
        <w:left w:val="none" w:sz="0" w:space="0" w:color="auto"/>
        <w:bottom w:val="none" w:sz="0" w:space="0" w:color="auto"/>
        <w:right w:val="none" w:sz="0" w:space="0" w:color="auto"/>
      </w:divBdr>
      <w:divsChild>
        <w:div w:id="1791319325">
          <w:marLeft w:val="0"/>
          <w:marRight w:val="0"/>
          <w:marTop w:val="0"/>
          <w:marBottom w:val="0"/>
          <w:divBdr>
            <w:top w:val="none" w:sz="0" w:space="0" w:color="auto"/>
            <w:left w:val="none" w:sz="0" w:space="0" w:color="auto"/>
            <w:bottom w:val="none" w:sz="0" w:space="0" w:color="auto"/>
            <w:right w:val="none" w:sz="0" w:space="0" w:color="auto"/>
          </w:divBdr>
          <w:divsChild>
            <w:div w:id="659429927">
              <w:marLeft w:val="0"/>
              <w:marRight w:val="0"/>
              <w:marTop w:val="0"/>
              <w:marBottom w:val="0"/>
              <w:divBdr>
                <w:top w:val="none" w:sz="0" w:space="0" w:color="auto"/>
                <w:left w:val="none" w:sz="0" w:space="0" w:color="auto"/>
                <w:bottom w:val="none" w:sz="0" w:space="0" w:color="auto"/>
                <w:right w:val="none" w:sz="0" w:space="0" w:color="auto"/>
              </w:divBdr>
              <w:divsChild>
                <w:div w:id="1620716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8564760">
      <w:bodyDiv w:val="1"/>
      <w:marLeft w:val="0"/>
      <w:marRight w:val="0"/>
      <w:marTop w:val="0"/>
      <w:marBottom w:val="0"/>
      <w:divBdr>
        <w:top w:val="none" w:sz="0" w:space="0" w:color="auto"/>
        <w:left w:val="none" w:sz="0" w:space="0" w:color="auto"/>
        <w:bottom w:val="none" w:sz="0" w:space="0" w:color="auto"/>
        <w:right w:val="none" w:sz="0" w:space="0" w:color="auto"/>
      </w:divBdr>
      <w:divsChild>
        <w:div w:id="2073042901">
          <w:marLeft w:val="0"/>
          <w:marRight w:val="0"/>
          <w:marTop w:val="0"/>
          <w:marBottom w:val="0"/>
          <w:divBdr>
            <w:top w:val="none" w:sz="0" w:space="0" w:color="auto"/>
            <w:left w:val="none" w:sz="0" w:space="0" w:color="auto"/>
            <w:bottom w:val="none" w:sz="0" w:space="0" w:color="auto"/>
            <w:right w:val="none" w:sz="0" w:space="0" w:color="auto"/>
          </w:divBdr>
          <w:divsChild>
            <w:div w:id="570651956">
              <w:marLeft w:val="0"/>
              <w:marRight w:val="0"/>
              <w:marTop w:val="0"/>
              <w:marBottom w:val="0"/>
              <w:divBdr>
                <w:top w:val="none" w:sz="0" w:space="0" w:color="auto"/>
                <w:left w:val="none" w:sz="0" w:space="0" w:color="auto"/>
                <w:bottom w:val="none" w:sz="0" w:space="0" w:color="auto"/>
                <w:right w:val="none" w:sz="0" w:space="0" w:color="auto"/>
              </w:divBdr>
              <w:divsChild>
                <w:div w:id="108163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8834057">
      <w:bodyDiv w:val="1"/>
      <w:marLeft w:val="0"/>
      <w:marRight w:val="0"/>
      <w:marTop w:val="0"/>
      <w:marBottom w:val="0"/>
      <w:divBdr>
        <w:top w:val="none" w:sz="0" w:space="0" w:color="auto"/>
        <w:left w:val="none" w:sz="0" w:space="0" w:color="auto"/>
        <w:bottom w:val="none" w:sz="0" w:space="0" w:color="auto"/>
        <w:right w:val="none" w:sz="0" w:space="0" w:color="auto"/>
      </w:divBdr>
    </w:div>
    <w:div w:id="920334752">
      <w:bodyDiv w:val="1"/>
      <w:marLeft w:val="0"/>
      <w:marRight w:val="0"/>
      <w:marTop w:val="0"/>
      <w:marBottom w:val="0"/>
      <w:divBdr>
        <w:top w:val="none" w:sz="0" w:space="0" w:color="auto"/>
        <w:left w:val="none" w:sz="0" w:space="0" w:color="auto"/>
        <w:bottom w:val="none" w:sz="0" w:space="0" w:color="auto"/>
        <w:right w:val="none" w:sz="0" w:space="0" w:color="auto"/>
      </w:divBdr>
      <w:divsChild>
        <w:div w:id="167402060">
          <w:marLeft w:val="0"/>
          <w:marRight w:val="0"/>
          <w:marTop w:val="0"/>
          <w:marBottom w:val="0"/>
          <w:divBdr>
            <w:top w:val="none" w:sz="0" w:space="0" w:color="auto"/>
            <w:left w:val="none" w:sz="0" w:space="0" w:color="auto"/>
            <w:bottom w:val="none" w:sz="0" w:space="0" w:color="auto"/>
            <w:right w:val="none" w:sz="0" w:space="0" w:color="auto"/>
          </w:divBdr>
          <w:divsChild>
            <w:div w:id="684207004">
              <w:marLeft w:val="0"/>
              <w:marRight w:val="0"/>
              <w:marTop w:val="0"/>
              <w:marBottom w:val="0"/>
              <w:divBdr>
                <w:top w:val="none" w:sz="0" w:space="0" w:color="auto"/>
                <w:left w:val="none" w:sz="0" w:space="0" w:color="auto"/>
                <w:bottom w:val="none" w:sz="0" w:space="0" w:color="auto"/>
                <w:right w:val="none" w:sz="0" w:space="0" w:color="auto"/>
              </w:divBdr>
              <w:divsChild>
                <w:div w:id="31270956">
                  <w:marLeft w:val="0"/>
                  <w:marRight w:val="0"/>
                  <w:marTop w:val="0"/>
                  <w:marBottom w:val="0"/>
                  <w:divBdr>
                    <w:top w:val="none" w:sz="0" w:space="0" w:color="auto"/>
                    <w:left w:val="none" w:sz="0" w:space="0" w:color="auto"/>
                    <w:bottom w:val="none" w:sz="0" w:space="0" w:color="auto"/>
                    <w:right w:val="none" w:sz="0" w:space="0" w:color="auto"/>
                  </w:divBdr>
                  <w:divsChild>
                    <w:div w:id="1959212312">
                      <w:marLeft w:val="0"/>
                      <w:marRight w:val="0"/>
                      <w:marTop w:val="0"/>
                      <w:marBottom w:val="0"/>
                      <w:divBdr>
                        <w:top w:val="none" w:sz="0" w:space="0" w:color="auto"/>
                        <w:left w:val="none" w:sz="0" w:space="0" w:color="auto"/>
                        <w:bottom w:val="none" w:sz="0" w:space="0" w:color="auto"/>
                        <w:right w:val="none" w:sz="0" w:space="0" w:color="auto"/>
                      </w:divBdr>
                      <w:divsChild>
                        <w:div w:id="89476445">
                          <w:marLeft w:val="0"/>
                          <w:marRight w:val="0"/>
                          <w:marTop w:val="0"/>
                          <w:marBottom w:val="0"/>
                          <w:divBdr>
                            <w:top w:val="none" w:sz="0" w:space="0" w:color="auto"/>
                            <w:left w:val="none" w:sz="0" w:space="0" w:color="auto"/>
                            <w:bottom w:val="none" w:sz="0" w:space="0" w:color="auto"/>
                            <w:right w:val="none" w:sz="0" w:space="0" w:color="auto"/>
                          </w:divBdr>
                          <w:divsChild>
                            <w:div w:id="30616466">
                              <w:marLeft w:val="0"/>
                              <w:marRight w:val="0"/>
                              <w:marTop w:val="0"/>
                              <w:marBottom w:val="0"/>
                              <w:divBdr>
                                <w:top w:val="none" w:sz="0" w:space="0" w:color="auto"/>
                                <w:left w:val="none" w:sz="0" w:space="0" w:color="auto"/>
                                <w:bottom w:val="none" w:sz="0" w:space="0" w:color="auto"/>
                                <w:right w:val="none" w:sz="0" w:space="0" w:color="auto"/>
                              </w:divBdr>
                              <w:divsChild>
                                <w:div w:id="31078284">
                                  <w:marLeft w:val="0"/>
                                  <w:marRight w:val="0"/>
                                  <w:marTop w:val="0"/>
                                  <w:marBottom w:val="0"/>
                                  <w:divBdr>
                                    <w:top w:val="none" w:sz="0" w:space="0" w:color="auto"/>
                                    <w:left w:val="none" w:sz="0" w:space="0" w:color="auto"/>
                                    <w:bottom w:val="none" w:sz="0" w:space="0" w:color="auto"/>
                                    <w:right w:val="none" w:sz="0" w:space="0" w:color="auto"/>
                                  </w:divBdr>
                                  <w:divsChild>
                                    <w:div w:id="1526862602">
                                      <w:marLeft w:val="0"/>
                                      <w:marRight w:val="0"/>
                                      <w:marTop w:val="0"/>
                                      <w:marBottom w:val="0"/>
                                      <w:divBdr>
                                        <w:top w:val="none" w:sz="0" w:space="0" w:color="auto"/>
                                        <w:left w:val="none" w:sz="0" w:space="0" w:color="auto"/>
                                        <w:bottom w:val="none" w:sz="0" w:space="0" w:color="auto"/>
                                        <w:right w:val="none" w:sz="0" w:space="0" w:color="auto"/>
                                      </w:divBdr>
                                      <w:divsChild>
                                        <w:div w:id="2020769613">
                                          <w:marLeft w:val="0"/>
                                          <w:marRight w:val="0"/>
                                          <w:marTop w:val="0"/>
                                          <w:marBottom w:val="0"/>
                                          <w:divBdr>
                                            <w:top w:val="none" w:sz="0" w:space="0" w:color="auto"/>
                                            <w:left w:val="none" w:sz="0" w:space="0" w:color="auto"/>
                                            <w:bottom w:val="none" w:sz="0" w:space="0" w:color="auto"/>
                                            <w:right w:val="none" w:sz="0" w:space="0" w:color="auto"/>
                                          </w:divBdr>
                                          <w:divsChild>
                                            <w:div w:id="801970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34774884">
          <w:marLeft w:val="0"/>
          <w:marRight w:val="0"/>
          <w:marTop w:val="0"/>
          <w:marBottom w:val="0"/>
          <w:divBdr>
            <w:top w:val="none" w:sz="0" w:space="0" w:color="auto"/>
            <w:left w:val="none" w:sz="0" w:space="0" w:color="auto"/>
            <w:bottom w:val="none" w:sz="0" w:space="0" w:color="auto"/>
            <w:right w:val="none" w:sz="0" w:space="0" w:color="auto"/>
          </w:divBdr>
          <w:divsChild>
            <w:div w:id="1251156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772691">
      <w:bodyDiv w:val="1"/>
      <w:marLeft w:val="0"/>
      <w:marRight w:val="0"/>
      <w:marTop w:val="0"/>
      <w:marBottom w:val="0"/>
      <w:divBdr>
        <w:top w:val="none" w:sz="0" w:space="0" w:color="auto"/>
        <w:left w:val="none" w:sz="0" w:space="0" w:color="auto"/>
        <w:bottom w:val="none" w:sz="0" w:space="0" w:color="auto"/>
        <w:right w:val="none" w:sz="0" w:space="0" w:color="auto"/>
      </w:divBdr>
      <w:divsChild>
        <w:div w:id="1739128903">
          <w:marLeft w:val="0"/>
          <w:marRight w:val="0"/>
          <w:marTop w:val="0"/>
          <w:marBottom w:val="0"/>
          <w:divBdr>
            <w:top w:val="none" w:sz="0" w:space="0" w:color="auto"/>
            <w:left w:val="none" w:sz="0" w:space="0" w:color="auto"/>
            <w:bottom w:val="none" w:sz="0" w:space="0" w:color="auto"/>
            <w:right w:val="none" w:sz="0" w:space="0" w:color="auto"/>
          </w:divBdr>
          <w:divsChild>
            <w:div w:id="24448804">
              <w:marLeft w:val="0"/>
              <w:marRight w:val="0"/>
              <w:marTop w:val="0"/>
              <w:marBottom w:val="0"/>
              <w:divBdr>
                <w:top w:val="none" w:sz="0" w:space="0" w:color="auto"/>
                <w:left w:val="none" w:sz="0" w:space="0" w:color="auto"/>
                <w:bottom w:val="none" w:sz="0" w:space="0" w:color="auto"/>
                <w:right w:val="none" w:sz="0" w:space="0" w:color="auto"/>
              </w:divBdr>
              <w:divsChild>
                <w:div w:id="919607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2514879">
      <w:bodyDiv w:val="1"/>
      <w:marLeft w:val="0"/>
      <w:marRight w:val="0"/>
      <w:marTop w:val="0"/>
      <w:marBottom w:val="0"/>
      <w:divBdr>
        <w:top w:val="none" w:sz="0" w:space="0" w:color="auto"/>
        <w:left w:val="none" w:sz="0" w:space="0" w:color="auto"/>
        <w:bottom w:val="none" w:sz="0" w:space="0" w:color="auto"/>
        <w:right w:val="none" w:sz="0" w:space="0" w:color="auto"/>
      </w:divBdr>
      <w:divsChild>
        <w:div w:id="1613902586">
          <w:marLeft w:val="0"/>
          <w:marRight w:val="0"/>
          <w:marTop w:val="0"/>
          <w:marBottom w:val="0"/>
          <w:divBdr>
            <w:top w:val="none" w:sz="0" w:space="0" w:color="auto"/>
            <w:left w:val="none" w:sz="0" w:space="0" w:color="auto"/>
            <w:bottom w:val="none" w:sz="0" w:space="0" w:color="auto"/>
            <w:right w:val="none" w:sz="0" w:space="0" w:color="auto"/>
          </w:divBdr>
          <w:divsChild>
            <w:div w:id="2040203110">
              <w:marLeft w:val="0"/>
              <w:marRight w:val="0"/>
              <w:marTop w:val="0"/>
              <w:marBottom w:val="0"/>
              <w:divBdr>
                <w:top w:val="none" w:sz="0" w:space="0" w:color="auto"/>
                <w:left w:val="none" w:sz="0" w:space="0" w:color="auto"/>
                <w:bottom w:val="none" w:sz="0" w:space="0" w:color="auto"/>
                <w:right w:val="none" w:sz="0" w:space="0" w:color="auto"/>
              </w:divBdr>
              <w:divsChild>
                <w:div w:id="1825778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9937354">
      <w:bodyDiv w:val="1"/>
      <w:marLeft w:val="0"/>
      <w:marRight w:val="0"/>
      <w:marTop w:val="0"/>
      <w:marBottom w:val="0"/>
      <w:divBdr>
        <w:top w:val="none" w:sz="0" w:space="0" w:color="auto"/>
        <w:left w:val="none" w:sz="0" w:space="0" w:color="auto"/>
        <w:bottom w:val="none" w:sz="0" w:space="0" w:color="auto"/>
        <w:right w:val="none" w:sz="0" w:space="0" w:color="auto"/>
      </w:divBdr>
      <w:divsChild>
        <w:div w:id="370495652">
          <w:marLeft w:val="0"/>
          <w:marRight w:val="0"/>
          <w:marTop w:val="0"/>
          <w:marBottom w:val="0"/>
          <w:divBdr>
            <w:top w:val="none" w:sz="0" w:space="0" w:color="auto"/>
            <w:left w:val="none" w:sz="0" w:space="0" w:color="auto"/>
            <w:bottom w:val="none" w:sz="0" w:space="0" w:color="auto"/>
            <w:right w:val="none" w:sz="0" w:space="0" w:color="auto"/>
          </w:divBdr>
          <w:divsChild>
            <w:div w:id="742220487">
              <w:marLeft w:val="0"/>
              <w:marRight w:val="0"/>
              <w:marTop w:val="0"/>
              <w:marBottom w:val="0"/>
              <w:divBdr>
                <w:top w:val="none" w:sz="0" w:space="0" w:color="auto"/>
                <w:left w:val="none" w:sz="0" w:space="0" w:color="auto"/>
                <w:bottom w:val="none" w:sz="0" w:space="0" w:color="auto"/>
                <w:right w:val="none" w:sz="0" w:space="0" w:color="auto"/>
              </w:divBdr>
              <w:divsChild>
                <w:div w:id="1420251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910097">
      <w:bodyDiv w:val="1"/>
      <w:marLeft w:val="0"/>
      <w:marRight w:val="0"/>
      <w:marTop w:val="0"/>
      <w:marBottom w:val="0"/>
      <w:divBdr>
        <w:top w:val="none" w:sz="0" w:space="0" w:color="auto"/>
        <w:left w:val="none" w:sz="0" w:space="0" w:color="auto"/>
        <w:bottom w:val="none" w:sz="0" w:space="0" w:color="auto"/>
        <w:right w:val="none" w:sz="0" w:space="0" w:color="auto"/>
      </w:divBdr>
    </w:div>
    <w:div w:id="991716565">
      <w:bodyDiv w:val="1"/>
      <w:marLeft w:val="0"/>
      <w:marRight w:val="0"/>
      <w:marTop w:val="0"/>
      <w:marBottom w:val="0"/>
      <w:divBdr>
        <w:top w:val="none" w:sz="0" w:space="0" w:color="auto"/>
        <w:left w:val="none" w:sz="0" w:space="0" w:color="auto"/>
        <w:bottom w:val="none" w:sz="0" w:space="0" w:color="auto"/>
        <w:right w:val="none" w:sz="0" w:space="0" w:color="auto"/>
      </w:divBdr>
      <w:divsChild>
        <w:div w:id="2108766193">
          <w:marLeft w:val="0"/>
          <w:marRight w:val="0"/>
          <w:marTop w:val="0"/>
          <w:marBottom w:val="0"/>
          <w:divBdr>
            <w:top w:val="none" w:sz="0" w:space="0" w:color="auto"/>
            <w:left w:val="none" w:sz="0" w:space="0" w:color="auto"/>
            <w:bottom w:val="none" w:sz="0" w:space="0" w:color="auto"/>
            <w:right w:val="none" w:sz="0" w:space="0" w:color="auto"/>
          </w:divBdr>
          <w:divsChild>
            <w:div w:id="844979820">
              <w:marLeft w:val="0"/>
              <w:marRight w:val="0"/>
              <w:marTop w:val="0"/>
              <w:marBottom w:val="0"/>
              <w:divBdr>
                <w:top w:val="none" w:sz="0" w:space="0" w:color="auto"/>
                <w:left w:val="none" w:sz="0" w:space="0" w:color="auto"/>
                <w:bottom w:val="none" w:sz="0" w:space="0" w:color="auto"/>
                <w:right w:val="none" w:sz="0" w:space="0" w:color="auto"/>
              </w:divBdr>
              <w:divsChild>
                <w:div w:id="96146128">
                  <w:marLeft w:val="0"/>
                  <w:marRight w:val="0"/>
                  <w:marTop w:val="0"/>
                  <w:marBottom w:val="0"/>
                  <w:divBdr>
                    <w:top w:val="none" w:sz="0" w:space="0" w:color="auto"/>
                    <w:left w:val="none" w:sz="0" w:space="0" w:color="auto"/>
                    <w:bottom w:val="none" w:sz="0" w:space="0" w:color="auto"/>
                    <w:right w:val="none" w:sz="0" w:space="0" w:color="auto"/>
                  </w:divBdr>
                  <w:divsChild>
                    <w:div w:id="103886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3870028">
      <w:bodyDiv w:val="1"/>
      <w:marLeft w:val="0"/>
      <w:marRight w:val="0"/>
      <w:marTop w:val="0"/>
      <w:marBottom w:val="0"/>
      <w:divBdr>
        <w:top w:val="none" w:sz="0" w:space="0" w:color="auto"/>
        <w:left w:val="none" w:sz="0" w:space="0" w:color="auto"/>
        <w:bottom w:val="none" w:sz="0" w:space="0" w:color="auto"/>
        <w:right w:val="none" w:sz="0" w:space="0" w:color="auto"/>
      </w:divBdr>
    </w:div>
    <w:div w:id="1004160900">
      <w:bodyDiv w:val="1"/>
      <w:marLeft w:val="0"/>
      <w:marRight w:val="0"/>
      <w:marTop w:val="0"/>
      <w:marBottom w:val="0"/>
      <w:divBdr>
        <w:top w:val="none" w:sz="0" w:space="0" w:color="auto"/>
        <w:left w:val="none" w:sz="0" w:space="0" w:color="auto"/>
        <w:bottom w:val="none" w:sz="0" w:space="0" w:color="auto"/>
        <w:right w:val="none" w:sz="0" w:space="0" w:color="auto"/>
      </w:divBdr>
      <w:divsChild>
        <w:div w:id="1105076094">
          <w:marLeft w:val="0"/>
          <w:marRight w:val="0"/>
          <w:marTop w:val="0"/>
          <w:marBottom w:val="0"/>
          <w:divBdr>
            <w:top w:val="none" w:sz="0" w:space="0" w:color="auto"/>
            <w:left w:val="none" w:sz="0" w:space="0" w:color="auto"/>
            <w:bottom w:val="none" w:sz="0" w:space="0" w:color="auto"/>
            <w:right w:val="none" w:sz="0" w:space="0" w:color="auto"/>
          </w:divBdr>
          <w:divsChild>
            <w:div w:id="1170485883">
              <w:marLeft w:val="0"/>
              <w:marRight w:val="0"/>
              <w:marTop w:val="0"/>
              <w:marBottom w:val="0"/>
              <w:divBdr>
                <w:top w:val="none" w:sz="0" w:space="0" w:color="auto"/>
                <w:left w:val="none" w:sz="0" w:space="0" w:color="auto"/>
                <w:bottom w:val="none" w:sz="0" w:space="0" w:color="auto"/>
                <w:right w:val="none" w:sz="0" w:space="0" w:color="auto"/>
              </w:divBdr>
              <w:divsChild>
                <w:div w:id="218518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8750381">
      <w:bodyDiv w:val="1"/>
      <w:marLeft w:val="0"/>
      <w:marRight w:val="0"/>
      <w:marTop w:val="0"/>
      <w:marBottom w:val="0"/>
      <w:divBdr>
        <w:top w:val="none" w:sz="0" w:space="0" w:color="auto"/>
        <w:left w:val="none" w:sz="0" w:space="0" w:color="auto"/>
        <w:bottom w:val="none" w:sz="0" w:space="0" w:color="auto"/>
        <w:right w:val="none" w:sz="0" w:space="0" w:color="auto"/>
      </w:divBdr>
    </w:div>
    <w:div w:id="1025906801">
      <w:bodyDiv w:val="1"/>
      <w:marLeft w:val="0"/>
      <w:marRight w:val="0"/>
      <w:marTop w:val="0"/>
      <w:marBottom w:val="0"/>
      <w:divBdr>
        <w:top w:val="none" w:sz="0" w:space="0" w:color="auto"/>
        <w:left w:val="none" w:sz="0" w:space="0" w:color="auto"/>
        <w:bottom w:val="none" w:sz="0" w:space="0" w:color="auto"/>
        <w:right w:val="none" w:sz="0" w:space="0" w:color="auto"/>
      </w:divBdr>
      <w:divsChild>
        <w:div w:id="1601644121">
          <w:marLeft w:val="0"/>
          <w:marRight w:val="0"/>
          <w:marTop w:val="0"/>
          <w:marBottom w:val="0"/>
          <w:divBdr>
            <w:top w:val="none" w:sz="0" w:space="0" w:color="auto"/>
            <w:left w:val="none" w:sz="0" w:space="0" w:color="auto"/>
            <w:bottom w:val="none" w:sz="0" w:space="0" w:color="auto"/>
            <w:right w:val="none" w:sz="0" w:space="0" w:color="auto"/>
          </w:divBdr>
          <w:divsChild>
            <w:div w:id="241374465">
              <w:marLeft w:val="0"/>
              <w:marRight w:val="0"/>
              <w:marTop w:val="0"/>
              <w:marBottom w:val="0"/>
              <w:divBdr>
                <w:top w:val="none" w:sz="0" w:space="0" w:color="auto"/>
                <w:left w:val="none" w:sz="0" w:space="0" w:color="auto"/>
                <w:bottom w:val="none" w:sz="0" w:space="0" w:color="auto"/>
                <w:right w:val="none" w:sz="0" w:space="0" w:color="auto"/>
              </w:divBdr>
              <w:divsChild>
                <w:div w:id="41532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234629">
      <w:bodyDiv w:val="1"/>
      <w:marLeft w:val="0"/>
      <w:marRight w:val="0"/>
      <w:marTop w:val="0"/>
      <w:marBottom w:val="0"/>
      <w:divBdr>
        <w:top w:val="none" w:sz="0" w:space="0" w:color="auto"/>
        <w:left w:val="none" w:sz="0" w:space="0" w:color="auto"/>
        <w:bottom w:val="none" w:sz="0" w:space="0" w:color="auto"/>
        <w:right w:val="none" w:sz="0" w:space="0" w:color="auto"/>
      </w:divBdr>
      <w:divsChild>
        <w:div w:id="600375865">
          <w:marLeft w:val="0"/>
          <w:marRight w:val="0"/>
          <w:marTop w:val="0"/>
          <w:marBottom w:val="0"/>
          <w:divBdr>
            <w:top w:val="none" w:sz="0" w:space="0" w:color="auto"/>
            <w:left w:val="none" w:sz="0" w:space="0" w:color="auto"/>
            <w:bottom w:val="none" w:sz="0" w:space="0" w:color="auto"/>
            <w:right w:val="none" w:sz="0" w:space="0" w:color="auto"/>
          </w:divBdr>
          <w:divsChild>
            <w:div w:id="896625762">
              <w:marLeft w:val="0"/>
              <w:marRight w:val="0"/>
              <w:marTop w:val="0"/>
              <w:marBottom w:val="0"/>
              <w:divBdr>
                <w:top w:val="none" w:sz="0" w:space="0" w:color="auto"/>
                <w:left w:val="none" w:sz="0" w:space="0" w:color="auto"/>
                <w:bottom w:val="none" w:sz="0" w:space="0" w:color="auto"/>
                <w:right w:val="none" w:sz="0" w:space="0" w:color="auto"/>
              </w:divBdr>
              <w:divsChild>
                <w:div w:id="1036395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5257445">
      <w:bodyDiv w:val="1"/>
      <w:marLeft w:val="0"/>
      <w:marRight w:val="0"/>
      <w:marTop w:val="0"/>
      <w:marBottom w:val="0"/>
      <w:divBdr>
        <w:top w:val="none" w:sz="0" w:space="0" w:color="auto"/>
        <w:left w:val="none" w:sz="0" w:space="0" w:color="auto"/>
        <w:bottom w:val="none" w:sz="0" w:space="0" w:color="auto"/>
        <w:right w:val="none" w:sz="0" w:space="0" w:color="auto"/>
      </w:divBdr>
      <w:divsChild>
        <w:div w:id="1634558174">
          <w:marLeft w:val="0"/>
          <w:marRight w:val="0"/>
          <w:marTop w:val="0"/>
          <w:marBottom w:val="0"/>
          <w:divBdr>
            <w:top w:val="none" w:sz="0" w:space="0" w:color="auto"/>
            <w:left w:val="none" w:sz="0" w:space="0" w:color="auto"/>
            <w:bottom w:val="none" w:sz="0" w:space="0" w:color="auto"/>
            <w:right w:val="none" w:sz="0" w:space="0" w:color="auto"/>
          </w:divBdr>
          <w:divsChild>
            <w:div w:id="965624812">
              <w:marLeft w:val="0"/>
              <w:marRight w:val="0"/>
              <w:marTop w:val="0"/>
              <w:marBottom w:val="0"/>
              <w:divBdr>
                <w:top w:val="none" w:sz="0" w:space="0" w:color="auto"/>
                <w:left w:val="none" w:sz="0" w:space="0" w:color="auto"/>
                <w:bottom w:val="none" w:sz="0" w:space="0" w:color="auto"/>
                <w:right w:val="none" w:sz="0" w:space="0" w:color="auto"/>
              </w:divBdr>
              <w:divsChild>
                <w:div w:id="1939555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1610379">
      <w:bodyDiv w:val="1"/>
      <w:marLeft w:val="0"/>
      <w:marRight w:val="0"/>
      <w:marTop w:val="0"/>
      <w:marBottom w:val="0"/>
      <w:divBdr>
        <w:top w:val="none" w:sz="0" w:space="0" w:color="auto"/>
        <w:left w:val="none" w:sz="0" w:space="0" w:color="auto"/>
        <w:bottom w:val="none" w:sz="0" w:space="0" w:color="auto"/>
        <w:right w:val="none" w:sz="0" w:space="0" w:color="auto"/>
      </w:divBdr>
      <w:divsChild>
        <w:div w:id="129785601">
          <w:marLeft w:val="0"/>
          <w:marRight w:val="0"/>
          <w:marTop w:val="0"/>
          <w:marBottom w:val="0"/>
          <w:divBdr>
            <w:top w:val="none" w:sz="0" w:space="0" w:color="auto"/>
            <w:left w:val="none" w:sz="0" w:space="0" w:color="auto"/>
            <w:bottom w:val="none" w:sz="0" w:space="0" w:color="auto"/>
            <w:right w:val="none" w:sz="0" w:space="0" w:color="auto"/>
          </w:divBdr>
          <w:divsChild>
            <w:div w:id="496919806">
              <w:marLeft w:val="0"/>
              <w:marRight w:val="0"/>
              <w:marTop w:val="0"/>
              <w:marBottom w:val="0"/>
              <w:divBdr>
                <w:top w:val="none" w:sz="0" w:space="0" w:color="auto"/>
                <w:left w:val="none" w:sz="0" w:space="0" w:color="auto"/>
                <w:bottom w:val="none" w:sz="0" w:space="0" w:color="auto"/>
                <w:right w:val="none" w:sz="0" w:space="0" w:color="auto"/>
              </w:divBdr>
              <w:divsChild>
                <w:div w:id="1015617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2652643">
      <w:bodyDiv w:val="1"/>
      <w:marLeft w:val="0"/>
      <w:marRight w:val="0"/>
      <w:marTop w:val="0"/>
      <w:marBottom w:val="0"/>
      <w:divBdr>
        <w:top w:val="none" w:sz="0" w:space="0" w:color="auto"/>
        <w:left w:val="none" w:sz="0" w:space="0" w:color="auto"/>
        <w:bottom w:val="none" w:sz="0" w:space="0" w:color="auto"/>
        <w:right w:val="none" w:sz="0" w:space="0" w:color="auto"/>
      </w:divBdr>
      <w:divsChild>
        <w:div w:id="1784377874">
          <w:marLeft w:val="0"/>
          <w:marRight w:val="0"/>
          <w:marTop w:val="0"/>
          <w:marBottom w:val="0"/>
          <w:divBdr>
            <w:top w:val="none" w:sz="0" w:space="0" w:color="auto"/>
            <w:left w:val="none" w:sz="0" w:space="0" w:color="auto"/>
            <w:bottom w:val="none" w:sz="0" w:space="0" w:color="auto"/>
            <w:right w:val="none" w:sz="0" w:space="0" w:color="auto"/>
          </w:divBdr>
          <w:divsChild>
            <w:div w:id="18237104">
              <w:marLeft w:val="0"/>
              <w:marRight w:val="0"/>
              <w:marTop w:val="0"/>
              <w:marBottom w:val="0"/>
              <w:divBdr>
                <w:top w:val="none" w:sz="0" w:space="0" w:color="auto"/>
                <w:left w:val="none" w:sz="0" w:space="0" w:color="auto"/>
                <w:bottom w:val="none" w:sz="0" w:space="0" w:color="auto"/>
                <w:right w:val="none" w:sz="0" w:space="0" w:color="auto"/>
              </w:divBdr>
              <w:divsChild>
                <w:div w:id="719943682">
                  <w:marLeft w:val="0"/>
                  <w:marRight w:val="0"/>
                  <w:marTop w:val="0"/>
                  <w:marBottom w:val="0"/>
                  <w:divBdr>
                    <w:top w:val="none" w:sz="0" w:space="0" w:color="auto"/>
                    <w:left w:val="none" w:sz="0" w:space="0" w:color="auto"/>
                    <w:bottom w:val="none" w:sz="0" w:space="0" w:color="auto"/>
                    <w:right w:val="none" w:sz="0" w:space="0" w:color="auto"/>
                  </w:divBdr>
                  <w:divsChild>
                    <w:div w:id="2011175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0325770">
      <w:bodyDiv w:val="1"/>
      <w:marLeft w:val="0"/>
      <w:marRight w:val="0"/>
      <w:marTop w:val="0"/>
      <w:marBottom w:val="0"/>
      <w:divBdr>
        <w:top w:val="none" w:sz="0" w:space="0" w:color="auto"/>
        <w:left w:val="none" w:sz="0" w:space="0" w:color="auto"/>
        <w:bottom w:val="none" w:sz="0" w:space="0" w:color="auto"/>
        <w:right w:val="none" w:sz="0" w:space="0" w:color="auto"/>
      </w:divBdr>
      <w:divsChild>
        <w:div w:id="1036931610">
          <w:marLeft w:val="0"/>
          <w:marRight w:val="0"/>
          <w:marTop w:val="0"/>
          <w:marBottom w:val="0"/>
          <w:divBdr>
            <w:top w:val="none" w:sz="0" w:space="0" w:color="auto"/>
            <w:left w:val="none" w:sz="0" w:space="0" w:color="auto"/>
            <w:bottom w:val="none" w:sz="0" w:space="0" w:color="auto"/>
            <w:right w:val="none" w:sz="0" w:space="0" w:color="auto"/>
          </w:divBdr>
          <w:divsChild>
            <w:div w:id="575895045">
              <w:marLeft w:val="0"/>
              <w:marRight w:val="0"/>
              <w:marTop w:val="0"/>
              <w:marBottom w:val="0"/>
              <w:divBdr>
                <w:top w:val="none" w:sz="0" w:space="0" w:color="auto"/>
                <w:left w:val="none" w:sz="0" w:space="0" w:color="auto"/>
                <w:bottom w:val="none" w:sz="0" w:space="0" w:color="auto"/>
                <w:right w:val="none" w:sz="0" w:space="0" w:color="auto"/>
              </w:divBdr>
              <w:divsChild>
                <w:div w:id="1678343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2775769">
      <w:bodyDiv w:val="1"/>
      <w:marLeft w:val="0"/>
      <w:marRight w:val="0"/>
      <w:marTop w:val="0"/>
      <w:marBottom w:val="0"/>
      <w:divBdr>
        <w:top w:val="none" w:sz="0" w:space="0" w:color="auto"/>
        <w:left w:val="none" w:sz="0" w:space="0" w:color="auto"/>
        <w:bottom w:val="none" w:sz="0" w:space="0" w:color="auto"/>
        <w:right w:val="none" w:sz="0" w:space="0" w:color="auto"/>
      </w:divBdr>
    </w:div>
    <w:div w:id="1095172418">
      <w:bodyDiv w:val="1"/>
      <w:marLeft w:val="0"/>
      <w:marRight w:val="0"/>
      <w:marTop w:val="0"/>
      <w:marBottom w:val="0"/>
      <w:divBdr>
        <w:top w:val="none" w:sz="0" w:space="0" w:color="auto"/>
        <w:left w:val="none" w:sz="0" w:space="0" w:color="auto"/>
        <w:bottom w:val="none" w:sz="0" w:space="0" w:color="auto"/>
        <w:right w:val="none" w:sz="0" w:space="0" w:color="auto"/>
      </w:divBdr>
    </w:div>
    <w:div w:id="1095173448">
      <w:bodyDiv w:val="1"/>
      <w:marLeft w:val="0"/>
      <w:marRight w:val="0"/>
      <w:marTop w:val="0"/>
      <w:marBottom w:val="0"/>
      <w:divBdr>
        <w:top w:val="none" w:sz="0" w:space="0" w:color="auto"/>
        <w:left w:val="none" w:sz="0" w:space="0" w:color="auto"/>
        <w:bottom w:val="none" w:sz="0" w:space="0" w:color="auto"/>
        <w:right w:val="none" w:sz="0" w:space="0" w:color="auto"/>
      </w:divBdr>
      <w:divsChild>
        <w:div w:id="669723409">
          <w:marLeft w:val="0"/>
          <w:marRight w:val="0"/>
          <w:marTop w:val="0"/>
          <w:marBottom w:val="0"/>
          <w:divBdr>
            <w:top w:val="none" w:sz="0" w:space="0" w:color="auto"/>
            <w:left w:val="none" w:sz="0" w:space="0" w:color="auto"/>
            <w:bottom w:val="none" w:sz="0" w:space="0" w:color="auto"/>
            <w:right w:val="none" w:sz="0" w:space="0" w:color="auto"/>
          </w:divBdr>
          <w:divsChild>
            <w:div w:id="1632250287">
              <w:marLeft w:val="0"/>
              <w:marRight w:val="0"/>
              <w:marTop w:val="0"/>
              <w:marBottom w:val="0"/>
              <w:divBdr>
                <w:top w:val="none" w:sz="0" w:space="0" w:color="auto"/>
                <w:left w:val="none" w:sz="0" w:space="0" w:color="auto"/>
                <w:bottom w:val="none" w:sz="0" w:space="0" w:color="auto"/>
                <w:right w:val="none" w:sz="0" w:space="0" w:color="auto"/>
              </w:divBdr>
              <w:divsChild>
                <w:div w:id="1455753085">
                  <w:marLeft w:val="0"/>
                  <w:marRight w:val="0"/>
                  <w:marTop w:val="0"/>
                  <w:marBottom w:val="0"/>
                  <w:divBdr>
                    <w:top w:val="none" w:sz="0" w:space="0" w:color="auto"/>
                    <w:left w:val="none" w:sz="0" w:space="0" w:color="auto"/>
                    <w:bottom w:val="none" w:sz="0" w:space="0" w:color="auto"/>
                    <w:right w:val="none" w:sz="0" w:space="0" w:color="auto"/>
                  </w:divBdr>
                  <w:divsChild>
                    <w:div w:id="400637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3377109">
      <w:bodyDiv w:val="1"/>
      <w:marLeft w:val="0"/>
      <w:marRight w:val="0"/>
      <w:marTop w:val="0"/>
      <w:marBottom w:val="0"/>
      <w:divBdr>
        <w:top w:val="none" w:sz="0" w:space="0" w:color="auto"/>
        <w:left w:val="none" w:sz="0" w:space="0" w:color="auto"/>
        <w:bottom w:val="none" w:sz="0" w:space="0" w:color="auto"/>
        <w:right w:val="none" w:sz="0" w:space="0" w:color="auto"/>
      </w:divBdr>
      <w:divsChild>
        <w:div w:id="605386292">
          <w:marLeft w:val="0"/>
          <w:marRight w:val="0"/>
          <w:marTop w:val="0"/>
          <w:marBottom w:val="0"/>
          <w:divBdr>
            <w:top w:val="none" w:sz="0" w:space="0" w:color="auto"/>
            <w:left w:val="none" w:sz="0" w:space="0" w:color="auto"/>
            <w:bottom w:val="none" w:sz="0" w:space="0" w:color="auto"/>
            <w:right w:val="none" w:sz="0" w:space="0" w:color="auto"/>
          </w:divBdr>
          <w:divsChild>
            <w:div w:id="1553348206">
              <w:marLeft w:val="0"/>
              <w:marRight w:val="0"/>
              <w:marTop w:val="0"/>
              <w:marBottom w:val="0"/>
              <w:divBdr>
                <w:top w:val="none" w:sz="0" w:space="0" w:color="auto"/>
                <w:left w:val="none" w:sz="0" w:space="0" w:color="auto"/>
                <w:bottom w:val="none" w:sz="0" w:space="0" w:color="auto"/>
                <w:right w:val="none" w:sz="0" w:space="0" w:color="auto"/>
              </w:divBdr>
              <w:divsChild>
                <w:div w:id="1518734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1436309">
      <w:bodyDiv w:val="1"/>
      <w:marLeft w:val="0"/>
      <w:marRight w:val="0"/>
      <w:marTop w:val="0"/>
      <w:marBottom w:val="0"/>
      <w:divBdr>
        <w:top w:val="none" w:sz="0" w:space="0" w:color="auto"/>
        <w:left w:val="none" w:sz="0" w:space="0" w:color="auto"/>
        <w:bottom w:val="none" w:sz="0" w:space="0" w:color="auto"/>
        <w:right w:val="none" w:sz="0" w:space="0" w:color="auto"/>
      </w:divBdr>
      <w:divsChild>
        <w:div w:id="1442872761">
          <w:marLeft w:val="0"/>
          <w:marRight w:val="0"/>
          <w:marTop w:val="0"/>
          <w:marBottom w:val="0"/>
          <w:divBdr>
            <w:top w:val="none" w:sz="0" w:space="0" w:color="auto"/>
            <w:left w:val="none" w:sz="0" w:space="0" w:color="auto"/>
            <w:bottom w:val="none" w:sz="0" w:space="0" w:color="auto"/>
            <w:right w:val="none" w:sz="0" w:space="0" w:color="auto"/>
          </w:divBdr>
          <w:divsChild>
            <w:div w:id="1665282254">
              <w:marLeft w:val="0"/>
              <w:marRight w:val="0"/>
              <w:marTop w:val="0"/>
              <w:marBottom w:val="0"/>
              <w:divBdr>
                <w:top w:val="none" w:sz="0" w:space="0" w:color="auto"/>
                <w:left w:val="none" w:sz="0" w:space="0" w:color="auto"/>
                <w:bottom w:val="none" w:sz="0" w:space="0" w:color="auto"/>
                <w:right w:val="none" w:sz="0" w:space="0" w:color="auto"/>
              </w:divBdr>
              <w:divsChild>
                <w:div w:id="1575972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3304865">
      <w:bodyDiv w:val="1"/>
      <w:marLeft w:val="0"/>
      <w:marRight w:val="0"/>
      <w:marTop w:val="0"/>
      <w:marBottom w:val="0"/>
      <w:divBdr>
        <w:top w:val="none" w:sz="0" w:space="0" w:color="auto"/>
        <w:left w:val="none" w:sz="0" w:space="0" w:color="auto"/>
        <w:bottom w:val="none" w:sz="0" w:space="0" w:color="auto"/>
        <w:right w:val="none" w:sz="0" w:space="0" w:color="auto"/>
      </w:divBdr>
      <w:divsChild>
        <w:div w:id="2634260">
          <w:marLeft w:val="0"/>
          <w:marRight w:val="0"/>
          <w:marTop w:val="0"/>
          <w:marBottom w:val="0"/>
          <w:divBdr>
            <w:top w:val="none" w:sz="0" w:space="0" w:color="auto"/>
            <w:left w:val="none" w:sz="0" w:space="0" w:color="auto"/>
            <w:bottom w:val="none" w:sz="0" w:space="0" w:color="auto"/>
            <w:right w:val="none" w:sz="0" w:space="0" w:color="auto"/>
          </w:divBdr>
          <w:divsChild>
            <w:div w:id="1722627839">
              <w:marLeft w:val="0"/>
              <w:marRight w:val="0"/>
              <w:marTop w:val="0"/>
              <w:marBottom w:val="0"/>
              <w:divBdr>
                <w:top w:val="none" w:sz="0" w:space="0" w:color="auto"/>
                <w:left w:val="none" w:sz="0" w:space="0" w:color="auto"/>
                <w:bottom w:val="none" w:sz="0" w:space="0" w:color="auto"/>
                <w:right w:val="none" w:sz="0" w:space="0" w:color="auto"/>
              </w:divBdr>
              <w:divsChild>
                <w:div w:id="244387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8745520">
      <w:bodyDiv w:val="1"/>
      <w:marLeft w:val="0"/>
      <w:marRight w:val="0"/>
      <w:marTop w:val="0"/>
      <w:marBottom w:val="0"/>
      <w:divBdr>
        <w:top w:val="none" w:sz="0" w:space="0" w:color="auto"/>
        <w:left w:val="none" w:sz="0" w:space="0" w:color="auto"/>
        <w:bottom w:val="none" w:sz="0" w:space="0" w:color="auto"/>
        <w:right w:val="none" w:sz="0" w:space="0" w:color="auto"/>
      </w:divBdr>
      <w:divsChild>
        <w:div w:id="2067683773">
          <w:marLeft w:val="0"/>
          <w:marRight w:val="0"/>
          <w:marTop w:val="0"/>
          <w:marBottom w:val="0"/>
          <w:divBdr>
            <w:top w:val="none" w:sz="0" w:space="0" w:color="auto"/>
            <w:left w:val="none" w:sz="0" w:space="0" w:color="auto"/>
            <w:bottom w:val="none" w:sz="0" w:space="0" w:color="auto"/>
            <w:right w:val="none" w:sz="0" w:space="0" w:color="auto"/>
          </w:divBdr>
          <w:divsChild>
            <w:div w:id="698316685">
              <w:marLeft w:val="0"/>
              <w:marRight w:val="0"/>
              <w:marTop w:val="0"/>
              <w:marBottom w:val="0"/>
              <w:divBdr>
                <w:top w:val="none" w:sz="0" w:space="0" w:color="auto"/>
                <w:left w:val="none" w:sz="0" w:space="0" w:color="auto"/>
                <w:bottom w:val="none" w:sz="0" w:space="0" w:color="auto"/>
                <w:right w:val="none" w:sz="0" w:space="0" w:color="auto"/>
              </w:divBdr>
              <w:divsChild>
                <w:div w:id="1101685187">
                  <w:marLeft w:val="0"/>
                  <w:marRight w:val="0"/>
                  <w:marTop w:val="0"/>
                  <w:marBottom w:val="0"/>
                  <w:divBdr>
                    <w:top w:val="none" w:sz="0" w:space="0" w:color="auto"/>
                    <w:left w:val="none" w:sz="0" w:space="0" w:color="auto"/>
                    <w:bottom w:val="none" w:sz="0" w:space="0" w:color="auto"/>
                    <w:right w:val="none" w:sz="0" w:space="0" w:color="auto"/>
                  </w:divBdr>
                  <w:divsChild>
                    <w:div w:id="103464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3212590">
      <w:bodyDiv w:val="1"/>
      <w:marLeft w:val="0"/>
      <w:marRight w:val="0"/>
      <w:marTop w:val="0"/>
      <w:marBottom w:val="0"/>
      <w:divBdr>
        <w:top w:val="none" w:sz="0" w:space="0" w:color="auto"/>
        <w:left w:val="none" w:sz="0" w:space="0" w:color="auto"/>
        <w:bottom w:val="none" w:sz="0" w:space="0" w:color="auto"/>
        <w:right w:val="none" w:sz="0" w:space="0" w:color="auto"/>
      </w:divBdr>
      <w:divsChild>
        <w:div w:id="2068646057">
          <w:marLeft w:val="0"/>
          <w:marRight w:val="0"/>
          <w:marTop w:val="0"/>
          <w:marBottom w:val="0"/>
          <w:divBdr>
            <w:top w:val="none" w:sz="0" w:space="0" w:color="auto"/>
            <w:left w:val="none" w:sz="0" w:space="0" w:color="auto"/>
            <w:bottom w:val="none" w:sz="0" w:space="0" w:color="auto"/>
            <w:right w:val="none" w:sz="0" w:space="0" w:color="auto"/>
          </w:divBdr>
          <w:divsChild>
            <w:div w:id="367337047">
              <w:marLeft w:val="0"/>
              <w:marRight w:val="0"/>
              <w:marTop w:val="0"/>
              <w:marBottom w:val="0"/>
              <w:divBdr>
                <w:top w:val="none" w:sz="0" w:space="0" w:color="auto"/>
                <w:left w:val="none" w:sz="0" w:space="0" w:color="auto"/>
                <w:bottom w:val="none" w:sz="0" w:space="0" w:color="auto"/>
                <w:right w:val="none" w:sz="0" w:space="0" w:color="auto"/>
              </w:divBdr>
              <w:divsChild>
                <w:div w:id="724990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7992014">
      <w:bodyDiv w:val="1"/>
      <w:marLeft w:val="0"/>
      <w:marRight w:val="0"/>
      <w:marTop w:val="0"/>
      <w:marBottom w:val="0"/>
      <w:divBdr>
        <w:top w:val="none" w:sz="0" w:space="0" w:color="auto"/>
        <w:left w:val="none" w:sz="0" w:space="0" w:color="auto"/>
        <w:bottom w:val="none" w:sz="0" w:space="0" w:color="auto"/>
        <w:right w:val="none" w:sz="0" w:space="0" w:color="auto"/>
      </w:divBdr>
    </w:div>
    <w:div w:id="1143041983">
      <w:bodyDiv w:val="1"/>
      <w:marLeft w:val="0"/>
      <w:marRight w:val="0"/>
      <w:marTop w:val="0"/>
      <w:marBottom w:val="0"/>
      <w:divBdr>
        <w:top w:val="none" w:sz="0" w:space="0" w:color="auto"/>
        <w:left w:val="none" w:sz="0" w:space="0" w:color="auto"/>
        <w:bottom w:val="none" w:sz="0" w:space="0" w:color="auto"/>
        <w:right w:val="none" w:sz="0" w:space="0" w:color="auto"/>
      </w:divBdr>
      <w:divsChild>
        <w:div w:id="323053343">
          <w:marLeft w:val="0"/>
          <w:marRight w:val="0"/>
          <w:marTop w:val="0"/>
          <w:marBottom w:val="0"/>
          <w:divBdr>
            <w:top w:val="none" w:sz="0" w:space="0" w:color="auto"/>
            <w:left w:val="none" w:sz="0" w:space="0" w:color="auto"/>
            <w:bottom w:val="none" w:sz="0" w:space="0" w:color="auto"/>
            <w:right w:val="none" w:sz="0" w:space="0" w:color="auto"/>
          </w:divBdr>
          <w:divsChild>
            <w:div w:id="1489980021">
              <w:marLeft w:val="0"/>
              <w:marRight w:val="0"/>
              <w:marTop w:val="0"/>
              <w:marBottom w:val="0"/>
              <w:divBdr>
                <w:top w:val="none" w:sz="0" w:space="0" w:color="auto"/>
                <w:left w:val="none" w:sz="0" w:space="0" w:color="auto"/>
                <w:bottom w:val="none" w:sz="0" w:space="0" w:color="auto"/>
                <w:right w:val="none" w:sz="0" w:space="0" w:color="auto"/>
              </w:divBdr>
              <w:divsChild>
                <w:div w:id="208151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1798042">
      <w:bodyDiv w:val="1"/>
      <w:marLeft w:val="0"/>
      <w:marRight w:val="0"/>
      <w:marTop w:val="0"/>
      <w:marBottom w:val="0"/>
      <w:divBdr>
        <w:top w:val="none" w:sz="0" w:space="0" w:color="auto"/>
        <w:left w:val="none" w:sz="0" w:space="0" w:color="auto"/>
        <w:bottom w:val="none" w:sz="0" w:space="0" w:color="auto"/>
        <w:right w:val="none" w:sz="0" w:space="0" w:color="auto"/>
      </w:divBdr>
      <w:divsChild>
        <w:div w:id="253319366">
          <w:marLeft w:val="0"/>
          <w:marRight w:val="0"/>
          <w:marTop w:val="0"/>
          <w:marBottom w:val="0"/>
          <w:divBdr>
            <w:top w:val="none" w:sz="0" w:space="0" w:color="auto"/>
            <w:left w:val="none" w:sz="0" w:space="0" w:color="auto"/>
            <w:bottom w:val="none" w:sz="0" w:space="0" w:color="auto"/>
            <w:right w:val="none" w:sz="0" w:space="0" w:color="auto"/>
          </w:divBdr>
          <w:divsChild>
            <w:div w:id="432166228">
              <w:marLeft w:val="0"/>
              <w:marRight w:val="0"/>
              <w:marTop w:val="0"/>
              <w:marBottom w:val="0"/>
              <w:divBdr>
                <w:top w:val="none" w:sz="0" w:space="0" w:color="auto"/>
                <w:left w:val="none" w:sz="0" w:space="0" w:color="auto"/>
                <w:bottom w:val="none" w:sz="0" w:space="0" w:color="auto"/>
                <w:right w:val="none" w:sz="0" w:space="0" w:color="auto"/>
              </w:divBdr>
              <w:divsChild>
                <w:div w:id="81801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2479236">
      <w:bodyDiv w:val="1"/>
      <w:marLeft w:val="0"/>
      <w:marRight w:val="0"/>
      <w:marTop w:val="0"/>
      <w:marBottom w:val="0"/>
      <w:divBdr>
        <w:top w:val="none" w:sz="0" w:space="0" w:color="auto"/>
        <w:left w:val="none" w:sz="0" w:space="0" w:color="auto"/>
        <w:bottom w:val="none" w:sz="0" w:space="0" w:color="auto"/>
        <w:right w:val="none" w:sz="0" w:space="0" w:color="auto"/>
      </w:divBdr>
      <w:divsChild>
        <w:div w:id="406537096">
          <w:marLeft w:val="0"/>
          <w:marRight w:val="0"/>
          <w:marTop w:val="0"/>
          <w:marBottom w:val="0"/>
          <w:divBdr>
            <w:top w:val="none" w:sz="0" w:space="0" w:color="auto"/>
            <w:left w:val="none" w:sz="0" w:space="0" w:color="auto"/>
            <w:bottom w:val="none" w:sz="0" w:space="0" w:color="auto"/>
            <w:right w:val="none" w:sz="0" w:space="0" w:color="auto"/>
          </w:divBdr>
          <w:divsChild>
            <w:div w:id="226065010">
              <w:marLeft w:val="0"/>
              <w:marRight w:val="0"/>
              <w:marTop w:val="0"/>
              <w:marBottom w:val="0"/>
              <w:divBdr>
                <w:top w:val="none" w:sz="0" w:space="0" w:color="auto"/>
                <w:left w:val="none" w:sz="0" w:space="0" w:color="auto"/>
                <w:bottom w:val="none" w:sz="0" w:space="0" w:color="auto"/>
                <w:right w:val="none" w:sz="0" w:space="0" w:color="auto"/>
              </w:divBdr>
              <w:divsChild>
                <w:div w:id="23717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3840366">
      <w:bodyDiv w:val="1"/>
      <w:marLeft w:val="0"/>
      <w:marRight w:val="0"/>
      <w:marTop w:val="0"/>
      <w:marBottom w:val="0"/>
      <w:divBdr>
        <w:top w:val="none" w:sz="0" w:space="0" w:color="auto"/>
        <w:left w:val="none" w:sz="0" w:space="0" w:color="auto"/>
        <w:bottom w:val="none" w:sz="0" w:space="0" w:color="auto"/>
        <w:right w:val="none" w:sz="0" w:space="0" w:color="auto"/>
      </w:divBdr>
      <w:divsChild>
        <w:div w:id="1881896823">
          <w:marLeft w:val="0"/>
          <w:marRight w:val="0"/>
          <w:marTop w:val="0"/>
          <w:marBottom w:val="0"/>
          <w:divBdr>
            <w:top w:val="none" w:sz="0" w:space="0" w:color="auto"/>
            <w:left w:val="none" w:sz="0" w:space="0" w:color="auto"/>
            <w:bottom w:val="none" w:sz="0" w:space="0" w:color="auto"/>
            <w:right w:val="none" w:sz="0" w:space="0" w:color="auto"/>
          </w:divBdr>
          <w:divsChild>
            <w:div w:id="1246644072">
              <w:marLeft w:val="0"/>
              <w:marRight w:val="0"/>
              <w:marTop w:val="0"/>
              <w:marBottom w:val="0"/>
              <w:divBdr>
                <w:top w:val="none" w:sz="0" w:space="0" w:color="auto"/>
                <w:left w:val="none" w:sz="0" w:space="0" w:color="auto"/>
                <w:bottom w:val="none" w:sz="0" w:space="0" w:color="auto"/>
                <w:right w:val="none" w:sz="0" w:space="0" w:color="auto"/>
              </w:divBdr>
              <w:divsChild>
                <w:div w:id="652833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1429847">
      <w:bodyDiv w:val="1"/>
      <w:marLeft w:val="0"/>
      <w:marRight w:val="0"/>
      <w:marTop w:val="0"/>
      <w:marBottom w:val="0"/>
      <w:divBdr>
        <w:top w:val="none" w:sz="0" w:space="0" w:color="auto"/>
        <w:left w:val="none" w:sz="0" w:space="0" w:color="auto"/>
        <w:bottom w:val="none" w:sz="0" w:space="0" w:color="auto"/>
        <w:right w:val="none" w:sz="0" w:space="0" w:color="auto"/>
      </w:divBdr>
      <w:divsChild>
        <w:div w:id="1457142266">
          <w:marLeft w:val="0"/>
          <w:marRight w:val="0"/>
          <w:marTop w:val="0"/>
          <w:marBottom w:val="0"/>
          <w:divBdr>
            <w:top w:val="none" w:sz="0" w:space="0" w:color="auto"/>
            <w:left w:val="none" w:sz="0" w:space="0" w:color="auto"/>
            <w:bottom w:val="none" w:sz="0" w:space="0" w:color="auto"/>
            <w:right w:val="none" w:sz="0" w:space="0" w:color="auto"/>
          </w:divBdr>
          <w:divsChild>
            <w:div w:id="938214970">
              <w:marLeft w:val="0"/>
              <w:marRight w:val="0"/>
              <w:marTop w:val="0"/>
              <w:marBottom w:val="0"/>
              <w:divBdr>
                <w:top w:val="none" w:sz="0" w:space="0" w:color="auto"/>
                <w:left w:val="none" w:sz="0" w:space="0" w:color="auto"/>
                <w:bottom w:val="none" w:sz="0" w:space="0" w:color="auto"/>
                <w:right w:val="none" w:sz="0" w:space="0" w:color="auto"/>
              </w:divBdr>
              <w:divsChild>
                <w:div w:id="1805730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477896">
      <w:bodyDiv w:val="1"/>
      <w:marLeft w:val="0"/>
      <w:marRight w:val="0"/>
      <w:marTop w:val="0"/>
      <w:marBottom w:val="0"/>
      <w:divBdr>
        <w:top w:val="none" w:sz="0" w:space="0" w:color="auto"/>
        <w:left w:val="none" w:sz="0" w:space="0" w:color="auto"/>
        <w:bottom w:val="none" w:sz="0" w:space="0" w:color="auto"/>
        <w:right w:val="none" w:sz="0" w:space="0" w:color="auto"/>
      </w:divBdr>
      <w:divsChild>
        <w:div w:id="1962152843">
          <w:marLeft w:val="0"/>
          <w:marRight w:val="0"/>
          <w:marTop w:val="0"/>
          <w:marBottom w:val="0"/>
          <w:divBdr>
            <w:top w:val="none" w:sz="0" w:space="0" w:color="auto"/>
            <w:left w:val="none" w:sz="0" w:space="0" w:color="auto"/>
            <w:bottom w:val="none" w:sz="0" w:space="0" w:color="auto"/>
            <w:right w:val="none" w:sz="0" w:space="0" w:color="auto"/>
          </w:divBdr>
          <w:divsChild>
            <w:div w:id="1996183775">
              <w:marLeft w:val="0"/>
              <w:marRight w:val="0"/>
              <w:marTop w:val="0"/>
              <w:marBottom w:val="0"/>
              <w:divBdr>
                <w:top w:val="none" w:sz="0" w:space="0" w:color="auto"/>
                <w:left w:val="none" w:sz="0" w:space="0" w:color="auto"/>
                <w:bottom w:val="none" w:sz="0" w:space="0" w:color="auto"/>
                <w:right w:val="none" w:sz="0" w:space="0" w:color="auto"/>
              </w:divBdr>
              <w:divsChild>
                <w:div w:id="905065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4609951">
      <w:bodyDiv w:val="1"/>
      <w:marLeft w:val="0"/>
      <w:marRight w:val="0"/>
      <w:marTop w:val="0"/>
      <w:marBottom w:val="0"/>
      <w:divBdr>
        <w:top w:val="none" w:sz="0" w:space="0" w:color="auto"/>
        <w:left w:val="none" w:sz="0" w:space="0" w:color="auto"/>
        <w:bottom w:val="none" w:sz="0" w:space="0" w:color="auto"/>
        <w:right w:val="none" w:sz="0" w:space="0" w:color="auto"/>
      </w:divBdr>
      <w:divsChild>
        <w:div w:id="1210189589">
          <w:marLeft w:val="0"/>
          <w:marRight w:val="0"/>
          <w:marTop w:val="0"/>
          <w:marBottom w:val="0"/>
          <w:divBdr>
            <w:top w:val="none" w:sz="0" w:space="0" w:color="auto"/>
            <w:left w:val="none" w:sz="0" w:space="0" w:color="auto"/>
            <w:bottom w:val="none" w:sz="0" w:space="0" w:color="auto"/>
            <w:right w:val="none" w:sz="0" w:space="0" w:color="auto"/>
          </w:divBdr>
          <w:divsChild>
            <w:div w:id="781150637">
              <w:marLeft w:val="0"/>
              <w:marRight w:val="0"/>
              <w:marTop w:val="0"/>
              <w:marBottom w:val="0"/>
              <w:divBdr>
                <w:top w:val="none" w:sz="0" w:space="0" w:color="auto"/>
                <w:left w:val="none" w:sz="0" w:space="0" w:color="auto"/>
                <w:bottom w:val="none" w:sz="0" w:space="0" w:color="auto"/>
                <w:right w:val="none" w:sz="0" w:space="0" w:color="auto"/>
              </w:divBdr>
              <w:divsChild>
                <w:div w:id="442001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8271240">
      <w:bodyDiv w:val="1"/>
      <w:marLeft w:val="0"/>
      <w:marRight w:val="0"/>
      <w:marTop w:val="0"/>
      <w:marBottom w:val="0"/>
      <w:divBdr>
        <w:top w:val="none" w:sz="0" w:space="0" w:color="auto"/>
        <w:left w:val="none" w:sz="0" w:space="0" w:color="auto"/>
        <w:bottom w:val="none" w:sz="0" w:space="0" w:color="auto"/>
        <w:right w:val="none" w:sz="0" w:space="0" w:color="auto"/>
      </w:divBdr>
    </w:div>
    <w:div w:id="1252084305">
      <w:bodyDiv w:val="1"/>
      <w:marLeft w:val="0"/>
      <w:marRight w:val="0"/>
      <w:marTop w:val="0"/>
      <w:marBottom w:val="0"/>
      <w:divBdr>
        <w:top w:val="none" w:sz="0" w:space="0" w:color="auto"/>
        <w:left w:val="none" w:sz="0" w:space="0" w:color="auto"/>
        <w:bottom w:val="none" w:sz="0" w:space="0" w:color="auto"/>
        <w:right w:val="none" w:sz="0" w:space="0" w:color="auto"/>
      </w:divBdr>
      <w:divsChild>
        <w:div w:id="1830366620">
          <w:marLeft w:val="0"/>
          <w:marRight w:val="0"/>
          <w:marTop w:val="0"/>
          <w:marBottom w:val="0"/>
          <w:divBdr>
            <w:top w:val="none" w:sz="0" w:space="0" w:color="auto"/>
            <w:left w:val="none" w:sz="0" w:space="0" w:color="auto"/>
            <w:bottom w:val="none" w:sz="0" w:space="0" w:color="auto"/>
            <w:right w:val="none" w:sz="0" w:space="0" w:color="auto"/>
          </w:divBdr>
          <w:divsChild>
            <w:div w:id="446311460">
              <w:marLeft w:val="0"/>
              <w:marRight w:val="0"/>
              <w:marTop w:val="0"/>
              <w:marBottom w:val="0"/>
              <w:divBdr>
                <w:top w:val="none" w:sz="0" w:space="0" w:color="auto"/>
                <w:left w:val="none" w:sz="0" w:space="0" w:color="auto"/>
                <w:bottom w:val="none" w:sz="0" w:space="0" w:color="auto"/>
                <w:right w:val="none" w:sz="0" w:space="0" w:color="auto"/>
              </w:divBdr>
              <w:divsChild>
                <w:div w:id="1202478694">
                  <w:marLeft w:val="0"/>
                  <w:marRight w:val="0"/>
                  <w:marTop w:val="0"/>
                  <w:marBottom w:val="0"/>
                  <w:divBdr>
                    <w:top w:val="none" w:sz="0" w:space="0" w:color="auto"/>
                    <w:left w:val="none" w:sz="0" w:space="0" w:color="auto"/>
                    <w:bottom w:val="none" w:sz="0" w:space="0" w:color="auto"/>
                    <w:right w:val="none" w:sz="0" w:space="0" w:color="auto"/>
                  </w:divBdr>
                  <w:divsChild>
                    <w:div w:id="930435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5939933">
      <w:bodyDiv w:val="1"/>
      <w:marLeft w:val="0"/>
      <w:marRight w:val="0"/>
      <w:marTop w:val="0"/>
      <w:marBottom w:val="0"/>
      <w:divBdr>
        <w:top w:val="none" w:sz="0" w:space="0" w:color="auto"/>
        <w:left w:val="none" w:sz="0" w:space="0" w:color="auto"/>
        <w:bottom w:val="none" w:sz="0" w:space="0" w:color="auto"/>
        <w:right w:val="none" w:sz="0" w:space="0" w:color="auto"/>
      </w:divBdr>
      <w:divsChild>
        <w:div w:id="1443065715">
          <w:marLeft w:val="0"/>
          <w:marRight w:val="0"/>
          <w:marTop w:val="0"/>
          <w:marBottom w:val="0"/>
          <w:divBdr>
            <w:top w:val="none" w:sz="0" w:space="0" w:color="auto"/>
            <w:left w:val="none" w:sz="0" w:space="0" w:color="auto"/>
            <w:bottom w:val="none" w:sz="0" w:space="0" w:color="auto"/>
            <w:right w:val="none" w:sz="0" w:space="0" w:color="auto"/>
          </w:divBdr>
          <w:divsChild>
            <w:div w:id="1697002218">
              <w:marLeft w:val="0"/>
              <w:marRight w:val="0"/>
              <w:marTop w:val="0"/>
              <w:marBottom w:val="0"/>
              <w:divBdr>
                <w:top w:val="none" w:sz="0" w:space="0" w:color="auto"/>
                <w:left w:val="none" w:sz="0" w:space="0" w:color="auto"/>
                <w:bottom w:val="none" w:sz="0" w:space="0" w:color="auto"/>
                <w:right w:val="none" w:sz="0" w:space="0" w:color="auto"/>
              </w:divBdr>
              <w:divsChild>
                <w:div w:id="996231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4142410">
      <w:bodyDiv w:val="1"/>
      <w:marLeft w:val="0"/>
      <w:marRight w:val="0"/>
      <w:marTop w:val="0"/>
      <w:marBottom w:val="0"/>
      <w:divBdr>
        <w:top w:val="none" w:sz="0" w:space="0" w:color="auto"/>
        <w:left w:val="none" w:sz="0" w:space="0" w:color="auto"/>
        <w:bottom w:val="none" w:sz="0" w:space="0" w:color="auto"/>
        <w:right w:val="none" w:sz="0" w:space="0" w:color="auto"/>
      </w:divBdr>
      <w:divsChild>
        <w:div w:id="1193808289">
          <w:marLeft w:val="0"/>
          <w:marRight w:val="0"/>
          <w:marTop w:val="0"/>
          <w:marBottom w:val="0"/>
          <w:divBdr>
            <w:top w:val="none" w:sz="0" w:space="0" w:color="auto"/>
            <w:left w:val="none" w:sz="0" w:space="0" w:color="auto"/>
            <w:bottom w:val="none" w:sz="0" w:space="0" w:color="auto"/>
            <w:right w:val="none" w:sz="0" w:space="0" w:color="auto"/>
          </w:divBdr>
          <w:divsChild>
            <w:div w:id="1070809982">
              <w:marLeft w:val="0"/>
              <w:marRight w:val="0"/>
              <w:marTop w:val="0"/>
              <w:marBottom w:val="0"/>
              <w:divBdr>
                <w:top w:val="none" w:sz="0" w:space="0" w:color="auto"/>
                <w:left w:val="none" w:sz="0" w:space="0" w:color="auto"/>
                <w:bottom w:val="none" w:sz="0" w:space="0" w:color="auto"/>
                <w:right w:val="none" w:sz="0" w:space="0" w:color="auto"/>
              </w:divBdr>
              <w:divsChild>
                <w:div w:id="444082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3682512">
      <w:bodyDiv w:val="1"/>
      <w:marLeft w:val="0"/>
      <w:marRight w:val="0"/>
      <w:marTop w:val="0"/>
      <w:marBottom w:val="0"/>
      <w:divBdr>
        <w:top w:val="none" w:sz="0" w:space="0" w:color="auto"/>
        <w:left w:val="none" w:sz="0" w:space="0" w:color="auto"/>
        <w:bottom w:val="none" w:sz="0" w:space="0" w:color="auto"/>
        <w:right w:val="none" w:sz="0" w:space="0" w:color="auto"/>
      </w:divBdr>
      <w:divsChild>
        <w:div w:id="1546718384">
          <w:marLeft w:val="0"/>
          <w:marRight w:val="0"/>
          <w:marTop w:val="0"/>
          <w:marBottom w:val="0"/>
          <w:divBdr>
            <w:top w:val="none" w:sz="0" w:space="0" w:color="auto"/>
            <w:left w:val="none" w:sz="0" w:space="0" w:color="auto"/>
            <w:bottom w:val="none" w:sz="0" w:space="0" w:color="auto"/>
            <w:right w:val="none" w:sz="0" w:space="0" w:color="auto"/>
          </w:divBdr>
          <w:divsChild>
            <w:div w:id="103427271">
              <w:marLeft w:val="0"/>
              <w:marRight w:val="0"/>
              <w:marTop w:val="0"/>
              <w:marBottom w:val="0"/>
              <w:divBdr>
                <w:top w:val="none" w:sz="0" w:space="0" w:color="auto"/>
                <w:left w:val="none" w:sz="0" w:space="0" w:color="auto"/>
                <w:bottom w:val="none" w:sz="0" w:space="0" w:color="auto"/>
                <w:right w:val="none" w:sz="0" w:space="0" w:color="auto"/>
              </w:divBdr>
              <w:divsChild>
                <w:div w:id="1975477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396730">
      <w:bodyDiv w:val="1"/>
      <w:marLeft w:val="0"/>
      <w:marRight w:val="0"/>
      <w:marTop w:val="0"/>
      <w:marBottom w:val="0"/>
      <w:divBdr>
        <w:top w:val="none" w:sz="0" w:space="0" w:color="auto"/>
        <w:left w:val="none" w:sz="0" w:space="0" w:color="auto"/>
        <w:bottom w:val="none" w:sz="0" w:space="0" w:color="auto"/>
        <w:right w:val="none" w:sz="0" w:space="0" w:color="auto"/>
      </w:divBdr>
      <w:divsChild>
        <w:div w:id="394939743">
          <w:marLeft w:val="0"/>
          <w:marRight w:val="0"/>
          <w:marTop w:val="0"/>
          <w:marBottom w:val="0"/>
          <w:divBdr>
            <w:top w:val="none" w:sz="0" w:space="0" w:color="auto"/>
            <w:left w:val="none" w:sz="0" w:space="0" w:color="auto"/>
            <w:bottom w:val="none" w:sz="0" w:space="0" w:color="auto"/>
            <w:right w:val="none" w:sz="0" w:space="0" w:color="auto"/>
          </w:divBdr>
          <w:divsChild>
            <w:div w:id="2114935264">
              <w:marLeft w:val="0"/>
              <w:marRight w:val="0"/>
              <w:marTop w:val="0"/>
              <w:marBottom w:val="0"/>
              <w:divBdr>
                <w:top w:val="none" w:sz="0" w:space="0" w:color="auto"/>
                <w:left w:val="none" w:sz="0" w:space="0" w:color="auto"/>
                <w:bottom w:val="none" w:sz="0" w:space="0" w:color="auto"/>
                <w:right w:val="none" w:sz="0" w:space="0" w:color="auto"/>
              </w:divBdr>
              <w:divsChild>
                <w:div w:id="910963415">
                  <w:marLeft w:val="0"/>
                  <w:marRight w:val="0"/>
                  <w:marTop w:val="0"/>
                  <w:marBottom w:val="0"/>
                  <w:divBdr>
                    <w:top w:val="none" w:sz="0" w:space="0" w:color="auto"/>
                    <w:left w:val="none" w:sz="0" w:space="0" w:color="auto"/>
                    <w:bottom w:val="none" w:sz="0" w:space="0" w:color="auto"/>
                    <w:right w:val="none" w:sz="0" w:space="0" w:color="auto"/>
                  </w:divBdr>
                  <w:divsChild>
                    <w:div w:id="566233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7561098">
      <w:bodyDiv w:val="1"/>
      <w:marLeft w:val="0"/>
      <w:marRight w:val="0"/>
      <w:marTop w:val="0"/>
      <w:marBottom w:val="0"/>
      <w:divBdr>
        <w:top w:val="none" w:sz="0" w:space="0" w:color="auto"/>
        <w:left w:val="none" w:sz="0" w:space="0" w:color="auto"/>
        <w:bottom w:val="none" w:sz="0" w:space="0" w:color="auto"/>
        <w:right w:val="none" w:sz="0" w:space="0" w:color="auto"/>
      </w:divBdr>
      <w:divsChild>
        <w:div w:id="1844005134">
          <w:marLeft w:val="0"/>
          <w:marRight w:val="0"/>
          <w:marTop w:val="0"/>
          <w:marBottom w:val="0"/>
          <w:divBdr>
            <w:top w:val="none" w:sz="0" w:space="0" w:color="auto"/>
            <w:left w:val="none" w:sz="0" w:space="0" w:color="auto"/>
            <w:bottom w:val="none" w:sz="0" w:space="0" w:color="auto"/>
            <w:right w:val="none" w:sz="0" w:space="0" w:color="auto"/>
          </w:divBdr>
          <w:divsChild>
            <w:div w:id="614099338">
              <w:marLeft w:val="0"/>
              <w:marRight w:val="0"/>
              <w:marTop w:val="0"/>
              <w:marBottom w:val="0"/>
              <w:divBdr>
                <w:top w:val="none" w:sz="0" w:space="0" w:color="auto"/>
                <w:left w:val="none" w:sz="0" w:space="0" w:color="auto"/>
                <w:bottom w:val="none" w:sz="0" w:space="0" w:color="auto"/>
                <w:right w:val="none" w:sz="0" w:space="0" w:color="auto"/>
              </w:divBdr>
              <w:divsChild>
                <w:div w:id="1919361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4821672">
      <w:bodyDiv w:val="1"/>
      <w:marLeft w:val="0"/>
      <w:marRight w:val="0"/>
      <w:marTop w:val="0"/>
      <w:marBottom w:val="0"/>
      <w:divBdr>
        <w:top w:val="none" w:sz="0" w:space="0" w:color="auto"/>
        <w:left w:val="none" w:sz="0" w:space="0" w:color="auto"/>
        <w:bottom w:val="none" w:sz="0" w:space="0" w:color="auto"/>
        <w:right w:val="none" w:sz="0" w:space="0" w:color="auto"/>
      </w:divBdr>
      <w:divsChild>
        <w:div w:id="164709439">
          <w:marLeft w:val="0"/>
          <w:marRight w:val="0"/>
          <w:marTop w:val="0"/>
          <w:marBottom w:val="0"/>
          <w:divBdr>
            <w:top w:val="none" w:sz="0" w:space="0" w:color="auto"/>
            <w:left w:val="none" w:sz="0" w:space="0" w:color="auto"/>
            <w:bottom w:val="none" w:sz="0" w:space="0" w:color="auto"/>
            <w:right w:val="none" w:sz="0" w:space="0" w:color="auto"/>
          </w:divBdr>
          <w:divsChild>
            <w:div w:id="1239706772">
              <w:marLeft w:val="0"/>
              <w:marRight w:val="0"/>
              <w:marTop w:val="0"/>
              <w:marBottom w:val="0"/>
              <w:divBdr>
                <w:top w:val="none" w:sz="0" w:space="0" w:color="auto"/>
                <w:left w:val="none" w:sz="0" w:space="0" w:color="auto"/>
                <w:bottom w:val="none" w:sz="0" w:space="0" w:color="auto"/>
                <w:right w:val="none" w:sz="0" w:space="0" w:color="auto"/>
              </w:divBdr>
              <w:divsChild>
                <w:div w:id="1151556606">
                  <w:marLeft w:val="0"/>
                  <w:marRight w:val="0"/>
                  <w:marTop w:val="0"/>
                  <w:marBottom w:val="0"/>
                  <w:divBdr>
                    <w:top w:val="none" w:sz="0" w:space="0" w:color="auto"/>
                    <w:left w:val="none" w:sz="0" w:space="0" w:color="auto"/>
                    <w:bottom w:val="none" w:sz="0" w:space="0" w:color="auto"/>
                    <w:right w:val="none" w:sz="0" w:space="0" w:color="auto"/>
                  </w:divBdr>
                  <w:divsChild>
                    <w:div w:id="1345547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9625345">
      <w:bodyDiv w:val="1"/>
      <w:marLeft w:val="0"/>
      <w:marRight w:val="0"/>
      <w:marTop w:val="0"/>
      <w:marBottom w:val="0"/>
      <w:divBdr>
        <w:top w:val="none" w:sz="0" w:space="0" w:color="auto"/>
        <w:left w:val="none" w:sz="0" w:space="0" w:color="auto"/>
        <w:bottom w:val="none" w:sz="0" w:space="0" w:color="auto"/>
        <w:right w:val="none" w:sz="0" w:space="0" w:color="auto"/>
      </w:divBdr>
      <w:divsChild>
        <w:div w:id="364865051">
          <w:marLeft w:val="0"/>
          <w:marRight w:val="0"/>
          <w:marTop w:val="0"/>
          <w:marBottom w:val="0"/>
          <w:divBdr>
            <w:top w:val="none" w:sz="0" w:space="0" w:color="auto"/>
            <w:left w:val="none" w:sz="0" w:space="0" w:color="auto"/>
            <w:bottom w:val="none" w:sz="0" w:space="0" w:color="auto"/>
            <w:right w:val="none" w:sz="0" w:space="0" w:color="auto"/>
          </w:divBdr>
          <w:divsChild>
            <w:div w:id="294722649">
              <w:marLeft w:val="0"/>
              <w:marRight w:val="0"/>
              <w:marTop w:val="0"/>
              <w:marBottom w:val="0"/>
              <w:divBdr>
                <w:top w:val="none" w:sz="0" w:space="0" w:color="auto"/>
                <w:left w:val="none" w:sz="0" w:space="0" w:color="auto"/>
                <w:bottom w:val="none" w:sz="0" w:space="0" w:color="auto"/>
                <w:right w:val="none" w:sz="0" w:space="0" w:color="auto"/>
              </w:divBdr>
              <w:divsChild>
                <w:div w:id="466164755">
                  <w:marLeft w:val="0"/>
                  <w:marRight w:val="0"/>
                  <w:marTop w:val="0"/>
                  <w:marBottom w:val="0"/>
                  <w:divBdr>
                    <w:top w:val="none" w:sz="0" w:space="0" w:color="auto"/>
                    <w:left w:val="none" w:sz="0" w:space="0" w:color="auto"/>
                    <w:bottom w:val="none" w:sz="0" w:space="0" w:color="auto"/>
                    <w:right w:val="none" w:sz="0" w:space="0" w:color="auto"/>
                  </w:divBdr>
                  <w:divsChild>
                    <w:div w:id="491600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2390157">
      <w:bodyDiv w:val="1"/>
      <w:marLeft w:val="0"/>
      <w:marRight w:val="0"/>
      <w:marTop w:val="0"/>
      <w:marBottom w:val="0"/>
      <w:divBdr>
        <w:top w:val="none" w:sz="0" w:space="0" w:color="auto"/>
        <w:left w:val="none" w:sz="0" w:space="0" w:color="auto"/>
        <w:bottom w:val="none" w:sz="0" w:space="0" w:color="auto"/>
        <w:right w:val="none" w:sz="0" w:space="0" w:color="auto"/>
      </w:divBdr>
      <w:divsChild>
        <w:div w:id="1867868606">
          <w:marLeft w:val="0"/>
          <w:marRight w:val="0"/>
          <w:marTop w:val="0"/>
          <w:marBottom w:val="0"/>
          <w:divBdr>
            <w:top w:val="none" w:sz="0" w:space="0" w:color="auto"/>
            <w:left w:val="none" w:sz="0" w:space="0" w:color="auto"/>
            <w:bottom w:val="none" w:sz="0" w:space="0" w:color="auto"/>
            <w:right w:val="none" w:sz="0" w:space="0" w:color="auto"/>
          </w:divBdr>
          <w:divsChild>
            <w:div w:id="904528021">
              <w:marLeft w:val="0"/>
              <w:marRight w:val="0"/>
              <w:marTop w:val="0"/>
              <w:marBottom w:val="0"/>
              <w:divBdr>
                <w:top w:val="none" w:sz="0" w:space="0" w:color="auto"/>
                <w:left w:val="none" w:sz="0" w:space="0" w:color="auto"/>
                <w:bottom w:val="none" w:sz="0" w:space="0" w:color="auto"/>
                <w:right w:val="none" w:sz="0" w:space="0" w:color="auto"/>
              </w:divBdr>
              <w:divsChild>
                <w:div w:id="472186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8215630">
      <w:bodyDiv w:val="1"/>
      <w:marLeft w:val="0"/>
      <w:marRight w:val="0"/>
      <w:marTop w:val="0"/>
      <w:marBottom w:val="0"/>
      <w:divBdr>
        <w:top w:val="none" w:sz="0" w:space="0" w:color="auto"/>
        <w:left w:val="none" w:sz="0" w:space="0" w:color="auto"/>
        <w:bottom w:val="none" w:sz="0" w:space="0" w:color="auto"/>
        <w:right w:val="none" w:sz="0" w:space="0" w:color="auto"/>
      </w:divBdr>
    </w:div>
    <w:div w:id="1348216351">
      <w:bodyDiv w:val="1"/>
      <w:marLeft w:val="0"/>
      <w:marRight w:val="0"/>
      <w:marTop w:val="0"/>
      <w:marBottom w:val="0"/>
      <w:divBdr>
        <w:top w:val="none" w:sz="0" w:space="0" w:color="auto"/>
        <w:left w:val="none" w:sz="0" w:space="0" w:color="auto"/>
        <w:bottom w:val="none" w:sz="0" w:space="0" w:color="auto"/>
        <w:right w:val="none" w:sz="0" w:space="0" w:color="auto"/>
      </w:divBdr>
    </w:div>
    <w:div w:id="1362318215">
      <w:bodyDiv w:val="1"/>
      <w:marLeft w:val="0"/>
      <w:marRight w:val="0"/>
      <w:marTop w:val="0"/>
      <w:marBottom w:val="0"/>
      <w:divBdr>
        <w:top w:val="none" w:sz="0" w:space="0" w:color="auto"/>
        <w:left w:val="none" w:sz="0" w:space="0" w:color="auto"/>
        <w:bottom w:val="none" w:sz="0" w:space="0" w:color="auto"/>
        <w:right w:val="none" w:sz="0" w:space="0" w:color="auto"/>
      </w:divBdr>
      <w:divsChild>
        <w:div w:id="598878957">
          <w:marLeft w:val="0"/>
          <w:marRight w:val="0"/>
          <w:marTop w:val="0"/>
          <w:marBottom w:val="0"/>
          <w:divBdr>
            <w:top w:val="none" w:sz="0" w:space="0" w:color="auto"/>
            <w:left w:val="none" w:sz="0" w:space="0" w:color="auto"/>
            <w:bottom w:val="none" w:sz="0" w:space="0" w:color="auto"/>
            <w:right w:val="none" w:sz="0" w:space="0" w:color="auto"/>
          </w:divBdr>
          <w:divsChild>
            <w:div w:id="1596017967">
              <w:marLeft w:val="0"/>
              <w:marRight w:val="0"/>
              <w:marTop w:val="0"/>
              <w:marBottom w:val="0"/>
              <w:divBdr>
                <w:top w:val="none" w:sz="0" w:space="0" w:color="auto"/>
                <w:left w:val="none" w:sz="0" w:space="0" w:color="auto"/>
                <w:bottom w:val="none" w:sz="0" w:space="0" w:color="auto"/>
                <w:right w:val="none" w:sz="0" w:space="0" w:color="auto"/>
              </w:divBdr>
              <w:divsChild>
                <w:div w:id="1076782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673267">
      <w:bodyDiv w:val="1"/>
      <w:marLeft w:val="0"/>
      <w:marRight w:val="0"/>
      <w:marTop w:val="0"/>
      <w:marBottom w:val="0"/>
      <w:divBdr>
        <w:top w:val="none" w:sz="0" w:space="0" w:color="auto"/>
        <w:left w:val="none" w:sz="0" w:space="0" w:color="auto"/>
        <w:bottom w:val="none" w:sz="0" w:space="0" w:color="auto"/>
        <w:right w:val="none" w:sz="0" w:space="0" w:color="auto"/>
      </w:divBdr>
      <w:divsChild>
        <w:div w:id="2080445453">
          <w:marLeft w:val="0"/>
          <w:marRight w:val="0"/>
          <w:marTop w:val="0"/>
          <w:marBottom w:val="0"/>
          <w:divBdr>
            <w:top w:val="none" w:sz="0" w:space="0" w:color="auto"/>
            <w:left w:val="none" w:sz="0" w:space="0" w:color="auto"/>
            <w:bottom w:val="none" w:sz="0" w:space="0" w:color="auto"/>
            <w:right w:val="none" w:sz="0" w:space="0" w:color="auto"/>
          </w:divBdr>
          <w:divsChild>
            <w:div w:id="1297644673">
              <w:marLeft w:val="0"/>
              <w:marRight w:val="0"/>
              <w:marTop w:val="0"/>
              <w:marBottom w:val="0"/>
              <w:divBdr>
                <w:top w:val="none" w:sz="0" w:space="0" w:color="auto"/>
                <w:left w:val="none" w:sz="0" w:space="0" w:color="auto"/>
                <w:bottom w:val="none" w:sz="0" w:space="0" w:color="auto"/>
                <w:right w:val="none" w:sz="0" w:space="0" w:color="auto"/>
              </w:divBdr>
              <w:divsChild>
                <w:div w:id="2141411913">
                  <w:marLeft w:val="0"/>
                  <w:marRight w:val="0"/>
                  <w:marTop w:val="0"/>
                  <w:marBottom w:val="0"/>
                  <w:divBdr>
                    <w:top w:val="none" w:sz="0" w:space="0" w:color="auto"/>
                    <w:left w:val="none" w:sz="0" w:space="0" w:color="auto"/>
                    <w:bottom w:val="none" w:sz="0" w:space="0" w:color="auto"/>
                    <w:right w:val="none" w:sz="0" w:space="0" w:color="auto"/>
                  </w:divBdr>
                  <w:divsChild>
                    <w:div w:id="2108425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7366695">
      <w:bodyDiv w:val="1"/>
      <w:marLeft w:val="0"/>
      <w:marRight w:val="0"/>
      <w:marTop w:val="0"/>
      <w:marBottom w:val="0"/>
      <w:divBdr>
        <w:top w:val="none" w:sz="0" w:space="0" w:color="auto"/>
        <w:left w:val="none" w:sz="0" w:space="0" w:color="auto"/>
        <w:bottom w:val="none" w:sz="0" w:space="0" w:color="auto"/>
        <w:right w:val="none" w:sz="0" w:space="0" w:color="auto"/>
      </w:divBdr>
      <w:divsChild>
        <w:div w:id="1820926960">
          <w:marLeft w:val="0"/>
          <w:marRight w:val="0"/>
          <w:marTop w:val="0"/>
          <w:marBottom w:val="0"/>
          <w:divBdr>
            <w:top w:val="none" w:sz="0" w:space="0" w:color="auto"/>
            <w:left w:val="none" w:sz="0" w:space="0" w:color="auto"/>
            <w:bottom w:val="none" w:sz="0" w:space="0" w:color="auto"/>
            <w:right w:val="none" w:sz="0" w:space="0" w:color="auto"/>
          </w:divBdr>
          <w:divsChild>
            <w:div w:id="752822421">
              <w:marLeft w:val="0"/>
              <w:marRight w:val="0"/>
              <w:marTop w:val="0"/>
              <w:marBottom w:val="0"/>
              <w:divBdr>
                <w:top w:val="none" w:sz="0" w:space="0" w:color="auto"/>
                <w:left w:val="none" w:sz="0" w:space="0" w:color="auto"/>
                <w:bottom w:val="none" w:sz="0" w:space="0" w:color="auto"/>
                <w:right w:val="none" w:sz="0" w:space="0" w:color="auto"/>
              </w:divBdr>
              <w:divsChild>
                <w:div w:id="658733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9841406">
      <w:bodyDiv w:val="1"/>
      <w:marLeft w:val="0"/>
      <w:marRight w:val="0"/>
      <w:marTop w:val="0"/>
      <w:marBottom w:val="0"/>
      <w:divBdr>
        <w:top w:val="none" w:sz="0" w:space="0" w:color="auto"/>
        <w:left w:val="none" w:sz="0" w:space="0" w:color="auto"/>
        <w:bottom w:val="none" w:sz="0" w:space="0" w:color="auto"/>
        <w:right w:val="none" w:sz="0" w:space="0" w:color="auto"/>
      </w:divBdr>
    </w:div>
    <w:div w:id="1375078434">
      <w:bodyDiv w:val="1"/>
      <w:marLeft w:val="0"/>
      <w:marRight w:val="0"/>
      <w:marTop w:val="0"/>
      <w:marBottom w:val="0"/>
      <w:divBdr>
        <w:top w:val="none" w:sz="0" w:space="0" w:color="auto"/>
        <w:left w:val="none" w:sz="0" w:space="0" w:color="auto"/>
        <w:bottom w:val="none" w:sz="0" w:space="0" w:color="auto"/>
        <w:right w:val="none" w:sz="0" w:space="0" w:color="auto"/>
      </w:divBdr>
      <w:divsChild>
        <w:div w:id="1823885075">
          <w:marLeft w:val="0"/>
          <w:marRight w:val="0"/>
          <w:marTop w:val="0"/>
          <w:marBottom w:val="0"/>
          <w:divBdr>
            <w:top w:val="none" w:sz="0" w:space="0" w:color="auto"/>
            <w:left w:val="none" w:sz="0" w:space="0" w:color="auto"/>
            <w:bottom w:val="none" w:sz="0" w:space="0" w:color="auto"/>
            <w:right w:val="none" w:sz="0" w:space="0" w:color="auto"/>
          </w:divBdr>
          <w:divsChild>
            <w:div w:id="1545099326">
              <w:marLeft w:val="0"/>
              <w:marRight w:val="0"/>
              <w:marTop w:val="0"/>
              <w:marBottom w:val="0"/>
              <w:divBdr>
                <w:top w:val="none" w:sz="0" w:space="0" w:color="auto"/>
                <w:left w:val="none" w:sz="0" w:space="0" w:color="auto"/>
                <w:bottom w:val="none" w:sz="0" w:space="0" w:color="auto"/>
                <w:right w:val="none" w:sz="0" w:space="0" w:color="auto"/>
              </w:divBdr>
              <w:divsChild>
                <w:div w:id="528374346">
                  <w:marLeft w:val="0"/>
                  <w:marRight w:val="0"/>
                  <w:marTop w:val="0"/>
                  <w:marBottom w:val="0"/>
                  <w:divBdr>
                    <w:top w:val="none" w:sz="0" w:space="0" w:color="auto"/>
                    <w:left w:val="none" w:sz="0" w:space="0" w:color="auto"/>
                    <w:bottom w:val="none" w:sz="0" w:space="0" w:color="auto"/>
                    <w:right w:val="none" w:sz="0" w:space="0" w:color="auto"/>
                  </w:divBdr>
                </w:div>
                <w:div w:id="801923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8621048">
      <w:bodyDiv w:val="1"/>
      <w:marLeft w:val="0"/>
      <w:marRight w:val="0"/>
      <w:marTop w:val="0"/>
      <w:marBottom w:val="0"/>
      <w:divBdr>
        <w:top w:val="none" w:sz="0" w:space="0" w:color="auto"/>
        <w:left w:val="none" w:sz="0" w:space="0" w:color="auto"/>
        <w:bottom w:val="none" w:sz="0" w:space="0" w:color="auto"/>
        <w:right w:val="none" w:sz="0" w:space="0" w:color="auto"/>
      </w:divBdr>
      <w:divsChild>
        <w:div w:id="1622036071">
          <w:marLeft w:val="0"/>
          <w:marRight w:val="0"/>
          <w:marTop w:val="0"/>
          <w:marBottom w:val="0"/>
          <w:divBdr>
            <w:top w:val="none" w:sz="0" w:space="0" w:color="auto"/>
            <w:left w:val="none" w:sz="0" w:space="0" w:color="auto"/>
            <w:bottom w:val="none" w:sz="0" w:space="0" w:color="auto"/>
            <w:right w:val="none" w:sz="0" w:space="0" w:color="auto"/>
          </w:divBdr>
          <w:divsChild>
            <w:div w:id="65225638">
              <w:marLeft w:val="0"/>
              <w:marRight w:val="0"/>
              <w:marTop w:val="0"/>
              <w:marBottom w:val="0"/>
              <w:divBdr>
                <w:top w:val="none" w:sz="0" w:space="0" w:color="auto"/>
                <w:left w:val="none" w:sz="0" w:space="0" w:color="auto"/>
                <w:bottom w:val="none" w:sz="0" w:space="0" w:color="auto"/>
                <w:right w:val="none" w:sz="0" w:space="0" w:color="auto"/>
              </w:divBdr>
              <w:divsChild>
                <w:div w:id="79717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1733999">
      <w:bodyDiv w:val="1"/>
      <w:marLeft w:val="0"/>
      <w:marRight w:val="0"/>
      <w:marTop w:val="0"/>
      <w:marBottom w:val="0"/>
      <w:divBdr>
        <w:top w:val="none" w:sz="0" w:space="0" w:color="auto"/>
        <w:left w:val="none" w:sz="0" w:space="0" w:color="auto"/>
        <w:bottom w:val="none" w:sz="0" w:space="0" w:color="auto"/>
        <w:right w:val="none" w:sz="0" w:space="0" w:color="auto"/>
      </w:divBdr>
    </w:div>
    <w:div w:id="1408531600">
      <w:bodyDiv w:val="1"/>
      <w:marLeft w:val="0"/>
      <w:marRight w:val="0"/>
      <w:marTop w:val="0"/>
      <w:marBottom w:val="0"/>
      <w:divBdr>
        <w:top w:val="none" w:sz="0" w:space="0" w:color="auto"/>
        <w:left w:val="none" w:sz="0" w:space="0" w:color="auto"/>
        <w:bottom w:val="none" w:sz="0" w:space="0" w:color="auto"/>
        <w:right w:val="none" w:sz="0" w:space="0" w:color="auto"/>
      </w:divBdr>
      <w:divsChild>
        <w:div w:id="476069317">
          <w:marLeft w:val="0"/>
          <w:marRight w:val="0"/>
          <w:marTop w:val="0"/>
          <w:marBottom w:val="0"/>
          <w:divBdr>
            <w:top w:val="none" w:sz="0" w:space="0" w:color="auto"/>
            <w:left w:val="none" w:sz="0" w:space="0" w:color="auto"/>
            <w:bottom w:val="none" w:sz="0" w:space="0" w:color="auto"/>
            <w:right w:val="none" w:sz="0" w:space="0" w:color="auto"/>
          </w:divBdr>
          <w:divsChild>
            <w:div w:id="1906798147">
              <w:marLeft w:val="0"/>
              <w:marRight w:val="0"/>
              <w:marTop w:val="0"/>
              <w:marBottom w:val="0"/>
              <w:divBdr>
                <w:top w:val="none" w:sz="0" w:space="0" w:color="auto"/>
                <w:left w:val="none" w:sz="0" w:space="0" w:color="auto"/>
                <w:bottom w:val="none" w:sz="0" w:space="0" w:color="auto"/>
                <w:right w:val="none" w:sz="0" w:space="0" w:color="auto"/>
              </w:divBdr>
              <w:divsChild>
                <w:div w:id="1293943571">
                  <w:marLeft w:val="0"/>
                  <w:marRight w:val="0"/>
                  <w:marTop w:val="0"/>
                  <w:marBottom w:val="0"/>
                  <w:divBdr>
                    <w:top w:val="none" w:sz="0" w:space="0" w:color="auto"/>
                    <w:left w:val="none" w:sz="0" w:space="0" w:color="auto"/>
                    <w:bottom w:val="none" w:sz="0" w:space="0" w:color="auto"/>
                    <w:right w:val="none" w:sz="0" w:space="0" w:color="auto"/>
                  </w:divBdr>
                  <w:divsChild>
                    <w:div w:id="188567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2435646">
      <w:bodyDiv w:val="1"/>
      <w:marLeft w:val="0"/>
      <w:marRight w:val="0"/>
      <w:marTop w:val="0"/>
      <w:marBottom w:val="0"/>
      <w:divBdr>
        <w:top w:val="none" w:sz="0" w:space="0" w:color="auto"/>
        <w:left w:val="none" w:sz="0" w:space="0" w:color="auto"/>
        <w:bottom w:val="none" w:sz="0" w:space="0" w:color="auto"/>
        <w:right w:val="none" w:sz="0" w:space="0" w:color="auto"/>
      </w:divBdr>
      <w:divsChild>
        <w:div w:id="1763722007">
          <w:marLeft w:val="0"/>
          <w:marRight w:val="0"/>
          <w:marTop w:val="0"/>
          <w:marBottom w:val="0"/>
          <w:divBdr>
            <w:top w:val="none" w:sz="0" w:space="0" w:color="auto"/>
            <w:left w:val="none" w:sz="0" w:space="0" w:color="auto"/>
            <w:bottom w:val="none" w:sz="0" w:space="0" w:color="auto"/>
            <w:right w:val="none" w:sz="0" w:space="0" w:color="auto"/>
          </w:divBdr>
          <w:divsChild>
            <w:div w:id="628124692">
              <w:marLeft w:val="0"/>
              <w:marRight w:val="0"/>
              <w:marTop w:val="0"/>
              <w:marBottom w:val="0"/>
              <w:divBdr>
                <w:top w:val="none" w:sz="0" w:space="0" w:color="auto"/>
                <w:left w:val="none" w:sz="0" w:space="0" w:color="auto"/>
                <w:bottom w:val="none" w:sz="0" w:space="0" w:color="auto"/>
                <w:right w:val="none" w:sz="0" w:space="0" w:color="auto"/>
              </w:divBdr>
              <w:divsChild>
                <w:div w:id="320238321">
                  <w:marLeft w:val="0"/>
                  <w:marRight w:val="0"/>
                  <w:marTop w:val="0"/>
                  <w:marBottom w:val="0"/>
                  <w:divBdr>
                    <w:top w:val="none" w:sz="0" w:space="0" w:color="auto"/>
                    <w:left w:val="none" w:sz="0" w:space="0" w:color="auto"/>
                    <w:bottom w:val="none" w:sz="0" w:space="0" w:color="auto"/>
                    <w:right w:val="none" w:sz="0" w:space="0" w:color="auto"/>
                  </w:divBdr>
                  <w:divsChild>
                    <w:div w:id="219557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0352425">
      <w:bodyDiv w:val="1"/>
      <w:marLeft w:val="0"/>
      <w:marRight w:val="0"/>
      <w:marTop w:val="0"/>
      <w:marBottom w:val="0"/>
      <w:divBdr>
        <w:top w:val="none" w:sz="0" w:space="0" w:color="auto"/>
        <w:left w:val="none" w:sz="0" w:space="0" w:color="auto"/>
        <w:bottom w:val="none" w:sz="0" w:space="0" w:color="auto"/>
        <w:right w:val="none" w:sz="0" w:space="0" w:color="auto"/>
      </w:divBdr>
    </w:div>
    <w:div w:id="1451630206">
      <w:bodyDiv w:val="1"/>
      <w:marLeft w:val="0"/>
      <w:marRight w:val="0"/>
      <w:marTop w:val="0"/>
      <w:marBottom w:val="0"/>
      <w:divBdr>
        <w:top w:val="none" w:sz="0" w:space="0" w:color="auto"/>
        <w:left w:val="none" w:sz="0" w:space="0" w:color="auto"/>
        <w:bottom w:val="none" w:sz="0" w:space="0" w:color="auto"/>
        <w:right w:val="none" w:sz="0" w:space="0" w:color="auto"/>
      </w:divBdr>
      <w:divsChild>
        <w:div w:id="1426927061">
          <w:marLeft w:val="0"/>
          <w:marRight w:val="0"/>
          <w:marTop w:val="0"/>
          <w:marBottom w:val="0"/>
          <w:divBdr>
            <w:top w:val="none" w:sz="0" w:space="0" w:color="auto"/>
            <w:left w:val="none" w:sz="0" w:space="0" w:color="auto"/>
            <w:bottom w:val="none" w:sz="0" w:space="0" w:color="auto"/>
            <w:right w:val="none" w:sz="0" w:space="0" w:color="auto"/>
          </w:divBdr>
          <w:divsChild>
            <w:div w:id="1656950620">
              <w:marLeft w:val="0"/>
              <w:marRight w:val="0"/>
              <w:marTop w:val="0"/>
              <w:marBottom w:val="0"/>
              <w:divBdr>
                <w:top w:val="none" w:sz="0" w:space="0" w:color="auto"/>
                <w:left w:val="none" w:sz="0" w:space="0" w:color="auto"/>
                <w:bottom w:val="none" w:sz="0" w:space="0" w:color="auto"/>
                <w:right w:val="none" w:sz="0" w:space="0" w:color="auto"/>
              </w:divBdr>
              <w:divsChild>
                <w:div w:id="1669283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5714116">
      <w:bodyDiv w:val="1"/>
      <w:marLeft w:val="0"/>
      <w:marRight w:val="0"/>
      <w:marTop w:val="0"/>
      <w:marBottom w:val="0"/>
      <w:divBdr>
        <w:top w:val="none" w:sz="0" w:space="0" w:color="auto"/>
        <w:left w:val="none" w:sz="0" w:space="0" w:color="auto"/>
        <w:bottom w:val="none" w:sz="0" w:space="0" w:color="auto"/>
        <w:right w:val="none" w:sz="0" w:space="0" w:color="auto"/>
      </w:divBdr>
      <w:divsChild>
        <w:div w:id="2084644802">
          <w:marLeft w:val="0"/>
          <w:marRight w:val="0"/>
          <w:marTop w:val="0"/>
          <w:marBottom w:val="0"/>
          <w:divBdr>
            <w:top w:val="none" w:sz="0" w:space="0" w:color="auto"/>
            <w:left w:val="none" w:sz="0" w:space="0" w:color="auto"/>
            <w:bottom w:val="none" w:sz="0" w:space="0" w:color="auto"/>
            <w:right w:val="none" w:sz="0" w:space="0" w:color="auto"/>
          </w:divBdr>
          <w:divsChild>
            <w:div w:id="24185480">
              <w:marLeft w:val="0"/>
              <w:marRight w:val="0"/>
              <w:marTop w:val="0"/>
              <w:marBottom w:val="0"/>
              <w:divBdr>
                <w:top w:val="none" w:sz="0" w:space="0" w:color="auto"/>
                <w:left w:val="none" w:sz="0" w:space="0" w:color="auto"/>
                <w:bottom w:val="none" w:sz="0" w:space="0" w:color="auto"/>
                <w:right w:val="none" w:sz="0" w:space="0" w:color="auto"/>
              </w:divBdr>
              <w:divsChild>
                <w:div w:id="1199313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4657219">
      <w:bodyDiv w:val="1"/>
      <w:marLeft w:val="0"/>
      <w:marRight w:val="0"/>
      <w:marTop w:val="0"/>
      <w:marBottom w:val="0"/>
      <w:divBdr>
        <w:top w:val="none" w:sz="0" w:space="0" w:color="auto"/>
        <w:left w:val="none" w:sz="0" w:space="0" w:color="auto"/>
        <w:bottom w:val="none" w:sz="0" w:space="0" w:color="auto"/>
        <w:right w:val="none" w:sz="0" w:space="0" w:color="auto"/>
      </w:divBdr>
    </w:div>
    <w:div w:id="1485468649">
      <w:bodyDiv w:val="1"/>
      <w:marLeft w:val="0"/>
      <w:marRight w:val="0"/>
      <w:marTop w:val="0"/>
      <w:marBottom w:val="0"/>
      <w:divBdr>
        <w:top w:val="none" w:sz="0" w:space="0" w:color="auto"/>
        <w:left w:val="none" w:sz="0" w:space="0" w:color="auto"/>
        <w:bottom w:val="none" w:sz="0" w:space="0" w:color="auto"/>
        <w:right w:val="none" w:sz="0" w:space="0" w:color="auto"/>
      </w:divBdr>
      <w:divsChild>
        <w:div w:id="801652059">
          <w:marLeft w:val="0"/>
          <w:marRight w:val="0"/>
          <w:marTop w:val="0"/>
          <w:marBottom w:val="0"/>
          <w:divBdr>
            <w:top w:val="none" w:sz="0" w:space="0" w:color="auto"/>
            <w:left w:val="none" w:sz="0" w:space="0" w:color="auto"/>
            <w:bottom w:val="none" w:sz="0" w:space="0" w:color="auto"/>
            <w:right w:val="none" w:sz="0" w:space="0" w:color="auto"/>
          </w:divBdr>
          <w:divsChild>
            <w:div w:id="571542643">
              <w:marLeft w:val="0"/>
              <w:marRight w:val="0"/>
              <w:marTop w:val="0"/>
              <w:marBottom w:val="0"/>
              <w:divBdr>
                <w:top w:val="none" w:sz="0" w:space="0" w:color="auto"/>
                <w:left w:val="none" w:sz="0" w:space="0" w:color="auto"/>
                <w:bottom w:val="none" w:sz="0" w:space="0" w:color="auto"/>
                <w:right w:val="none" w:sz="0" w:space="0" w:color="auto"/>
              </w:divBdr>
              <w:divsChild>
                <w:div w:id="379407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5145001">
      <w:bodyDiv w:val="1"/>
      <w:marLeft w:val="0"/>
      <w:marRight w:val="0"/>
      <w:marTop w:val="0"/>
      <w:marBottom w:val="0"/>
      <w:divBdr>
        <w:top w:val="none" w:sz="0" w:space="0" w:color="auto"/>
        <w:left w:val="none" w:sz="0" w:space="0" w:color="auto"/>
        <w:bottom w:val="none" w:sz="0" w:space="0" w:color="auto"/>
        <w:right w:val="none" w:sz="0" w:space="0" w:color="auto"/>
      </w:divBdr>
      <w:divsChild>
        <w:div w:id="1379476815">
          <w:marLeft w:val="0"/>
          <w:marRight w:val="0"/>
          <w:marTop w:val="0"/>
          <w:marBottom w:val="0"/>
          <w:divBdr>
            <w:top w:val="none" w:sz="0" w:space="0" w:color="auto"/>
            <w:left w:val="none" w:sz="0" w:space="0" w:color="auto"/>
            <w:bottom w:val="none" w:sz="0" w:space="0" w:color="auto"/>
            <w:right w:val="none" w:sz="0" w:space="0" w:color="auto"/>
          </w:divBdr>
          <w:divsChild>
            <w:div w:id="1768846823">
              <w:marLeft w:val="0"/>
              <w:marRight w:val="0"/>
              <w:marTop w:val="0"/>
              <w:marBottom w:val="0"/>
              <w:divBdr>
                <w:top w:val="none" w:sz="0" w:space="0" w:color="auto"/>
                <w:left w:val="none" w:sz="0" w:space="0" w:color="auto"/>
                <w:bottom w:val="none" w:sz="0" w:space="0" w:color="auto"/>
                <w:right w:val="none" w:sz="0" w:space="0" w:color="auto"/>
              </w:divBdr>
              <w:divsChild>
                <w:div w:id="950091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2163832">
      <w:bodyDiv w:val="1"/>
      <w:marLeft w:val="0"/>
      <w:marRight w:val="0"/>
      <w:marTop w:val="0"/>
      <w:marBottom w:val="0"/>
      <w:divBdr>
        <w:top w:val="none" w:sz="0" w:space="0" w:color="auto"/>
        <w:left w:val="none" w:sz="0" w:space="0" w:color="auto"/>
        <w:bottom w:val="none" w:sz="0" w:space="0" w:color="auto"/>
        <w:right w:val="none" w:sz="0" w:space="0" w:color="auto"/>
      </w:divBdr>
      <w:divsChild>
        <w:div w:id="1041706440">
          <w:marLeft w:val="0"/>
          <w:marRight w:val="0"/>
          <w:marTop w:val="0"/>
          <w:marBottom w:val="0"/>
          <w:divBdr>
            <w:top w:val="none" w:sz="0" w:space="0" w:color="auto"/>
            <w:left w:val="none" w:sz="0" w:space="0" w:color="auto"/>
            <w:bottom w:val="none" w:sz="0" w:space="0" w:color="auto"/>
            <w:right w:val="none" w:sz="0" w:space="0" w:color="auto"/>
          </w:divBdr>
          <w:divsChild>
            <w:div w:id="586889455">
              <w:marLeft w:val="0"/>
              <w:marRight w:val="0"/>
              <w:marTop w:val="0"/>
              <w:marBottom w:val="0"/>
              <w:divBdr>
                <w:top w:val="none" w:sz="0" w:space="0" w:color="auto"/>
                <w:left w:val="none" w:sz="0" w:space="0" w:color="auto"/>
                <w:bottom w:val="none" w:sz="0" w:space="0" w:color="auto"/>
                <w:right w:val="none" w:sz="0" w:space="0" w:color="auto"/>
              </w:divBdr>
              <w:divsChild>
                <w:div w:id="1342201173">
                  <w:marLeft w:val="0"/>
                  <w:marRight w:val="0"/>
                  <w:marTop w:val="0"/>
                  <w:marBottom w:val="0"/>
                  <w:divBdr>
                    <w:top w:val="none" w:sz="0" w:space="0" w:color="auto"/>
                    <w:left w:val="none" w:sz="0" w:space="0" w:color="auto"/>
                    <w:bottom w:val="none" w:sz="0" w:space="0" w:color="auto"/>
                    <w:right w:val="none" w:sz="0" w:space="0" w:color="auto"/>
                  </w:divBdr>
                  <w:divsChild>
                    <w:div w:id="658846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4273466">
      <w:bodyDiv w:val="1"/>
      <w:marLeft w:val="0"/>
      <w:marRight w:val="0"/>
      <w:marTop w:val="0"/>
      <w:marBottom w:val="0"/>
      <w:divBdr>
        <w:top w:val="none" w:sz="0" w:space="0" w:color="auto"/>
        <w:left w:val="none" w:sz="0" w:space="0" w:color="auto"/>
        <w:bottom w:val="none" w:sz="0" w:space="0" w:color="auto"/>
        <w:right w:val="none" w:sz="0" w:space="0" w:color="auto"/>
      </w:divBdr>
      <w:divsChild>
        <w:div w:id="810943177">
          <w:marLeft w:val="0"/>
          <w:marRight w:val="0"/>
          <w:marTop w:val="0"/>
          <w:marBottom w:val="0"/>
          <w:divBdr>
            <w:top w:val="none" w:sz="0" w:space="0" w:color="auto"/>
            <w:left w:val="none" w:sz="0" w:space="0" w:color="auto"/>
            <w:bottom w:val="none" w:sz="0" w:space="0" w:color="auto"/>
            <w:right w:val="none" w:sz="0" w:space="0" w:color="auto"/>
          </w:divBdr>
          <w:divsChild>
            <w:div w:id="1656572230">
              <w:marLeft w:val="0"/>
              <w:marRight w:val="0"/>
              <w:marTop w:val="0"/>
              <w:marBottom w:val="0"/>
              <w:divBdr>
                <w:top w:val="none" w:sz="0" w:space="0" w:color="auto"/>
                <w:left w:val="none" w:sz="0" w:space="0" w:color="auto"/>
                <w:bottom w:val="none" w:sz="0" w:space="0" w:color="auto"/>
                <w:right w:val="none" w:sz="0" w:space="0" w:color="auto"/>
              </w:divBdr>
              <w:divsChild>
                <w:div w:id="1031102697">
                  <w:marLeft w:val="0"/>
                  <w:marRight w:val="0"/>
                  <w:marTop w:val="0"/>
                  <w:marBottom w:val="0"/>
                  <w:divBdr>
                    <w:top w:val="none" w:sz="0" w:space="0" w:color="auto"/>
                    <w:left w:val="none" w:sz="0" w:space="0" w:color="auto"/>
                    <w:bottom w:val="none" w:sz="0" w:space="0" w:color="auto"/>
                    <w:right w:val="none" w:sz="0" w:space="0" w:color="auto"/>
                  </w:divBdr>
                  <w:divsChild>
                    <w:div w:id="1349258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8790908">
      <w:bodyDiv w:val="1"/>
      <w:marLeft w:val="0"/>
      <w:marRight w:val="0"/>
      <w:marTop w:val="0"/>
      <w:marBottom w:val="0"/>
      <w:divBdr>
        <w:top w:val="none" w:sz="0" w:space="0" w:color="auto"/>
        <w:left w:val="none" w:sz="0" w:space="0" w:color="auto"/>
        <w:bottom w:val="none" w:sz="0" w:space="0" w:color="auto"/>
        <w:right w:val="none" w:sz="0" w:space="0" w:color="auto"/>
      </w:divBdr>
      <w:divsChild>
        <w:div w:id="335614416">
          <w:marLeft w:val="0"/>
          <w:marRight w:val="0"/>
          <w:marTop w:val="0"/>
          <w:marBottom w:val="0"/>
          <w:divBdr>
            <w:top w:val="none" w:sz="0" w:space="0" w:color="auto"/>
            <w:left w:val="none" w:sz="0" w:space="0" w:color="auto"/>
            <w:bottom w:val="none" w:sz="0" w:space="0" w:color="auto"/>
            <w:right w:val="none" w:sz="0" w:space="0" w:color="auto"/>
          </w:divBdr>
          <w:divsChild>
            <w:div w:id="156264823">
              <w:marLeft w:val="0"/>
              <w:marRight w:val="0"/>
              <w:marTop w:val="0"/>
              <w:marBottom w:val="0"/>
              <w:divBdr>
                <w:top w:val="none" w:sz="0" w:space="0" w:color="auto"/>
                <w:left w:val="none" w:sz="0" w:space="0" w:color="auto"/>
                <w:bottom w:val="none" w:sz="0" w:space="0" w:color="auto"/>
                <w:right w:val="none" w:sz="0" w:space="0" w:color="auto"/>
              </w:divBdr>
              <w:divsChild>
                <w:div w:id="1696156187">
                  <w:marLeft w:val="0"/>
                  <w:marRight w:val="0"/>
                  <w:marTop w:val="0"/>
                  <w:marBottom w:val="0"/>
                  <w:divBdr>
                    <w:top w:val="none" w:sz="0" w:space="0" w:color="auto"/>
                    <w:left w:val="none" w:sz="0" w:space="0" w:color="auto"/>
                    <w:bottom w:val="none" w:sz="0" w:space="0" w:color="auto"/>
                    <w:right w:val="none" w:sz="0" w:space="0" w:color="auto"/>
                  </w:divBdr>
                  <w:divsChild>
                    <w:div w:id="1711570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8426268">
      <w:bodyDiv w:val="1"/>
      <w:marLeft w:val="0"/>
      <w:marRight w:val="0"/>
      <w:marTop w:val="0"/>
      <w:marBottom w:val="0"/>
      <w:divBdr>
        <w:top w:val="none" w:sz="0" w:space="0" w:color="auto"/>
        <w:left w:val="none" w:sz="0" w:space="0" w:color="auto"/>
        <w:bottom w:val="none" w:sz="0" w:space="0" w:color="auto"/>
        <w:right w:val="none" w:sz="0" w:space="0" w:color="auto"/>
      </w:divBdr>
      <w:divsChild>
        <w:div w:id="2119718313">
          <w:marLeft w:val="0"/>
          <w:marRight w:val="0"/>
          <w:marTop w:val="0"/>
          <w:marBottom w:val="0"/>
          <w:divBdr>
            <w:top w:val="none" w:sz="0" w:space="0" w:color="auto"/>
            <w:left w:val="none" w:sz="0" w:space="0" w:color="auto"/>
            <w:bottom w:val="none" w:sz="0" w:space="0" w:color="auto"/>
            <w:right w:val="none" w:sz="0" w:space="0" w:color="auto"/>
          </w:divBdr>
          <w:divsChild>
            <w:div w:id="516165109">
              <w:marLeft w:val="0"/>
              <w:marRight w:val="0"/>
              <w:marTop w:val="0"/>
              <w:marBottom w:val="0"/>
              <w:divBdr>
                <w:top w:val="none" w:sz="0" w:space="0" w:color="auto"/>
                <w:left w:val="none" w:sz="0" w:space="0" w:color="auto"/>
                <w:bottom w:val="none" w:sz="0" w:space="0" w:color="auto"/>
                <w:right w:val="none" w:sz="0" w:space="0" w:color="auto"/>
              </w:divBdr>
              <w:divsChild>
                <w:div w:id="91798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9904233">
      <w:bodyDiv w:val="1"/>
      <w:marLeft w:val="0"/>
      <w:marRight w:val="0"/>
      <w:marTop w:val="0"/>
      <w:marBottom w:val="0"/>
      <w:divBdr>
        <w:top w:val="none" w:sz="0" w:space="0" w:color="auto"/>
        <w:left w:val="none" w:sz="0" w:space="0" w:color="auto"/>
        <w:bottom w:val="none" w:sz="0" w:space="0" w:color="auto"/>
        <w:right w:val="none" w:sz="0" w:space="0" w:color="auto"/>
      </w:divBdr>
    </w:div>
    <w:div w:id="1590120423">
      <w:bodyDiv w:val="1"/>
      <w:marLeft w:val="0"/>
      <w:marRight w:val="0"/>
      <w:marTop w:val="0"/>
      <w:marBottom w:val="0"/>
      <w:divBdr>
        <w:top w:val="none" w:sz="0" w:space="0" w:color="auto"/>
        <w:left w:val="none" w:sz="0" w:space="0" w:color="auto"/>
        <w:bottom w:val="none" w:sz="0" w:space="0" w:color="auto"/>
        <w:right w:val="none" w:sz="0" w:space="0" w:color="auto"/>
      </w:divBdr>
      <w:divsChild>
        <w:div w:id="2006394234">
          <w:marLeft w:val="0"/>
          <w:marRight w:val="0"/>
          <w:marTop w:val="0"/>
          <w:marBottom w:val="0"/>
          <w:divBdr>
            <w:top w:val="none" w:sz="0" w:space="0" w:color="auto"/>
            <w:left w:val="none" w:sz="0" w:space="0" w:color="auto"/>
            <w:bottom w:val="none" w:sz="0" w:space="0" w:color="auto"/>
            <w:right w:val="none" w:sz="0" w:space="0" w:color="auto"/>
          </w:divBdr>
          <w:divsChild>
            <w:div w:id="79451198">
              <w:marLeft w:val="0"/>
              <w:marRight w:val="0"/>
              <w:marTop w:val="0"/>
              <w:marBottom w:val="0"/>
              <w:divBdr>
                <w:top w:val="none" w:sz="0" w:space="0" w:color="auto"/>
                <w:left w:val="none" w:sz="0" w:space="0" w:color="auto"/>
                <w:bottom w:val="none" w:sz="0" w:space="0" w:color="auto"/>
                <w:right w:val="none" w:sz="0" w:space="0" w:color="auto"/>
              </w:divBdr>
              <w:divsChild>
                <w:div w:id="100955504">
                  <w:marLeft w:val="0"/>
                  <w:marRight w:val="0"/>
                  <w:marTop w:val="0"/>
                  <w:marBottom w:val="0"/>
                  <w:divBdr>
                    <w:top w:val="none" w:sz="0" w:space="0" w:color="auto"/>
                    <w:left w:val="none" w:sz="0" w:space="0" w:color="auto"/>
                    <w:bottom w:val="none" w:sz="0" w:space="0" w:color="auto"/>
                    <w:right w:val="none" w:sz="0" w:space="0" w:color="auto"/>
                  </w:divBdr>
                  <w:divsChild>
                    <w:div w:id="1376932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030655">
              <w:marLeft w:val="0"/>
              <w:marRight w:val="0"/>
              <w:marTop w:val="0"/>
              <w:marBottom w:val="0"/>
              <w:divBdr>
                <w:top w:val="none" w:sz="0" w:space="0" w:color="auto"/>
                <w:left w:val="none" w:sz="0" w:space="0" w:color="auto"/>
                <w:bottom w:val="none" w:sz="0" w:space="0" w:color="auto"/>
                <w:right w:val="none" w:sz="0" w:space="0" w:color="auto"/>
              </w:divBdr>
              <w:divsChild>
                <w:div w:id="474683168">
                  <w:marLeft w:val="0"/>
                  <w:marRight w:val="0"/>
                  <w:marTop w:val="0"/>
                  <w:marBottom w:val="0"/>
                  <w:divBdr>
                    <w:top w:val="none" w:sz="0" w:space="0" w:color="auto"/>
                    <w:left w:val="none" w:sz="0" w:space="0" w:color="auto"/>
                    <w:bottom w:val="none" w:sz="0" w:space="0" w:color="auto"/>
                    <w:right w:val="none" w:sz="0" w:space="0" w:color="auto"/>
                  </w:divBdr>
                  <w:divsChild>
                    <w:div w:id="479271959">
                      <w:marLeft w:val="0"/>
                      <w:marRight w:val="0"/>
                      <w:marTop w:val="0"/>
                      <w:marBottom w:val="0"/>
                      <w:divBdr>
                        <w:top w:val="none" w:sz="0" w:space="0" w:color="auto"/>
                        <w:left w:val="none" w:sz="0" w:space="0" w:color="auto"/>
                        <w:bottom w:val="none" w:sz="0" w:space="0" w:color="auto"/>
                        <w:right w:val="none" w:sz="0" w:space="0" w:color="auto"/>
                      </w:divBdr>
                    </w:div>
                    <w:div w:id="595746743">
                      <w:marLeft w:val="0"/>
                      <w:marRight w:val="0"/>
                      <w:marTop w:val="0"/>
                      <w:marBottom w:val="0"/>
                      <w:divBdr>
                        <w:top w:val="none" w:sz="0" w:space="0" w:color="auto"/>
                        <w:left w:val="none" w:sz="0" w:space="0" w:color="auto"/>
                        <w:bottom w:val="none" w:sz="0" w:space="0" w:color="auto"/>
                        <w:right w:val="none" w:sz="0" w:space="0" w:color="auto"/>
                      </w:divBdr>
                    </w:div>
                  </w:divsChild>
                </w:div>
                <w:div w:id="981890107">
                  <w:marLeft w:val="0"/>
                  <w:marRight w:val="0"/>
                  <w:marTop w:val="0"/>
                  <w:marBottom w:val="0"/>
                  <w:divBdr>
                    <w:top w:val="none" w:sz="0" w:space="0" w:color="auto"/>
                    <w:left w:val="none" w:sz="0" w:space="0" w:color="auto"/>
                    <w:bottom w:val="none" w:sz="0" w:space="0" w:color="auto"/>
                    <w:right w:val="none" w:sz="0" w:space="0" w:color="auto"/>
                  </w:divBdr>
                  <w:divsChild>
                    <w:div w:id="730234323">
                      <w:marLeft w:val="0"/>
                      <w:marRight w:val="0"/>
                      <w:marTop w:val="0"/>
                      <w:marBottom w:val="0"/>
                      <w:divBdr>
                        <w:top w:val="none" w:sz="0" w:space="0" w:color="auto"/>
                        <w:left w:val="none" w:sz="0" w:space="0" w:color="auto"/>
                        <w:bottom w:val="none" w:sz="0" w:space="0" w:color="auto"/>
                        <w:right w:val="none" w:sz="0" w:space="0" w:color="auto"/>
                      </w:divBdr>
                    </w:div>
                  </w:divsChild>
                </w:div>
                <w:div w:id="1996302233">
                  <w:marLeft w:val="0"/>
                  <w:marRight w:val="0"/>
                  <w:marTop w:val="0"/>
                  <w:marBottom w:val="0"/>
                  <w:divBdr>
                    <w:top w:val="none" w:sz="0" w:space="0" w:color="auto"/>
                    <w:left w:val="none" w:sz="0" w:space="0" w:color="auto"/>
                    <w:bottom w:val="none" w:sz="0" w:space="0" w:color="auto"/>
                    <w:right w:val="none" w:sz="0" w:space="0" w:color="auto"/>
                  </w:divBdr>
                  <w:divsChild>
                    <w:div w:id="841624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0771779">
      <w:bodyDiv w:val="1"/>
      <w:marLeft w:val="0"/>
      <w:marRight w:val="0"/>
      <w:marTop w:val="0"/>
      <w:marBottom w:val="0"/>
      <w:divBdr>
        <w:top w:val="none" w:sz="0" w:space="0" w:color="auto"/>
        <w:left w:val="none" w:sz="0" w:space="0" w:color="auto"/>
        <w:bottom w:val="none" w:sz="0" w:space="0" w:color="auto"/>
        <w:right w:val="none" w:sz="0" w:space="0" w:color="auto"/>
      </w:divBdr>
    </w:div>
    <w:div w:id="1591547055">
      <w:bodyDiv w:val="1"/>
      <w:marLeft w:val="0"/>
      <w:marRight w:val="0"/>
      <w:marTop w:val="0"/>
      <w:marBottom w:val="0"/>
      <w:divBdr>
        <w:top w:val="none" w:sz="0" w:space="0" w:color="auto"/>
        <w:left w:val="none" w:sz="0" w:space="0" w:color="auto"/>
        <w:bottom w:val="none" w:sz="0" w:space="0" w:color="auto"/>
        <w:right w:val="none" w:sz="0" w:space="0" w:color="auto"/>
      </w:divBdr>
    </w:div>
    <w:div w:id="1595745844">
      <w:bodyDiv w:val="1"/>
      <w:marLeft w:val="0"/>
      <w:marRight w:val="0"/>
      <w:marTop w:val="0"/>
      <w:marBottom w:val="0"/>
      <w:divBdr>
        <w:top w:val="none" w:sz="0" w:space="0" w:color="auto"/>
        <w:left w:val="none" w:sz="0" w:space="0" w:color="auto"/>
        <w:bottom w:val="none" w:sz="0" w:space="0" w:color="auto"/>
        <w:right w:val="none" w:sz="0" w:space="0" w:color="auto"/>
      </w:divBdr>
      <w:divsChild>
        <w:div w:id="1119687457">
          <w:marLeft w:val="0"/>
          <w:marRight w:val="0"/>
          <w:marTop w:val="0"/>
          <w:marBottom w:val="0"/>
          <w:divBdr>
            <w:top w:val="none" w:sz="0" w:space="0" w:color="auto"/>
            <w:left w:val="none" w:sz="0" w:space="0" w:color="auto"/>
            <w:bottom w:val="none" w:sz="0" w:space="0" w:color="auto"/>
            <w:right w:val="none" w:sz="0" w:space="0" w:color="auto"/>
          </w:divBdr>
          <w:divsChild>
            <w:div w:id="963658945">
              <w:marLeft w:val="0"/>
              <w:marRight w:val="0"/>
              <w:marTop w:val="0"/>
              <w:marBottom w:val="0"/>
              <w:divBdr>
                <w:top w:val="none" w:sz="0" w:space="0" w:color="auto"/>
                <w:left w:val="none" w:sz="0" w:space="0" w:color="auto"/>
                <w:bottom w:val="none" w:sz="0" w:space="0" w:color="auto"/>
                <w:right w:val="none" w:sz="0" w:space="0" w:color="auto"/>
              </w:divBdr>
              <w:divsChild>
                <w:div w:id="1905289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8240865">
      <w:bodyDiv w:val="1"/>
      <w:marLeft w:val="0"/>
      <w:marRight w:val="0"/>
      <w:marTop w:val="0"/>
      <w:marBottom w:val="0"/>
      <w:divBdr>
        <w:top w:val="none" w:sz="0" w:space="0" w:color="auto"/>
        <w:left w:val="none" w:sz="0" w:space="0" w:color="auto"/>
        <w:bottom w:val="none" w:sz="0" w:space="0" w:color="auto"/>
        <w:right w:val="none" w:sz="0" w:space="0" w:color="auto"/>
      </w:divBdr>
      <w:divsChild>
        <w:div w:id="1318727212">
          <w:marLeft w:val="0"/>
          <w:marRight w:val="0"/>
          <w:marTop w:val="0"/>
          <w:marBottom w:val="0"/>
          <w:divBdr>
            <w:top w:val="none" w:sz="0" w:space="0" w:color="auto"/>
            <w:left w:val="none" w:sz="0" w:space="0" w:color="auto"/>
            <w:bottom w:val="none" w:sz="0" w:space="0" w:color="auto"/>
            <w:right w:val="none" w:sz="0" w:space="0" w:color="auto"/>
          </w:divBdr>
          <w:divsChild>
            <w:div w:id="469248936">
              <w:marLeft w:val="0"/>
              <w:marRight w:val="0"/>
              <w:marTop w:val="0"/>
              <w:marBottom w:val="0"/>
              <w:divBdr>
                <w:top w:val="none" w:sz="0" w:space="0" w:color="auto"/>
                <w:left w:val="none" w:sz="0" w:space="0" w:color="auto"/>
                <w:bottom w:val="none" w:sz="0" w:space="0" w:color="auto"/>
                <w:right w:val="none" w:sz="0" w:space="0" w:color="auto"/>
              </w:divBdr>
              <w:divsChild>
                <w:div w:id="2003045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0788191">
      <w:bodyDiv w:val="1"/>
      <w:marLeft w:val="0"/>
      <w:marRight w:val="0"/>
      <w:marTop w:val="0"/>
      <w:marBottom w:val="0"/>
      <w:divBdr>
        <w:top w:val="none" w:sz="0" w:space="0" w:color="auto"/>
        <w:left w:val="none" w:sz="0" w:space="0" w:color="auto"/>
        <w:bottom w:val="none" w:sz="0" w:space="0" w:color="auto"/>
        <w:right w:val="none" w:sz="0" w:space="0" w:color="auto"/>
      </w:divBdr>
      <w:divsChild>
        <w:div w:id="627203942">
          <w:marLeft w:val="0"/>
          <w:marRight w:val="0"/>
          <w:marTop w:val="0"/>
          <w:marBottom w:val="0"/>
          <w:divBdr>
            <w:top w:val="none" w:sz="0" w:space="0" w:color="auto"/>
            <w:left w:val="none" w:sz="0" w:space="0" w:color="auto"/>
            <w:bottom w:val="none" w:sz="0" w:space="0" w:color="auto"/>
            <w:right w:val="none" w:sz="0" w:space="0" w:color="auto"/>
          </w:divBdr>
          <w:divsChild>
            <w:div w:id="1091202060">
              <w:marLeft w:val="0"/>
              <w:marRight w:val="0"/>
              <w:marTop w:val="0"/>
              <w:marBottom w:val="0"/>
              <w:divBdr>
                <w:top w:val="none" w:sz="0" w:space="0" w:color="auto"/>
                <w:left w:val="none" w:sz="0" w:space="0" w:color="auto"/>
                <w:bottom w:val="none" w:sz="0" w:space="0" w:color="auto"/>
                <w:right w:val="none" w:sz="0" w:space="0" w:color="auto"/>
              </w:divBdr>
              <w:divsChild>
                <w:div w:id="645554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8706787">
      <w:bodyDiv w:val="1"/>
      <w:marLeft w:val="0"/>
      <w:marRight w:val="0"/>
      <w:marTop w:val="0"/>
      <w:marBottom w:val="0"/>
      <w:divBdr>
        <w:top w:val="none" w:sz="0" w:space="0" w:color="auto"/>
        <w:left w:val="none" w:sz="0" w:space="0" w:color="auto"/>
        <w:bottom w:val="none" w:sz="0" w:space="0" w:color="auto"/>
        <w:right w:val="none" w:sz="0" w:space="0" w:color="auto"/>
      </w:divBdr>
      <w:divsChild>
        <w:div w:id="252588488">
          <w:marLeft w:val="0"/>
          <w:marRight w:val="0"/>
          <w:marTop w:val="0"/>
          <w:marBottom w:val="0"/>
          <w:divBdr>
            <w:top w:val="none" w:sz="0" w:space="0" w:color="auto"/>
            <w:left w:val="none" w:sz="0" w:space="0" w:color="auto"/>
            <w:bottom w:val="none" w:sz="0" w:space="0" w:color="auto"/>
            <w:right w:val="none" w:sz="0" w:space="0" w:color="auto"/>
          </w:divBdr>
          <w:divsChild>
            <w:div w:id="2106532310">
              <w:marLeft w:val="0"/>
              <w:marRight w:val="0"/>
              <w:marTop w:val="0"/>
              <w:marBottom w:val="0"/>
              <w:divBdr>
                <w:top w:val="none" w:sz="0" w:space="0" w:color="auto"/>
                <w:left w:val="none" w:sz="0" w:space="0" w:color="auto"/>
                <w:bottom w:val="none" w:sz="0" w:space="0" w:color="auto"/>
                <w:right w:val="none" w:sz="0" w:space="0" w:color="auto"/>
              </w:divBdr>
              <w:divsChild>
                <w:div w:id="254170551">
                  <w:marLeft w:val="0"/>
                  <w:marRight w:val="0"/>
                  <w:marTop w:val="0"/>
                  <w:marBottom w:val="0"/>
                  <w:divBdr>
                    <w:top w:val="none" w:sz="0" w:space="0" w:color="auto"/>
                    <w:left w:val="none" w:sz="0" w:space="0" w:color="auto"/>
                    <w:bottom w:val="none" w:sz="0" w:space="0" w:color="auto"/>
                    <w:right w:val="none" w:sz="0" w:space="0" w:color="auto"/>
                  </w:divBdr>
                  <w:divsChild>
                    <w:div w:id="62766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7926336">
      <w:bodyDiv w:val="1"/>
      <w:marLeft w:val="0"/>
      <w:marRight w:val="0"/>
      <w:marTop w:val="0"/>
      <w:marBottom w:val="0"/>
      <w:divBdr>
        <w:top w:val="none" w:sz="0" w:space="0" w:color="auto"/>
        <w:left w:val="none" w:sz="0" w:space="0" w:color="auto"/>
        <w:bottom w:val="none" w:sz="0" w:space="0" w:color="auto"/>
        <w:right w:val="none" w:sz="0" w:space="0" w:color="auto"/>
      </w:divBdr>
      <w:divsChild>
        <w:div w:id="1444812224">
          <w:marLeft w:val="0"/>
          <w:marRight w:val="0"/>
          <w:marTop w:val="0"/>
          <w:marBottom w:val="0"/>
          <w:divBdr>
            <w:top w:val="none" w:sz="0" w:space="0" w:color="auto"/>
            <w:left w:val="none" w:sz="0" w:space="0" w:color="auto"/>
            <w:bottom w:val="none" w:sz="0" w:space="0" w:color="auto"/>
            <w:right w:val="none" w:sz="0" w:space="0" w:color="auto"/>
          </w:divBdr>
          <w:divsChild>
            <w:div w:id="387269192">
              <w:marLeft w:val="0"/>
              <w:marRight w:val="0"/>
              <w:marTop w:val="0"/>
              <w:marBottom w:val="0"/>
              <w:divBdr>
                <w:top w:val="none" w:sz="0" w:space="0" w:color="auto"/>
                <w:left w:val="none" w:sz="0" w:space="0" w:color="auto"/>
                <w:bottom w:val="none" w:sz="0" w:space="0" w:color="auto"/>
                <w:right w:val="none" w:sz="0" w:space="0" w:color="auto"/>
              </w:divBdr>
              <w:divsChild>
                <w:div w:id="1040321354">
                  <w:marLeft w:val="0"/>
                  <w:marRight w:val="0"/>
                  <w:marTop w:val="0"/>
                  <w:marBottom w:val="0"/>
                  <w:divBdr>
                    <w:top w:val="none" w:sz="0" w:space="0" w:color="auto"/>
                    <w:left w:val="none" w:sz="0" w:space="0" w:color="auto"/>
                    <w:bottom w:val="none" w:sz="0" w:space="0" w:color="auto"/>
                    <w:right w:val="none" w:sz="0" w:space="0" w:color="auto"/>
                  </w:divBdr>
                  <w:divsChild>
                    <w:div w:id="237833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6156065">
      <w:bodyDiv w:val="1"/>
      <w:marLeft w:val="0"/>
      <w:marRight w:val="0"/>
      <w:marTop w:val="0"/>
      <w:marBottom w:val="0"/>
      <w:divBdr>
        <w:top w:val="none" w:sz="0" w:space="0" w:color="auto"/>
        <w:left w:val="none" w:sz="0" w:space="0" w:color="auto"/>
        <w:bottom w:val="none" w:sz="0" w:space="0" w:color="auto"/>
        <w:right w:val="none" w:sz="0" w:space="0" w:color="auto"/>
      </w:divBdr>
    </w:div>
    <w:div w:id="1712343618">
      <w:bodyDiv w:val="1"/>
      <w:marLeft w:val="0"/>
      <w:marRight w:val="0"/>
      <w:marTop w:val="0"/>
      <w:marBottom w:val="0"/>
      <w:divBdr>
        <w:top w:val="none" w:sz="0" w:space="0" w:color="auto"/>
        <w:left w:val="none" w:sz="0" w:space="0" w:color="auto"/>
        <w:bottom w:val="none" w:sz="0" w:space="0" w:color="auto"/>
        <w:right w:val="none" w:sz="0" w:space="0" w:color="auto"/>
      </w:divBdr>
    </w:div>
    <w:div w:id="1716541991">
      <w:bodyDiv w:val="1"/>
      <w:marLeft w:val="0"/>
      <w:marRight w:val="0"/>
      <w:marTop w:val="0"/>
      <w:marBottom w:val="0"/>
      <w:divBdr>
        <w:top w:val="none" w:sz="0" w:space="0" w:color="auto"/>
        <w:left w:val="none" w:sz="0" w:space="0" w:color="auto"/>
        <w:bottom w:val="none" w:sz="0" w:space="0" w:color="auto"/>
        <w:right w:val="none" w:sz="0" w:space="0" w:color="auto"/>
      </w:divBdr>
      <w:divsChild>
        <w:div w:id="1603683238">
          <w:marLeft w:val="0"/>
          <w:marRight w:val="0"/>
          <w:marTop w:val="0"/>
          <w:marBottom w:val="0"/>
          <w:divBdr>
            <w:top w:val="none" w:sz="0" w:space="0" w:color="auto"/>
            <w:left w:val="none" w:sz="0" w:space="0" w:color="auto"/>
            <w:bottom w:val="none" w:sz="0" w:space="0" w:color="auto"/>
            <w:right w:val="none" w:sz="0" w:space="0" w:color="auto"/>
          </w:divBdr>
          <w:divsChild>
            <w:div w:id="22828247">
              <w:marLeft w:val="0"/>
              <w:marRight w:val="0"/>
              <w:marTop w:val="0"/>
              <w:marBottom w:val="0"/>
              <w:divBdr>
                <w:top w:val="none" w:sz="0" w:space="0" w:color="auto"/>
                <w:left w:val="none" w:sz="0" w:space="0" w:color="auto"/>
                <w:bottom w:val="none" w:sz="0" w:space="0" w:color="auto"/>
                <w:right w:val="none" w:sz="0" w:space="0" w:color="auto"/>
              </w:divBdr>
              <w:divsChild>
                <w:div w:id="1996184632">
                  <w:marLeft w:val="0"/>
                  <w:marRight w:val="0"/>
                  <w:marTop w:val="0"/>
                  <w:marBottom w:val="0"/>
                  <w:divBdr>
                    <w:top w:val="none" w:sz="0" w:space="0" w:color="auto"/>
                    <w:left w:val="none" w:sz="0" w:space="0" w:color="auto"/>
                    <w:bottom w:val="none" w:sz="0" w:space="0" w:color="auto"/>
                    <w:right w:val="none" w:sz="0" w:space="0" w:color="auto"/>
                  </w:divBdr>
                  <w:divsChild>
                    <w:div w:id="2144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0400906">
      <w:bodyDiv w:val="1"/>
      <w:marLeft w:val="0"/>
      <w:marRight w:val="0"/>
      <w:marTop w:val="0"/>
      <w:marBottom w:val="0"/>
      <w:divBdr>
        <w:top w:val="none" w:sz="0" w:space="0" w:color="auto"/>
        <w:left w:val="none" w:sz="0" w:space="0" w:color="auto"/>
        <w:bottom w:val="none" w:sz="0" w:space="0" w:color="auto"/>
        <w:right w:val="none" w:sz="0" w:space="0" w:color="auto"/>
      </w:divBdr>
      <w:divsChild>
        <w:div w:id="1271429108">
          <w:marLeft w:val="0"/>
          <w:marRight w:val="0"/>
          <w:marTop w:val="0"/>
          <w:marBottom w:val="0"/>
          <w:divBdr>
            <w:top w:val="none" w:sz="0" w:space="0" w:color="auto"/>
            <w:left w:val="none" w:sz="0" w:space="0" w:color="auto"/>
            <w:bottom w:val="none" w:sz="0" w:space="0" w:color="auto"/>
            <w:right w:val="none" w:sz="0" w:space="0" w:color="auto"/>
          </w:divBdr>
          <w:divsChild>
            <w:div w:id="1389188768">
              <w:marLeft w:val="0"/>
              <w:marRight w:val="0"/>
              <w:marTop w:val="0"/>
              <w:marBottom w:val="0"/>
              <w:divBdr>
                <w:top w:val="none" w:sz="0" w:space="0" w:color="auto"/>
                <w:left w:val="none" w:sz="0" w:space="0" w:color="auto"/>
                <w:bottom w:val="none" w:sz="0" w:space="0" w:color="auto"/>
                <w:right w:val="none" w:sz="0" w:space="0" w:color="auto"/>
              </w:divBdr>
              <w:divsChild>
                <w:div w:id="1366711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2829920">
      <w:bodyDiv w:val="1"/>
      <w:marLeft w:val="0"/>
      <w:marRight w:val="0"/>
      <w:marTop w:val="0"/>
      <w:marBottom w:val="0"/>
      <w:divBdr>
        <w:top w:val="none" w:sz="0" w:space="0" w:color="auto"/>
        <w:left w:val="none" w:sz="0" w:space="0" w:color="auto"/>
        <w:bottom w:val="none" w:sz="0" w:space="0" w:color="auto"/>
        <w:right w:val="none" w:sz="0" w:space="0" w:color="auto"/>
      </w:divBdr>
      <w:divsChild>
        <w:div w:id="1621184156">
          <w:marLeft w:val="0"/>
          <w:marRight w:val="0"/>
          <w:marTop w:val="0"/>
          <w:marBottom w:val="0"/>
          <w:divBdr>
            <w:top w:val="none" w:sz="0" w:space="0" w:color="auto"/>
            <w:left w:val="none" w:sz="0" w:space="0" w:color="auto"/>
            <w:bottom w:val="none" w:sz="0" w:space="0" w:color="auto"/>
            <w:right w:val="none" w:sz="0" w:space="0" w:color="auto"/>
          </w:divBdr>
          <w:divsChild>
            <w:div w:id="386954324">
              <w:marLeft w:val="0"/>
              <w:marRight w:val="0"/>
              <w:marTop w:val="0"/>
              <w:marBottom w:val="0"/>
              <w:divBdr>
                <w:top w:val="none" w:sz="0" w:space="0" w:color="auto"/>
                <w:left w:val="none" w:sz="0" w:space="0" w:color="auto"/>
                <w:bottom w:val="none" w:sz="0" w:space="0" w:color="auto"/>
                <w:right w:val="none" w:sz="0" w:space="0" w:color="auto"/>
              </w:divBdr>
              <w:divsChild>
                <w:div w:id="329452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8308755">
      <w:bodyDiv w:val="1"/>
      <w:marLeft w:val="0"/>
      <w:marRight w:val="0"/>
      <w:marTop w:val="0"/>
      <w:marBottom w:val="0"/>
      <w:divBdr>
        <w:top w:val="none" w:sz="0" w:space="0" w:color="auto"/>
        <w:left w:val="none" w:sz="0" w:space="0" w:color="auto"/>
        <w:bottom w:val="none" w:sz="0" w:space="0" w:color="auto"/>
        <w:right w:val="none" w:sz="0" w:space="0" w:color="auto"/>
      </w:divBdr>
    </w:div>
    <w:div w:id="1769159297">
      <w:bodyDiv w:val="1"/>
      <w:marLeft w:val="0"/>
      <w:marRight w:val="0"/>
      <w:marTop w:val="0"/>
      <w:marBottom w:val="0"/>
      <w:divBdr>
        <w:top w:val="none" w:sz="0" w:space="0" w:color="auto"/>
        <w:left w:val="none" w:sz="0" w:space="0" w:color="auto"/>
        <w:bottom w:val="none" w:sz="0" w:space="0" w:color="auto"/>
        <w:right w:val="none" w:sz="0" w:space="0" w:color="auto"/>
      </w:divBdr>
      <w:divsChild>
        <w:div w:id="33163000">
          <w:marLeft w:val="0"/>
          <w:marRight w:val="0"/>
          <w:marTop w:val="0"/>
          <w:marBottom w:val="0"/>
          <w:divBdr>
            <w:top w:val="none" w:sz="0" w:space="0" w:color="auto"/>
            <w:left w:val="none" w:sz="0" w:space="0" w:color="auto"/>
            <w:bottom w:val="none" w:sz="0" w:space="0" w:color="auto"/>
            <w:right w:val="none" w:sz="0" w:space="0" w:color="auto"/>
          </w:divBdr>
          <w:divsChild>
            <w:div w:id="291522021">
              <w:marLeft w:val="0"/>
              <w:marRight w:val="0"/>
              <w:marTop w:val="0"/>
              <w:marBottom w:val="0"/>
              <w:divBdr>
                <w:top w:val="none" w:sz="0" w:space="0" w:color="auto"/>
                <w:left w:val="none" w:sz="0" w:space="0" w:color="auto"/>
                <w:bottom w:val="none" w:sz="0" w:space="0" w:color="auto"/>
                <w:right w:val="none" w:sz="0" w:space="0" w:color="auto"/>
              </w:divBdr>
              <w:divsChild>
                <w:div w:id="156462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5710400">
      <w:bodyDiv w:val="1"/>
      <w:marLeft w:val="0"/>
      <w:marRight w:val="0"/>
      <w:marTop w:val="0"/>
      <w:marBottom w:val="0"/>
      <w:divBdr>
        <w:top w:val="none" w:sz="0" w:space="0" w:color="auto"/>
        <w:left w:val="none" w:sz="0" w:space="0" w:color="auto"/>
        <w:bottom w:val="none" w:sz="0" w:space="0" w:color="auto"/>
        <w:right w:val="none" w:sz="0" w:space="0" w:color="auto"/>
      </w:divBdr>
    </w:div>
    <w:div w:id="1781104613">
      <w:bodyDiv w:val="1"/>
      <w:marLeft w:val="0"/>
      <w:marRight w:val="0"/>
      <w:marTop w:val="0"/>
      <w:marBottom w:val="0"/>
      <w:divBdr>
        <w:top w:val="none" w:sz="0" w:space="0" w:color="auto"/>
        <w:left w:val="none" w:sz="0" w:space="0" w:color="auto"/>
        <w:bottom w:val="none" w:sz="0" w:space="0" w:color="auto"/>
        <w:right w:val="none" w:sz="0" w:space="0" w:color="auto"/>
      </w:divBdr>
      <w:divsChild>
        <w:div w:id="2126072566">
          <w:marLeft w:val="0"/>
          <w:marRight w:val="0"/>
          <w:marTop w:val="0"/>
          <w:marBottom w:val="0"/>
          <w:divBdr>
            <w:top w:val="none" w:sz="0" w:space="0" w:color="auto"/>
            <w:left w:val="none" w:sz="0" w:space="0" w:color="auto"/>
            <w:bottom w:val="none" w:sz="0" w:space="0" w:color="auto"/>
            <w:right w:val="none" w:sz="0" w:space="0" w:color="auto"/>
          </w:divBdr>
          <w:divsChild>
            <w:div w:id="2031681646">
              <w:marLeft w:val="0"/>
              <w:marRight w:val="0"/>
              <w:marTop w:val="0"/>
              <w:marBottom w:val="0"/>
              <w:divBdr>
                <w:top w:val="none" w:sz="0" w:space="0" w:color="auto"/>
                <w:left w:val="none" w:sz="0" w:space="0" w:color="auto"/>
                <w:bottom w:val="none" w:sz="0" w:space="0" w:color="auto"/>
                <w:right w:val="none" w:sz="0" w:space="0" w:color="auto"/>
              </w:divBdr>
              <w:divsChild>
                <w:div w:id="1944148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1872738">
      <w:bodyDiv w:val="1"/>
      <w:marLeft w:val="0"/>
      <w:marRight w:val="0"/>
      <w:marTop w:val="0"/>
      <w:marBottom w:val="0"/>
      <w:divBdr>
        <w:top w:val="none" w:sz="0" w:space="0" w:color="auto"/>
        <w:left w:val="none" w:sz="0" w:space="0" w:color="auto"/>
        <w:bottom w:val="none" w:sz="0" w:space="0" w:color="auto"/>
        <w:right w:val="none" w:sz="0" w:space="0" w:color="auto"/>
      </w:divBdr>
      <w:divsChild>
        <w:div w:id="2094351621">
          <w:marLeft w:val="0"/>
          <w:marRight w:val="0"/>
          <w:marTop w:val="0"/>
          <w:marBottom w:val="0"/>
          <w:divBdr>
            <w:top w:val="none" w:sz="0" w:space="0" w:color="auto"/>
            <w:left w:val="none" w:sz="0" w:space="0" w:color="auto"/>
            <w:bottom w:val="none" w:sz="0" w:space="0" w:color="auto"/>
            <w:right w:val="none" w:sz="0" w:space="0" w:color="auto"/>
          </w:divBdr>
          <w:divsChild>
            <w:div w:id="119036457">
              <w:marLeft w:val="0"/>
              <w:marRight w:val="0"/>
              <w:marTop w:val="0"/>
              <w:marBottom w:val="0"/>
              <w:divBdr>
                <w:top w:val="none" w:sz="0" w:space="0" w:color="auto"/>
                <w:left w:val="none" w:sz="0" w:space="0" w:color="auto"/>
                <w:bottom w:val="none" w:sz="0" w:space="0" w:color="auto"/>
                <w:right w:val="none" w:sz="0" w:space="0" w:color="auto"/>
              </w:divBdr>
              <w:divsChild>
                <w:div w:id="2084183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7409726">
      <w:bodyDiv w:val="1"/>
      <w:marLeft w:val="0"/>
      <w:marRight w:val="0"/>
      <w:marTop w:val="0"/>
      <w:marBottom w:val="0"/>
      <w:divBdr>
        <w:top w:val="none" w:sz="0" w:space="0" w:color="auto"/>
        <w:left w:val="none" w:sz="0" w:space="0" w:color="auto"/>
        <w:bottom w:val="none" w:sz="0" w:space="0" w:color="auto"/>
        <w:right w:val="none" w:sz="0" w:space="0" w:color="auto"/>
      </w:divBdr>
    </w:div>
    <w:div w:id="1824808969">
      <w:bodyDiv w:val="1"/>
      <w:marLeft w:val="0"/>
      <w:marRight w:val="0"/>
      <w:marTop w:val="0"/>
      <w:marBottom w:val="0"/>
      <w:divBdr>
        <w:top w:val="none" w:sz="0" w:space="0" w:color="auto"/>
        <w:left w:val="none" w:sz="0" w:space="0" w:color="auto"/>
        <w:bottom w:val="none" w:sz="0" w:space="0" w:color="auto"/>
        <w:right w:val="none" w:sz="0" w:space="0" w:color="auto"/>
      </w:divBdr>
      <w:divsChild>
        <w:div w:id="1571454537">
          <w:marLeft w:val="0"/>
          <w:marRight w:val="0"/>
          <w:marTop w:val="0"/>
          <w:marBottom w:val="0"/>
          <w:divBdr>
            <w:top w:val="none" w:sz="0" w:space="0" w:color="auto"/>
            <w:left w:val="none" w:sz="0" w:space="0" w:color="auto"/>
            <w:bottom w:val="none" w:sz="0" w:space="0" w:color="auto"/>
            <w:right w:val="none" w:sz="0" w:space="0" w:color="auto"/>
          </w:divBdr>
          <w:divsChild>
            <w:div w:id="641230707">
              <w:marLeft w:val="0"/>
              <w:marRight w:val="0"/>
              <w:marTop w:val="0"/>
              <w:marBottom w:val="0"/>
              <w:divBdr>
                <w:top w:val="none" w:sz="0" w:space="0" w:color="auto"/>
                <w:left w:val="none" w:sz="0" w:space="0" w:color="auto"/>
                <w:bottom w:val="none" w:sz="0" w:space="0" w:color="auto"/>
                <w:right w:val="none" w:sz="0" w:space="0" w:color="auto"/>
              </w:divBdr>
              <w:divsChild>
                <w:div w:id="1714113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1752596">
      <w:bodyDiv w:val="1"/>
      <w:marLeft w:val="0"/>
      <w:marRight w:val="0"/>
      <w:marTop w:val="0"/>
      <w:marBottom w:val="0"/>
      <w:divBdr>
        <w:top w:val="none" w:sz="0" w:space="0" w:color="auto"/>
        <w:left w:val="none" w:sz="0" w:space="0" w:color="auto"/>
        <w:bottom w:val="none" w:sz="0" w:space="0" w:color="auto"/>
        <w:right w:val="none" w:sz="0" w:space="0" w:color="auto"/>
      </w:divBdr>
      <w:divsChild>
        <w:div w:id="1498957635">
          <w:marLeft w:val="0"/>
          <w:marRight w:val="0"/>
          <w:marTop w:val="0"/>
          <w:marBottom w:val="0"/>
          <w:divBdr>
            <w:top w:val="none" w:sz="0" w:space="0" w:color="auto"/>
            <w:left w:val="none" w:sz="0" w:space="0" w:color="auto"/>
            <w:bottom w:val="none" w:sz="0" w:space="0" w:color="auto"/>
            <w:right w:val="none" w:sz="0" w:space="0" w:color="auto"/>
          </w:divBdr>
          <w:divsChild>
            <w:div w:id="401761092">
              <w:marLeft w:val="0"/>
              <w:marRight w:val="0"/>
              <w:marTop w:val="0"/>
              <w:marBottom w:val="0"/>
              <w:divBdr>
                <w:top w:val="none" w:sz="0" w:space="0" w:color="auto"/>
                <w:left w:val="none" w:sz="0" w:space="0" w:color="auto"/>
                <w:bottom w:val="none" w:sz="0" w:space="0" w:color="auto"/>
                <w:right w:val="none" w:sz="0" w:space="0" w:color="auto"/>
              </w:divBdr>
              <w:divsChild>
                <w:div w:id="345595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8716231">
      <w:bodyDiv w:val="1"/>
      <w:marLeft w:val="0"/>
      <w:marRight w:val="0"/>
      <w:marTop w:val="0"/>
      <w:marBottom w:val="0"/>
      <w:divBdr>
        <w:top w:val="none" w:sz="0" w:space="0" w:color="auto"/>
        <w:left w:val="none" w:sz="0" w:space="0" w:color="auto"/>
        <w:bottom w:val="none" w:sz="0" w:space="0" w:color="auto"/>
        <w:right w:val="none" w:sz="0" w:space="0" w:color="auto"/>
      </w:divBdr>
    </w:div>
    <w:div w:id="1850411895">
      <w:bodyDiv w:val="1"/>
      <w:marLeft w:val="0"/>
      <w:marRight w:val="0"/>
      <w:marTop w:val="0"/>
      <w:marBottom w:val="0"/>
      <w:divBdr>
        <w:top w:val="none" w:sz="0" w:space="0" w:color="auto"/>
        <w:left w:val="none" w:sz="0" w:space="0" w:color="auto"/>
        <w:bottom w:val="none" w:sz="0" w:space="0" w:color="auto"/>
        <w:right w:val="none" w:sz="0" w:space="0" w:color="auto"/>
      </w:divBdr>
    </w:div>
    <w:div w:id="1879734150">
      <w:bodyDiv w:val="1"/>
      <w:marLeft w:val="0"/>
      <w:marRight w:val="0"/>
      <w:marTop w:val="0"/>
      <w:marBottom w:val="0"/>
      <w:divBdr>
        <w:top w:val="none" w:sz="0" w:space="0" w:color="auto"/>
        <w:left w:val="none" w:sz="0" w:space="0" w:color="auto"/>
        <w:bottom w:val="none" w:sz="0" w:space="0" w:color="auto"/>
        <w:right w:val="none" w:sz="0" w:space="0" w:color="auto"/>
      </w:divBdr>
      <w:divsChild>
        <w:div w:id="1827162317">
          <w:marLeft w:val="0"/>
          <w:marRight w:val="0"/>
          <w:marTop w:val="0"/>
          <w:marBottom w:val="0"/>
          <w:divBdr>
            <w:top w:val="none" w:sz="0" w:space="0" w:color="auto"/>
            <w:left w:val="none" w:sz="0" w:space="0" w:color="auto"/>
            <w:bottom w:val="none" w:sz="0" w:space="0" w:color="auto"/>
            <w:right w:val="none" w:sz="0" w:space="0" w:color="auto"/>
          </w:divBdr>
          <w:divsChild>
            <w:div w:id="1183394225">
              <w:marLeft w:val="0"/>
              <w:marRight w:val="0"/>
              <w:marTop w:val="0"/>
              <w:marBottom w:val="0"/>
              <w:divBdr>
                <w:top w:val="none" w:sz="0" w:space="0" w:color="auto"/>
                <w:left w:val="none" w:sz="0" w:space="0" w:color="auto"/>
                <w:bottom w:val="none" w:sz="0" w:space="0" w:color="auto"/>
                <w:right w:val="none" w:sz="0" w:space="0" w:color="auto"/>
              </w:divBdr>
              <w:divsChild>
                <w:div w:id="1774977670">
                  <w:marLeft w:val="0"/>
                  <w:marRight w:val="0"/>
                  <w:marTop w:val="0"/>
                  <w:marBottom w:val="0"/>
                  <w:divBdr>
                    <w:top w:val="none" w:sz="0" w:space="0" w:color="auto"/>
                    <w:left w:val="none" w:sz="0" w:space="0" w:color="auto"/>
                    <w:bottom w:val="none" w:sz="0" w:space="0" w:color="auto"/>
                    <w:right w:val="none" w:sz="0" w:space="0" w:color="auto"/>
                  </w:divBdr>
                  <w:divsChild>
                    <w:div w:id="485129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0051958">
      <w:bodyDiv w:val="1"/>
      <w:marLeft w:val="0"/>
      <w:marRight w:val="0"/>
      <w:marTop w:val="0"/>
      <w:marBottom w:val="0"/>
      <w:divBdr>
        <w:top w:val="none" w:sz="0" w:space="0" w:color="auto"/>
        <w:left w:val="none" w:sz="0" w:space="0" w:color="auto"/>
        <w:bottom w:val="none" w:sz="0" w:space="0" w:color="auto"/>
        <w:right w:val="none" w:sz="0" w:space="0" w:color="auto"/>
      </w:divBdr>
      <w:divsChild>
        <w:div w:id="278993434">
          <w:marLeft w:val="0"/>
          <w:marRight w:val="0"/>
          <w:marTop w:val="0"/>
          <w:marBottom w:val="0"/>
          <w:divBdr>
            <w:top w:val="none" w:sz="0" w:space="0" w:color="auto"/>
            <w:left w:val="none" w:sz="0" w:space="0" w:color="auto"/>
            <w:bottom w:val="none" w:sz="0" w:space="0" w:color="auto"/>
            <w:right w:val="none" w:sz="0" w:space="0" w:color="auto"/>
          </w:divBdr>
          <w:divsChild>
            <w:div w:id="2088915093">
              <w:marLeft w:val="0"/>
              <w:marRight w:val="0"/>
              <w:marTop w:val="0"/>
              <w:marBottom w:val="0"/>
              <w:divBdr>
                <w:top w:val="none" w:sz="0" w:space="0" w:color="auto"/>
                <w:left w:val="none" w:sz="0" w:space="0" w:color="auto"/>
                <w:bottom w:val="none" w:sz="0" w:space="0" w:color="auto"/>
                <w:right w:val="none" w:sz="0" w:space="0" w:color="auto"/>
              </w:divBdr>
              <w:divsChild>
                <w:div w:id="1539734179">
                  <w:marLeft w:val="0"/>
                  <w:marRight w:val="0"/>
                  <w:marTop w:val="0"/>
                  <w:marBottom w:val="0"/>
                  <w:divBdr>
                    <w:top w:val="none" w:sz="0" w:space="0" w:color="auto"/>
                    <w:left w:val="none" w:sz="0" w:space="0" w:color="auto"/>
                    <w:bottom w:val="none" w:sz="0" w:space="0" w:color="auto"/>
                    <w:right w:val="none" w:sz="0" w:space="0" w:color="auto"/>
                  </w:divBdr>
                  <w:divsChild>
                    <w:div w:id="155034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4272100">
      <w:bodyDiv w:val="1"/>
      <w:marLeft w:val="0"/>
      <w:marRight w:val="0"/>
      <w:marTop w:val="0"/>
      <w:marBottom w:val="0"/>
      <w:divBdr>
        <w:top w:val="none" w:sz="0" w:space="0" w:color="auto"/>
        <w:left w:val="none" w:sz="0" w:space="0" w:color="auto"/>
        <w:bottom w:val="none" w:sz="0" w:space="0" w:color="auto"/>
        <w:right w:val="none" w:sz="0" w:space="0" w:color="auto"/>
      </w:divBdr>
      <w:divsChild>
        <w:div w:id="921795262">
          <w:marLeft w:val="0"/>
          <w:marRight w:val="0"/>
          <w:marTop w:val="0"/>
          <w:marBottom w:val="0"/>
          <w:divBdr>
            <w:top w:val="none" w:sz="0" w:space="0" w:color="auto"/>
            <w:left w:val="none" w:sz="0" w:space="0" w:color="auto"/>
            <w:bottom w:val="none" w:sz="0" w:space="0" w:color="auto"/>
            <w:right w:val="none" w:sz="0" w:space="0" w:color="auto"/>
          </w:divBdr>
          <w:divsChild>
            <w:div w:id="2094350509">
              <w:marLeft w:val="0"/>
              <w:marRight w:val="0"/>
              <w:marTop w:val="0"/>
              <w:marBottom w:val="0"/>
              <w:divBdr>
                <w:top w:val="none" w:sz="0" w:space="0" w:color="auto"/>
                <w:left w:val="none" w:sz="0" w:space="0" w:color="auto"/>
                <w:bottom w:val="none" w:sz="0" w:space="0" w:color="auto"/>
                <w:right w:val="none" w:sz="0" w:space="0" w:color="auto"/>
              </w:divBdr>
              <w:divsChild>
                <w:div w:id="1179465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8666448">
      <w:bodyDiv w:val="1"/>
      <w:marLeft w:val="0"/>
      <w:marRight w:val="0"/>
      <w:marTop w:val="0"/>
      <w:marBottom w:val="0"/>
      <w:divBdr>
        <w:top w:val="none" w:sz="0" w:space="0" w:color="auto"/>
        <w:left w:val="none" w:sz="0" w:space="0" w:color="auto"/>
        <w:bottom w:val="none" w:sz="0" w:space="0" w:color="auto"/>
        <w:right w:val="none" w:sz="0" w:space="0" w:color="auto"/>
      </w:divBdr>
      <w:divsChild>
        <w:div w:id="2131777575">
          <w:marLeft w:val="0"/>
          <w:marRight w:val="0"/>
          <w:marTop w:val="0"/>
          <w:marBottom w:val="0"/>
          <w:divBdr>
            <w:top w:val="none" w:sz="0" w:space="0" w:color="auto"/>
            <w:left w:val="none" w:sz="0" w:space="0" w:color="auto"/>
            <w:bottom w:val="none" w:sz="0" w:space="0" w:color="auto"/>
            <w:right w:val="none" w:sz="0" w:space="0" w:color="auto"/>
          </w:divBdr>
          <w:divsChild>
            <w:div w:id="1426221003">
              <w:marLeft w:val="0"/>
              <w:marRight w:val="0"/>
              <w:marTop w:val="0"/>
              <w:marBottom w:val="0"/>
              <w:divBdr>
                <w:top w:val="none" w:sz="0" w:space="0" w:color="auto"/>
                <w:left w:val="none" w:sz="0" w:space="0" w:color="auto"/>
                <w:bottom w:val="none" w:sz="0" w:space="0" w:color="auto"/>
                <w:right w:val="none" w:sz="0" w:space="0" w:color="auto"/>
              </w:divBdr>
              <w:divsChild>
                <w:div w:id="1706364351">
                  <w:marLeft w:val="0"/>
                  <w:marRight w:val="0"/>
                  <w:marTop w:val="0"/>
                  <w:marBottom w:val="0"/>
                  <w:divBdr>
                    <w:top w:val="none" w:sz="0" w:space="0" w:color="auto"/>
                    <w:left w:val="none" w:sz="0" w:space="0" w:color="auto"/>
                    <w:bottom w:val="none" w:sz="0" w:space="0" w:color="auto"/>
                    <w:right w:val="none" w:sz="0" w:space="0" w:color="auto"/>
                  </w:divBdr>
                  <w:divsChild>
                    <w:div w:id="1124080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0704319">
      <w:bodyDiv w:val="1"/>
      <w:marLeft w:val="0"/>
      <w:marRight w:val="0"/>
      <w:marTop w:val="0"/>
      <w:marBottom w:val="0"/>
      <w:divBdr>
        <w:top w:val="none" w:sz="0" w:space="0" w:color="auto"/>
        <w:left w:val="none" w:sz="0" w:space="0" w:color="auto"/>
        <w:bottom w:val="none" w:sz="0" w:space="0" w:color="auto"/>
        <w:right w:val="none" w:sz="0" w:space="0" w:color="auto"/>
      </w:divBdr>
      <w:divsChild>
        <w:div w:id="493497460">
          <w:marLeft w:val="0"/>
          <w:marRight w:val="0"/>
          <w:marTop w:val="0"/>
          <w:marBottom w:val="0"/>
          <w:divBdr>
            <w:top w:val="none" w:sz="0" w:space="0" w:color="auto"/>
            <w:left w:val="none" w:sz="0" w:space="0" w:color="auto"/>
            <w:bottom w:val="none" w:sz="0" w:space="0" w:color="auto"/>
            <w:right w:val="none" w:sz="0" w:space="0" w:color="auto"/>
          </w:divBdr>
          <w:divsChild>
            <w:div w:id="1438595353">
              <w:marLeft w:val="0"/>
              <w:marRight w:val="0"/>
              <w:marTop w:val="0"/>
              <w:marBottom w:val="0"/>
              <w:divBdr>
                <w:top w:val="none" w:sz="0" w:space="0" w:color="auto"/>
                <w:left w:val="none" w:sz="0" w:space="0" w:color="auto"/>
                <w:bottom w:val="none" w:sz="0" w:space="0" w:color="auto"/>
                <w:right w:val="none" w:sz="0" w:space="0" w:color="auto"/>
              </w:divBdr>
              <w:divsChild>
                <w:div w:id="1622034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5697291">
      <w:bodyDiv w:val="1"/>
      <w:marLeft w:val="0"/>
      <w:marRight w:val="0"/>
      <w:marTop w:val="0"/>
      <w:marBottom w:val="0"/>
      <w:divBdr>
        <w:top w:val="none" w:sz="0" w:space="0" w:color="auto"/>
        <w:left w:val="none" w:sz="0" w:space="0" w:color="auto"/>
        <w:bottom w:val="none" w:sz="0" w:space="0" w:color="auto"/>
        <w:right w:val="none" w:sz="0" w:space="0" w:color="auto"/>
      </w:divBdr>
      <w:divsChild>
        <w:div w:id="598023496">
          <w:marLeft w:val="0"/>
          <w:marRight w:val="0"/>
          <w:marTop w:val="0"/>
          <w:marBottom w:val="0"/>
          <w:divBdr>
            <w:top w:val="none" w:sz="0" w:space="0" w:color="auto"/>
            <w:left w:val="none" w:sz="0" w:space="0" w:color="auto"/>
            <w:bottom w:val="none" w:sz="0" w:space="0" w:color="auto"/>
            <w:right w:val="none" w:sz="0" w:space="0" w:color="auto"/>
          </w:divBdr>
          <w:divsChild>
            <w:div w:id="404500691">
              <w:marLeft w:val="0"/>
              <w:marRight w:val="0"/>
              <w:marTop w:val="0"/>
              <w:marBottom w:val="0"/>
              <w:divBdr>
                <w:top w:val="none" w:sz="0" w:space="0" w:color="auto"/>
                <w:left w:val="none" w:sz="0" w:space="0" w:color="auto"/>
                <w:bottom w:val="none" w:sz="0" w:space="0" w:color="auto"/>
                <w:right w:val="none" w:sz="0" w:space="0" w:color="auto"/>
              </w:divBdr>
              <w:divsChild>
                <w:div w:id="1962371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8591871">
      <w:bodyDiv w:val="1"/>
      <w:marLeft w:val="0"/>
      <w:marRight w:val="0"/>
      <w:marTop w:val="0"/>
      <w:marBottom w:val="0"/>
      <w:divBdr>
        <w:top w:val="none" w:sz="0" w:space="0" w:color="auto"/>
        <w:left w:val="none" w:sz="0" w:space="0" w:color="auto"/>
        <w:bottom w:val="none" w:sz="0" w:space="0" w:color="auto"/>
        <w:right w:val="none" w:sz="0" w:space="0" w:color="auto"/>
      </w:divBdr>
      <w:divsChild>
        <w:div w:id="934479952">
          <w:marLeft w:val="0"/>
          <w:marRight w:val="0"/>
          <w:marTop w:val="0"/>
          <w:marBottom w:val="0"/>
          <w:divBdr>
            <w:top w:val="none" w:sz="0" w:space="0" w:color="auto"/>
            <w:left w:val="none" w:sz="0" w:space="0" w:color="auto"/>
            <w:bottom w:val="none" w:sz="0" w:space="0" w:color="auto"/>
            <w:right w:val="none" w:sz="0" w:space="0" w:color="auto"/>
          </w:divBdr>
          <w:divsChild>
            <w:div w:id="993724131">
              <w:marLeft w:val="0"/>
              <w:marRight w:val="0"/>
              <w:marTop w:val="0"/>
              <w:marBottom w:val="0"/>
              <w:divBdr>
                <w:top w:val="none" w:sz="0" w:space="0" w:color="auto"/>
                <w:left w:val="none" w:sz="0" w:space="0" w:color="auto"/>
                <w:bottom w:val="none" w:sz="0" w:space="0" w:color="auto"/>
                <w:right w:val="none" w:sz="0" w:space="0" w:color="auto"/>
              </w:divBdr>
              <w:divsChild>
                <w:div w:id="2133207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9485734">
      <w:bodyDiv w:val="1"/>
      <w:marLeft w:val="0"/>
      <w:marRight w:val="0"/>
      <w:marTop w:val="0"/>
      <w:marBottom w:val="0"/>
      <w:divBdr>
        <w:top w:val="none" w:sz="0" w:space="0" w:color="auto"/>
        <w:left w:val="none" w:sz="0" w:space="0" w:color="auto"/>
        <w:bottom w:val="none" w:sz="0" w:space="0" w:color="auto"/>
        <w:right w:val="none" w:sz="0" w:space="0" w:color="auto"/>
      </w:divBdr>
      <w:divsChild>
        <w:div w:id="642468889">
          <w:marLeft w:val="0"/>
          <w:marRight w:val="0"/>
          <w:marTop w:val="0"/>
          <w:marBottom w:val="0"/>
          <w:divBdr>
            <w:top w:val="none" w:sz="0" w:space="0" w:color="auto"/>
            <w:left w:val="none" w:sz="0" w:space="0" w:color="auto"/>
            <w:bottom w:val="none" w:sz="0" w:space="0" w:color="auto"/>
            <w:right w:val="none" w:sz="0" w:space="0" w:color="auto"/>
          </w:divBdr>
          <w:divsChild>
            <w:div w:id="93940334">
              <w:marLeft w:val="0"/>
              <w:marRight w:val="0"/>
              <w:marTop w:val="0"/>
              <w:marBottom w:val="0"/>
              <w:divBdr>
                <w:top w:val="none" w:sz="0" w:space="0" w:color="auto"/>
                <w:left w:val="none" w:sz="0" w:space="0" w:color="auto"/>
                <w:bottom w:val="none" w:sz="0" w:space="0" w:color="auto"/>
                <w:right w:val="none" w:sz="0" w:space="0" w:color="auto"/>
              </w:divBdr>
              <w:divsChild>
                <w:div w:id="635337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192114">
      <w:bodyDiv w:val="1"/>
      <w:marLeft w:val="0"/>
      <w:marRight w:val="0"/>
      <w:marTop w:val="0"/>
      <w:marBottom w:val="0"/>
      <w:divBdr>
        <w:top w:val="none" w:sz="0" w:space="0" w:color="auto"/>
        <w:left w:val="none" w:sz="0" w:space="0" w:color="auto"/>
        <w:bottom w:val="none" w:sz="0" w:space="0" w:color="auto"/>
        <w:right w:val="none" w:sz="0" w:space="0" w:color="auto"/>
      </w:divBdr>
    </w:div>
    <w:div w:id="1931230597">
      <w:bodyDiv w:val="1"/>
      <w:marLeft w:val="0"/>
      <w:marRight w:val="0"/>
      <w:marTop w:val="0"/>
      <w:marBottom w:val="0"/>
      <w:divBdr>
        <w:top w:val="none" w:sz="0" w:space="0" w:color="auto"/>
        <w:left w:val="none" w:sz="0" w:space="0" w:color="auto"/>
        <w:bottom w:val="none" w:sz="0" w:space="0" w:color="auto"/>
        <w:right w:val="none" w:sz="0" w:space="0" w:color="auto"/>
      </w:divBdr>
      <w:divsChild>
        <w:div w:id="1103839239">
          <w:marLeft w:val="0"/>
          <w:marRight w:val="0"/>
          <w:marTop w:val="0"/>
          <w:marBottom w:val="0"/>
          <w:divBdr>
            <w:top w:val="none" w:sz="0" w:space="0" w:color="auto"/>
            <w:left w:val="none" w:sz="0" w:space="0" w:color="auto"/>
            <w:bottom w:val="none" w:sz="0" w:space="0" w:color="auto"/>
            <w:right w:val="none" w:sz="0" w:space="0" w:color="auto"/>
          </w:divBdr>
          <w:divsChild>
            <w:div w:id="1761179501">
              <w:marLeft w:val="0"/>
              <w:marRight w:val="0"/>
              <w:marTop w:val="0"/>
              <w:marBottom w:val="0"/>
              <w:divBdr>
                <w:top w:val="none" w:sz="0" w:space="0" w:color="auto"/>
                <w:left w:val="none" w:sz="0" w:space="0" w:color="auto"/>
                <w:bottom w:val="none" w:sz="0" w:space="0" w:color="auto"/>
                <w:right w:val="none" w:sz="0" w:space="0" w:color="auto"/>
              </w:divBdr>
              <w:divsChild>
                <w:div w:id="715272935">
                  <w:marLeft w:val="0"/>
                  <w:marRight w:val="0"/>
                  <w:marTop w:val="0"/>
                  <w:marBottom w:val="0"/>
                  <w:divBdr>
                    <w:top w:val="none" w:sz="0" w:space="0" w:color="auto"/>
                    <w:left w:val="none" w:sz="0" w:space="0" w:color="auto"/>
                    <w:bottom w:val="none" w:sz="0" w:space="0" w:color="auto"/>
                    <w:right w:val="none" w:sz="0" w:space="0" w:color="auto"/>
                  </w:divBdr>
                  <w:divsChild>
                    <w:div w:id="167405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3024234">
      <w:bodyDiv w:val="1"/>
      <w:marLeft w:val="0"/>
      <w:marRight w:val="0"/>
      <w:marTop w:val="0"/>
      <w:marBottom w:val="0"/>
      <w:divBdr>
        <w:top w:val="none" w:sz="0" w:space="0" w:color="auto"/>
        <w:left w:val="none" w:sz="0" w:space="0" w:color="auto"/>
        <w:bottom w:val="none" w:sz="0" w:space="0" w:color="auto"/>
        <w:right w:val="none" w:sz="0" w:space="0" w:color="auto"/>
      </w:divBdr>
      <w:divsChild>
        <w:div w:id="316543544">
          <w:marLeft w:val="0"/>
          <w:marRight w:val="0"/>
          <w:marTop w:val="0"/>
          <w:marBottom w:val="0"/>
          <w:divBdr>
            <w:top w:val="none" w:sz="0" w:space="0" w:color="auto"/>
            <w:left w:val="none" w:sz="0" w:space="0" w:color="auto"/>
            <w:bottom w:val="none" w:sz="0" w:space="0" w:color="auto"/>
            <w:right w:val="none" w:sz="0" w:space="0" w:color="auto"/>
          </w:divBdr>
          <w:divsChild>
            <w:div w:id="883714266">
              <w:marLeft w:val="0"/>
              <w:marRight w:val="0"/>
              <w:marTop w:val="0"/>
              <w:marBottom w:val="0"/>
              <w:divBdr>
                <w:top w:val="none" w:sz="0" w:space="0" w:color="auto"/>
                <w:left w:val="none" w:sz="0" w:space="0" w:color="auto"/>
                <w:bottom w:val="none" w:sz="0" w:space="0" w:color="auto"/>
                <w:right w:val="none" w:sz="0" w:space="0" w:color="auto"/>
              </w:divBdr>
              <w:divsChild>
                <w:div w:id="1616788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0820736">
      <w:bodyDiv w:val="1"/>
      <w:marLeft w:val="0"/>
      <w:marRight w:val="0"/>
      <w:marTop w:val="0"/>
      <w:marBottom w:val="0"/>
      <w:divBdr>
        <w:top w:val="none" w:sz="0" w:space="0" w:color="auto"/>
        <w:left w:val="none" w:sz="0" w:space="0" w:color="auto"/>
        <w:bottom w:val="none" w:sz="0" w:space="0" w:color="auto"/>
        <w:right w:val="none" w:sz="0" w:space="0" w:color="auto"/>
      </w:divBdr>
    </w:div>
    <w:div w:id="1958874414">
      <w:bodyDiv w:val="1"/>
      <w:marLeft w:val="0"/>
      <w:marRight w:val="0"/>
      <w:marTop w:val="0"/>
      <w:marBottom w:val="0"/>
      <w:divBdr>
        <w:top w:val="none" w:sz="0" w:space="0" w:color="auto"/>
        <w:left w:val="none" w:sz="0" w:space="0" w:color="auto"/>
        <w:bottom w:val="none" w:sz="0" w:space="0" w:color="auto"/>
        <w:right w:val="none" w:sz="0" w:space="0" w:color="auto"/>
      </w:divBdr>
    </w:div>
    <w:div w:id="2005283727">
      <w:bodyDiv w:val="1"/>
      <w:marLeft w:val="0"/>
      <w:marRight w:val="0"/>
      <w:marTop w:val="0"/>
      <w:marBottom w:val="0"/>
      <w:divBdr>
        <w:top w:val="none" w:sz="0" w:space="0" w:color="auto"/>
        <w:left w:val="none" w:sz="0" w:space="0" w:color="auto"/>
        <w:bottom w:val="none" w:sz="0" w:space="0" w:color="auto"/>
        <w:right w:val="none" w:sz="0" w:space="0" w:color="auto"/>
      </w:divBdr>
    </w:div>
    <w:div w:id="2034334568">
      <w:bodyDiv w:val="1"/>
      <w:marLeft w:val="0"/>
      <w:marRight w:val="0"/>
      <w:marTop w:val="0"/>
      <w:marBottom w:val="0"/>
      <w:divBdr>
        <w:top w:val="none" w:sz="0" w:space="0" w:color="auto"/>
        <w:left w:val="none" w:sz="0" w:space="0" w:color="auto"/>
        <w:bottom w:val="none" w:sz="0" w:space="0" w:color="auto"/>
        <w:right w:val="none" w:sz="0" w:space="0" w:color="auto"/>
      </w:divBdr>
      <w:divsChild>
        <w:div w:id="629751782">
          <w:marLeft w:val="0"/>
          <w:marRight w:val="0"/>
          <w:marTop w:val="0"/>
          <w:marBottom w:val="0"/>
          <w:divBdr>
            <w:top w:val="none" w:sz="0" w:space="0" w:color="auto"/>
            <w:left w:val="none" w:sz="0" w:space="0" w:color="auto"/>
            <w:bottom w:val="none" w:sz="0" w:space="0" w:color="auto"/>
            <w:right w:val="none" w:sz="0" w:space="0" w:color="auto"/>
          </w:divBdr>
          <w:divsChild>
            <w:div w:id="1523398754">
              <w:marLeft w:val="0"/>
              <w:marRight w:val="0"/>
              <w:marTop w:val="0"/>
              <w:marBottom w:val="0"/>
              <w:divBdr>
                <w:top w:val="none" w:sz="0" w:space="0" w:color="auto"/>
                <w:left w:val="none" w:sz="0" w:space="0" w:color="auto"/>
                <w:bottom w:val="none" w:sz="0" w:space="0" w:color="auto"/>
                <w:right w:val="none" w:sz="0" w:space="0" w:color="auto"/>
              </w:divBdr>
              <w:divsChild>
                <w:div w:id="1098257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8042939">
      <w:bodyDiv w:val="1"/>
      <w:marLeft w:val="0"/>
      <w:marRight w:val="0"/>
      <w:marTop w:val="0"/>
      <w:marBottom w:val="0"/>
      <w:divBdr>
        <w:top w:val="none" w:sz="0" w:space="0" w:color="auto"/>
        <w:left w:val="none" w:sz="0" w:space="0" w:color="auto"/>
        <w:bottom w:val="none" w:sz="0" w:space="0" w:color="auto"/>
        <w:right w:val="none" w:sz="0" w:space="0" w:color="auto"/>
      </w:divBdr>
      <w:divsChild>
        <w:div w:id="1759475213">
          <w:marLeft w:val="0"/>
          <w:marRight w:val="0"/>
          <w:marTop w:val="0"/>
          <w:marBottom w:val="0"/>
          <w:divBdr>
            <w:top w:val="none" w:sz="0" w:space="0" w:color="auto"/>
            <w:left w:val="none" w:sz="0" w:space="0" w:color="auto"/>
            <w:bottom w:val="none" w:sz="0" w:space="0" w:color="auto"/>
            <w:right w:val="none" w:sz="0" w:space="0" w:color="auto"/>
          </w:divBdr>
          <w:divsChild>
            <w:div w:id="779253914">
              <w:marLeft w:val="0"/>
              <w:marRight w:val="0"/>
              <w:marTop w:val="0"/>
              <w:marBottom w:val="0"/>
              <w:divBdr>
                <w:top w:val="none" w:sz="0" w:space="0" w:color="auto"/>
                <w:left w:val="none" w:sz="0" w:space="0" w:color="auto"/>
                <w:bottom w:val="none" w:sz="0" w:space="0" w:color="auto"/>
                <w:right w:val="none" w:sz="0" w:space="0" w:color="auto"/>
              </w:divBdr>
              <w:divsChild>
                <w:div w:id="217862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8752653">
      <w:bodyDiv w:val="1"/>
      <w:marLeft w:val="0"/>
      <w:marRight w:val="0"/>
      <w:marTop w:val="0"/>
      <w:marBottom w:val="0"/>
      <w:divBdr>
        <w:top w:val="none" w:sz="0" w:space="0" w:color="auto"/>
        <w:left w:val="none" w:sz="0" w:space="0" w:color="auto"/>
        <w:bottom w:val="none" w:sz="0" w:space="0" w:color="auto"/>
        <w:right w:val="none" w:sz="0" w:space="0" w:color="auto"/>
      </w:divBdr>
    </w:div>
    <w:div w:id="2053263274">
      <w:bodyDiv w:val="1"/>
      <w:marLeft w:val="0"/>
      <w:marRight w:val="0"/>
      <w:marTop w:val="0"/>
      <w:marBottom w:val="0"/>
      <w:divBdr>
        <w:top w:val="none" w:sz="0" w:space="0" w:color="auto"/>
        <w:left w:val="none" w:sz="0" w:space="0" w:color="auto"/>
        <w:bottom w:val="none" w:sz="0" w:space="0" w:color="auto"/>
        <w:right w:val="none" w:sz="0" w:space="0" w:color="auto"/>
      </w:divBdr>
    </w:div>
    <w:div w:id="2061443421">
      <w:bodyDiv w:val="1"/>
      <w:marLeft w:val="0"/>
      <w:marRight w:val="0"/>
      <w:marTop w:val="0"/>
      <w:marBottom w:val="0"/>
      <w:divBdr>
        <w:top w:val="none" w:sz="0" w:space="0" w:color="auto"/>
        <w:left w:val="none" w:sz="0" w:space="0" w:color="auto"/>
        <w:bottom w:val="none" w:sz="0" w:space="0" w:color="auto"/>
        <w:right w:val="none" w:sz="0" w:space="0" w:color="auto"/>
      </w:divBdr>
    </w:div>
    <w:div w:id="2070423995">
      <w:bodyDiv w:val="1"/>
      <w:marLeft w:val="0"/>
      <w:marRight w:val="0"/>
      <w:marTop w:val="0"/>
      <w:marBottom w:val="0"/>
      <w:divBdr>
        <w:top w:val="none" w:sz="0" w:space="0" w:color="auto"/>
        <w:left w:val="none" w:sz="0" w:space="0" w:color="auto"/>
        <w:bottom w:val="none" w:sz="0" w:space="0" w:color="auto"/>
        <w:right w:val="none" w:sz="0" w:space="0" w:color="auto"/>
      </w:divBdr>
      <w:divsChild>
        <w:div w:id="658076500">
          <w:marLeft w:val="0"/>
          <w:marRight w:val="0"/>
          <w:marTop w:val="0"/>
          <w:marBottom w:val="0"/>
          <w:divBdr>
            <w:top w:val="none" w:sz="0" w:space="0" w:color="auto"/>
            <w:left w:val="none" w:sz="0" w:space="0" w:color="auto"/>
            <w:bottom w:val="none" w:sz="0" w:space="0" w:color="auto"/>
            <w:right w:val="none" w:sz="0" w:space="0" w:color="auto"/>
          </w:divBdr>
          <w:divsChild>
            <w:div w:id="562565702">
              <w:marLeft w:val="0"/>
              <w:marRight w:val="0"/>
              <w:marTop w:val="0"/>
              <w:marBottom w:val="0"/>
              <w:divBdr>
                <w:top w:val="none" w:sz="0" w:space="0" w:color="auto"/>
                <w:left w:val="none" w:sz="0" w:space="0" w:color="auto"/>
                <w:bottom w:val="none" w:sz="0" w:space="0" w:color="auto"/>
                <w:right w:val="none" w:sz="0" w:space="0" w:color="auto"/>
              </w:divBdr>
              <w:divsChild>
                <w:div w:id="752439169">
                  <w:marLeft w:val="0"/>
                  <w:marRight w:val="0"/>
                  <w:marTop w:val="0"/>
                  <w:marBottom w:val="0"/>
                  <w:divBdr>
                    <w:top w:val="none" w:sz="0" w:space="0" w:color="auto"/>
                    <w:left w:val="none" w:sz="0" w:space="0" w:color="auto"/>
                    <w:bottom w:val="none" w:sz="0" w:space="0" w:color="auto"/>
                    <w:right w:val="none" w:sz="0" w:space="0" w:color="auto"/>
                  </w:divBdr>
                  <w:divsChild>
                    <w:div w:id="701249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1340439">
      <w:bodyDiv w:val="1"/>
      <w:marLeft w:val="0"/>
      <w:marRight w:val="0"/>
      <w:marTop w:val="0"/>
      <w:marBottom w:val="0"/>
      <w:divBdr>
        <w:top w:val="none" w:sz="0" w:space="0" w:color="auto"/>
        <w:left w:val="none" w:sz="0" w:space="0" w:color="auto"/>
        <w:bottom w:val="none" w:sz="0" w:space="0" w:color="auto"/>
        <w:right w:val="none" w:sz="0" w:space="0" w:color="auto"/>
      </w:divBdr>
      <w:divsChild>
        <w:div w:id="644820885">
          <w:marLeft w:val="0"/>
          <w:marRight w:val="0"/>
          <w:marTop w:val="0"/>
          <w:marBottom w:val="0"/>
          <w:divBdr>
            <w:top w:val="none" w:sz="0" w:space="0" w:color="auto"/>
            <w:left w:val="none" w:sz="0" w:space="0" w:color="auto"/>
            <w:bottom w:val="none" w:sz="0" w:space="0" w:color="auto"/>
            <w:right w:val="none" w:sz="0" w:space="0" w:color="auto"/>
          </w:divBdr>
          <w:divsChild>
            <w:div w:id="1515723499">
              <w:marLeft w:val="0"/>
              <w:marRight w:val="0"/>
              <w:marTop w:val="0"/>
              <w:marBottom w:val="0"/>
              <w:divBdr>
                <w:top w:val="none" w:sz="0" w:space="0" w:color="auto"/>
                <w:left w:val="none" w:sz="0" w:space="0" w:color="auto"/>
                <w:bottom w:val="none" w:sz="0" w:space="0" w:color="auto"/>
                <w:right w:val="none" w:sz="0" w:space="0" w:color="auto"/>
              </w:divBdr>
              <w:divsChild>
                <w:div w:id="1119715139">
                  <w:marLeft w:val="0"/>
                  <w:marRight w:val="0"/>
                  <w:marTop w:val="0"/>
                  <w:marBottom w:val="0"/>
                  <w:divBdr>
                    <w:top w:val="none" w:sz="0" w:space="0" w:color="auto"/>
                    <w:left w:val="none" w:sz="0" w:space="0" w:color="auto"/>
                    <w:bottom w:val="none" w:sz="0" w:space="0" w:color="auto"/>
                    <w:right w:val="none" w:sz="0" w:space="0" w:color="auto"/>
                  </w:divBdr>
                  <w:divsChild>
                    <w:div w:id="94325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4036297">
      <w:bodyDiv w:val="1"/>
      <w:marLeft w:val="0"/>
      <w:marRight w:val="0"/>
      <w:marTop w:val="0"/>
      <w:marBottom w:val="0"/>
      <w:divBdr>
        <w:top w:val="none" w:sz="0" w:space="0" w:color="auto"/>
        <w:left w:val="none" w:sz="0" w:space="0" w:color="auto"/>
        <w:bottom w:val="none" w:sz="0" w:space="0" w:color="auto"/>
        <w:right w:val="none" w:sz="0" w:space="0" w:color="auto"/>
      </w:divBdr>
      <w:divsChild>
        <w:div w:id="506595946">
          <w:marLeft w:val="0"/>
          <w:marRight w:val="0"/>
          <w:marTop w:val="0"/>
          <w:marBottom w:val="0"/>
          <w:divBdr>
            <w:top w:val="none" w:sz="0" w:space="0" w:color="auto"/>
            <w:left w:val="none" w:sz="0" w:space="0" w:color="auto"/>
            <w:bottom w:val="none" w:sz="0" w:space="0" w:color="auto"/>
            <w:right w:val="none" w:sz="0" w:space="0" w:color="auto"/>
          </w:divBdr>
          <w:divsChild>
            <w:div w:id="1567449719">
              <w:marLeft w:val="0"/>
              <w:marRight w:val="0"/>
              <w:marTop w:val="0"/>
              <w:marBottom w:val="0"/>
              <w:divBdr>
                <w:top w:val="none" w:sz="0" w:space="0" w:color="auto"/>
                <w:left w:val="none" w:sz="0" w:space="0" w:color="auto"/>
                <w:bottom w:val="none" w:sz="0" w:space="0" w:color="auto"/>
                <w:right w:val="none" w:sz="0" w:space="0" w:color="auto"/>
              </w:divBdr>
              <w:divsChild>
                <w:div w:id="1936553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6073025">
      <w:bodyDiv w:val="1"/>
      <w:marLeft w:val="0"/>
      <w:marRight w:val="0"/>
      <w:marTop w:val="0"/>
      <w:marBottom w:val="0"/>
      <w:divBdr>
        <w:top w:val="none" w:sz="0" w:space="0" w:color="auto"/>
        <w:left w:val="none" w:sz="0" w:space="0" w:color="auto"/>
        <w:bottom w:val="none" w:sz="0" w:space="0" w:color="auto"/>
        <w:right w:val="none" w:sz="0" w:space="0" w:color="auto"/>
      </w:divBdr>
      <w:divsChild>
        <w:div w:id="737552877">
          <w:marLeft w:val="0"/>
          <w:marRight w:val="0"/>
          <w:marTop w:val="0"/>
          <w:marBottom w:val="0"/>
          <w:divBdr>
            <w:top w:val="none" w:sz="0" w:space="0" w:color="auto"/>
            <w:left w:val="none" w:sz="0" w:space="0" w:color="auto"/>
            <w:bottom w:val="none" w:sz="0" w:space="0" w:color="auto"/>
            <w:right w:val="none" w:sz="0" w:space="0" w:color="auto"/>
          </w:divBdr>
          <w:divsChild>
            <w:div w:id="716508919">
              <w:marLeft w:val="0"/>
              <w:marRight w:val="0"/>
              <w:marTop w:val="0"/>
              <w:marBottom w:val="0"/>
              <w:divBdr>
                <w:top w:val="none" w:sz="0" w:space="0" w:color="auto"/>
                <w:left w:val="none" w:sz="0" w:space="0" w:color="auto"/>
                <w:bottom w:val="none" w:sz="0" w:space="0" w:color="auto"/>
                <w:right w:val="none" w:sz="0" w:space="0" w:color="auto"/>
              </w:divBdr>
              <w:divsChild>
                <w:div w:id="39478133">
                  <w:marLeft w:val="0"/>
                  <w:marRight w:val="0"/>
                  <w:marTop w:val="0"/>
                  <w:marBottom w:val="0"/>
                  <w:divBdr>
                    <w:top w:val="none" w:sz="0" w:space="0" w:color="auto"/>
                    <w:left w:val="none" w:sz="0" w:space="0" w:color="auto"/>
                    <w:bottom w:val="none" w:sz="0" w:space="0" w:color="auto"/>
                    <w:right w:val="none" w:sz="0" w:space="0" w:color="auto"/>
                  </w:divBdr>
                  <w:divsChild>
                    <w:div w:id="439640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3739674">
      <w:bodyDiv w:val="1"/>
      <w:marLeft w:val="0"/>
      <w:marRight w:val="0"/>
      <w:marTop w:val="0"/>
      <w:marBottom w:val="0"/>
      <w:divBdr>
        <w:top w:val="none" w:sz="0" w:space="0" w:color="auto"/>
        <w:left w:val="none" w:sz="0" w:space="0" w:color="auto"/>
        <w:bottom w:val="none" w:sz="0" w:space="0" w:color="auto"/>
        <w:right w:val="none" w:sz="0" w:space="0" w:color="auto"/>
      </w:divBdr>
    </w:div>
    <w:div w:id="2124689357">
      <w:bodyDiv w:val="1"/>
      <w:marLeft w:val="0"/>
      <w:marRight w:val="0"/>
      <w:marTop w:val="0"/>
      <w:marBottom w:val="0"/>
      <w:divBdr>
        <w:top w:val="none" w:sz="0" w:space="0" w:color="auto"/>
        <w:left w:val="none" w:sz="0" w:space="0" w:color="auto"/>
        <w:bottom w:val="none" w:sz="0" w:space="0" w:color="auto"/>
        <w:right w:val="none" w:sz="0" w:space="0" w:color="auto"/>
      </w:divBdr>
      <w:divsChild>
        <w:div w:id="575673162">
          <w:marLeft w:val="0"/>
          <w:marRight w:val="0"/>
          <w:marTop w:val="0"/>
          <w:marBottom w:val="0"/>
          <w:divBdr>
            <w:top w:val="none" w:sz="0" w:space="0" w:color="auto"/>
            <w:left w:val="none" w:sz="0" w:space="0" w:color="auto"/>
            <w:bottom w:val="none" w:sz="0" w:space="0" w:color="auto"/>
            <w:right w:val="none" w:sz="0" w:space="0" w:color="auto"/>
          </w:divBdr>
          <w:divsChild>
            <w:div w:id="646399809">
              <w:marLeft w:val="0"/>
              <w:marRight w:val="0"/>
              <w:marTop w:val="0"/>
              <w:marBottom w:val="0"/>
              <w:divBdr>
                <w:top w:val="none" w:sz="0" w:space="0" w:color="auto"/>
                <w:left w:val="none" w:sz="0" w:space="0" w:color="auto"/>
                <w:bottom w:val="none" w:sz="0" w:space="0" w:color="auto"/>
                <w:right w:val="none" w:sz="0" w:space="0" w:color="auto"/>
              </w:divBdr>
              <w:divsChild>
                <w:div w:id="209269257">
                  <w:marLeft w:val="0"/>
                  <w:marRight w:val="0"/>
                  <w:marTop w:val="0"/>
                  <w:marBottom w:val="0"/>
                  <w:divBdr>
                    <w:top w:val="none" w:sz="0" w:space="0" w:color="auto"/>
                    <w:left w:val="none" w:sz="0" w:space="0" w:color="auto"/>
                    <w:bottom w:val="none" w:sz="0" w:space="0" w:color="auto"/>
                    <w:right w:val="none" w:sz="0" w:space="0" w:color="auto"/>
                  </w:divBdr>
                  <w:divsChild>
                    <w:div w:id="1947224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4882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health.gov.au/committees-and-groups/natural-therapies-review-expert-advisory-panel"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ommunications@nhmrc.gov.au"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nhmrc.gov.au/about-us/leadership-and-governance/committees/natural-therapies-working-committee"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tga.gov.au/news/safety-alerts/health-supplements-containing-vitamin-b6-can-cause-peripheral-neuropathy" TargetMode="External"/><Relationship Id="rId2" Type="http://schemas.openxmlformats.org/officeDocument/2006/relationships/hyperlink" Target="https://www.tga.gov.au/news/safety-alerts/health-supplements-containing-vitamin-b6-can-cause-peripheral-neuropathy" TargetMode="External"/><Relationship Id="rId1" Type="http://schemas.openxmlformats.org/officeDocument/2006/relationships/hyperlink" Target="https://www.tga.gov.au/news/safety-alerts/health-supplements-containing-vitamin-b6-can-cause-peripheral-neuropathy" TargetMode="External"/><Relationship Id="rId6" Type="http://schemas.openxmlformats.org/officeDocument/2006/relationships/hyperlink" Target="https://www.tga.gov.au/news/safety-alerts/health-supplements-containing-vitamin-b6-can-cause-peripheral-neuropathy" TargetMode="External"/><Relationship Id="rId5" Type="http://schemas.openxmlformats.org/officeDocument/2006/relationships/hyperlink" Target="https://www.tga.gov.au/news/safety-alerts/health-supplements-containing-vitamin-b6-can-cause-peripheral-neuropathy" TargetMode="External"/><Relationship Id="rId4" Type="http://schemas.openxmlformats.org/officeDocument/2006/relationships/hyperlink" Target="https://www.tga.gov.au/news/safety-alerts/health-supplements-containing-vitamin-b6-can-cause-peripheral-neuropath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940D914E146024490871F947646B4C5" ma:contentTypeVersion="6" ma:contentTypeDescription="Create a new document." ma:contentTypeScope="" ma:versionID="d2f37033967eed70b3470ebaee0023a0">
  <xsd:schema xmlns:xsd="http://www.w3.org/2001/XMLSchema" xmlns:xs="http://www.w3.org/2001/XMLSchema" xmlns:p="http://schemas.microsoft.com/office/2006/metadata/properties" xmlns:ns2="ae63b132-8ee0-421b-b5c9-27568b0a8a71" targetNamespace="http://schemas.microsoft.com/office/2006/metadata/properties" ma:root="true" ma:fieldsID="33fa554c964b6813af71297bc176a4c5" ns2:_="">
    <xsd:import namespace="ae63b132-8ee0-421b-b5c9-27568b0a8a7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63b132-8ee0-421b-b5c9-27568b0a8a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FC03E03-7201-495E-8C05-814102C1DD4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ACB79C9-06D9-4F01-A368-BFC8464CBCBE}">
  <ds:schemaRefs>
    <ds:schemaRef ds:uri="http://schemas.openxmlformats.org/officeDocument/2006/bibliography"/>
  </ds:schemaRefs>
</ds:datastoreItem>
</file>

<file path=customXml/itemProps3.xml><?xml version="1.0" encoding="utf-8"?>
<ds:datastoreItem xmlns:ds="http://schemas.openxmlformats.org/officeDocument/2006/customXml" ds:itemID="{A686DB9B-000F-42DB-9A9C-F06B9B4EB0DF}">
  <ds:schemaRefs>
    <ds:schemaRef ds:uri="http://schemas.microsoft.com/sharepoint/v3/contenttype/forms"/>
  </ds:schemaRefs>
</ds:datastoreItem>
</file>

<file path=customXml/itemProps4.xml><?xml version="1.0" encoding="utf-8"?>
<ds:datastoreItem xmlns:ds="http://schemas.openxmlformats.org/officeDocument/2006/customXml" ds:itemID="{09E5E3B7-A581-4F10-9129-3EFBA597F4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63b132-8ee0-421b-b5c9-27568b0a8a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adaa4be3-f650-4692-881a-64ae220cbceb}" enabled="1" method="Privileged" siteId="{5a7cc8ab-a4dc-4f9b-bf60-66714049ad62}" removed="0"/>
</clbl:labelList>
</file>

<file path=docProps/app.xml><?xml version="1.0" encoding="utf-8"?>
<Properties xmlns="http://schemas.openxmlformats.org/officeDocument/2006/extended-properties" xmlns:vt="http://schemas.openxmlformats.org/officeDocument/2006/docPropsVTypes">
  <Template>Normal.dotm</Template>
  <TotalTime>3519</TotalTime>
  <Pages>138</Pages>
  <Words>49664</Words>
  <Characters>283091</Characters>
  <Application>Microsoft Office Word</Application>
  <DocSecurity>0</DocSecurity>
  <Lines>2359</Lines>
  <Paragraphs>664</Paragraphs>
  <ScaleCrop>false</ScaleCrop>
  <HeadingPairs>
    <vt:vector size="2" baseType="variant">
      <vt:variant>
        <vt:lpstr>Title</vt:lpstr>
      </vt:variant>
      <vt:variant>
        <vt:i4>1</vt:i4>
      </vt:variant>
    </vt:vector>
  </HeadingPairs>
  <TitlesOfParts>
    <vt:vector size="1" baseType="lpstr">
      <vt:lpstr>Natural Therapies Review 2024 – Naturopathy supplements evidence evaluation – Main report</vt:lpstr>
    </vt:vector>
  </TitlesOfParts>
  <Company/>
  <LinksUpToDate>false</LinksUpToDate>
  <CharactersWithSpaces>332091</CharactersWithSpaces>
  <SharedDoc>false</SharedDoc>
  <HLinks>
    <vt:vector size="708" baseType="variant">
      <vt:variant>
        <vt:i4>1703997</vt:i4>
      </vt:variant>
      <vt:variant>
        <vt:i4>665</vt:i4>
      </vt:variant>
      <vt:variant>
        <vt:i4>0</vt:i4>
      </vt:variant>
      <vt:variant>
        <vt:i4>5</vt:i4>
      </vt:variant>
      <vt:variant>
        <vt:lpwstr/>
      </vt:variant>
      <vt:variant>
        <vt:lpwstr>_Toc178348018</vt:lpwstr>
      </vt:variant>
      <vt:variant>
        <vt:i4>1703997</vt:i4>
      </vt:variant>
      <vt:variant>
        <vt:i4>659</vt:i4>
      </vt:variant>
      <vt:variant>
        <vt:i4>0</vt:i4>
      </vt:variant>
      <vt:variant>
        <vt:i4>5</vt:i4>
      </vt:variant>
      <vt:variant>
        <vt:lpwstr/>
      </vt:variant>
      <vt:variant>
        <vt:lpwstr>_Toc178348017</vt:lpwstr>
      </vt:variant>
      <vt:variant>
        <vt:i4>1703997</vt:i4>
      </vt:variant>
      <vt:variant>
        <vt:i4>653</vt:i4>
      </vt:variant>
      <vt:variant>
        <vt:i4>0</vt:i4>
      </vt:variant>
      <vt:variant>
        <vt:i4>5</vt:i4>
      </vt:variant>
      <vt:variant>
        <vt:lpwstr/>
      </vt:variant>
      <vt:variant>
        <vt:lpwstr>_Toc178348016</vt:lpwstr>
      </vt:variant>
      <vt:variant>
        <vt:i4>1703997</vt:i4>
      </vt:variant>
      <vt:variant>
        <vt:i4>647</vt:i4>
      </vt:variant>
      <vt:variant>
        <vt:i4>0</vt:i4>
      </vt:variant>
      <vt:variant>
        <vt:i4>5</vt:i4>
      </vt:variant>
      <vt:variant>
        <vt:lpwstr/>
      </vt:variant>
      <vt:variant>
        <vt:lpwstr>_Toc178348015</vt:lpwstr>
      </vt:variant>
      <vt:variant>
        <vt:i4>1703997</vt:i4>
      </vt:variant>
      <vt:variant>
        <vt:i4>641</vt:i4>
      </vt:variant>
      <vt:variant>
        <vt:i4>0</vt:i4>
      </vt:variant>
      <vt:variant>
        <vt:i4>5</vt:i4>
      </vt:variant>
      <vt:variant>
        <vt:lpwstr/>
      </vt:variant>
      <vt:variant>
        <vt:lpwstr>_Toc178348014</vt:lpwstr>
      </vt:variant>
      <vt:variant>
        <vt:i4>1703997</vt:i4>
      </vt:variant>
      <vt:variant>
        <vt:i4>635</vt:i4>
      </vt:variant>
      <vt:variant>
        <vt:i4>0</vt:i4>
      </vt:variant>
      <vt:variant>
        <vt:i4>5</vt:i4>
      </vt:variant>
      <vt:variant>
        <vt:lpwstr/>
      </vt:variant>
      <vt:variant>
        <vt:lpwstr>_Toc178348013</vt:lpwstr>
      </vt:variant>
      <vt:variant>
        <vt:i4>1703997</vt:i4>
      </vt:variant>
      <vt:variant>
        <vt:i4>629</vt:i4>
      </vt:variant>
      <vt:variant>
        <vt:i4>0</vt:i4>
      </vt:variant>
      <vt:variant>
        <vt:i4>5</vt:i4>
      </vt:variant>
      <vt:variant>
        <vt:lpwstr/>
      </vt:variant>
      <vt:variant>
        <vt:lpwstr>_Toc178348012</vt:lpwstr>
      </vt:variant>
      <vt:variant>
        <vt:i4>1703997</vt:i4>
      </vt:variant>
      <vt:variant>
        <vt:i4>623</vt:i4>
      </vt:variant>
      <vt:variant>
        <vt:i4>0</vt:i4>
      </vt:variant>
      <vt:variant>
        <vt:i4>5</vt:i4>
      </vt:variant>
      <vt:variant>
        <vt:lpwstr/>
      </vt:variant>
      <vt:variant>
        <vt:lpwstr>_Toc178348011</vt:lpwstr>
      </vt:variant>
      <vt:variant>
        <vt:i4>1703997</vt:i4>
      </vt:variant>
      <vt:variant>
        <vt:i4>617</vt:i4>
      </vt:variant>
      <vt:variant>
        <vt:i4>0</vt:i4>
      </vt:variant>
      <vt:variant>
        <vt:i4>5</vt:i4>
      </vt:variant>
      <vt:variant>
        <vt:lpwstr/>
      </vt:variant>
      <vt:variant>
        <vt:lpwstr>_Toc178348010</vt:lpwstr>
      </vt:variant>
      <vt:variant>
        <vt:i4>1769533</vt:i4>
      </vt:variant>
      <vt:variant>
        <vt:i4>611</vt:i4>
      </vt:variant>
      <vt:variant>
        <vt:i4>0</vt:i4>
      </vt:variant>
      <vt:variant>
        <vt:i4>5</vt:i4>
      </vt:variant>
      <vt:variant>
        <vt:lpwstr/>
      </vt:variant>
      <vt:variant>
        <vt:lpwstr>_Toc178348009</vt:lpwstr>
      </vt:variant>
      <vt:variant>
        <vt:i4>1769533</vt:i4>
      </vt:variant>
      <vt:variant>
        <vt:i4>605</vt:i4>
      </vt:variant>
      <vt:variant>
        <vt:i4>0</vt:i4>
      </vt:variant>
      <vt:variant>
        <vt:i4>5</vt:i4>
      </vt:variant>
      <vt:variant>
        <vt:lpwstr/>
      </vt:variant>
      <vt:variant>
        <vt:lpwstr>_Toc178348008</vt:lpwstr>
      </vt:variant>
      <vt:variant>
        <vt:i4>1769533</vt:i4>
      </vt:variant>
      <vt:variant>
        <vt:i4>599</vt:i4>
      </vt:variant>
      <vt:variant>
        <vt:i4>0</vt:i4>
      </vt:variant>
      <vt:variant>
        <vt:i4>5</vt:i4>
      </vt:variant>
      <vt:variant>
        <vt:lpwstr/>
      </vt:variant>
      <vt:variant>
        <vt:lpwstr>_Toc178348007</vt:lpwstr>
      </vt:variant>
      <vt:variant>
        <vt:i4>1769533</vt:i4>
      </vt:variant>
      <vt:variant>
        <vt:i4>593</vt:i4>
      </vt:variant>
      <vt:variant>
        <vt:i4>0</vt:i4>
      </vt:variant>
      <vt:variant>
        <vt:i4>5</vt:i4>
      </vt:variant>
      <vt:variant>
        <vt:lpwstr/>
      </vt:variant>
      <vt:variant>
        <vt:lpwstr>_Toc178348006</vt:lpwstr>
      </vt:variant>
      <vt:variant>
        <vt:i4>1769533</vt:i4>
      </vt:variant>
      <vt:variant>
        <vt:i4>587</vt:i4>
      </vt:variant>
      <vt:variant>
        <vt:i4>0</vt:i4>
      </vt:variant>
      <vt:variant>
        <vt:i4>5</vt:i4>
      </vt:variant>
      <vt:variant>
        <vt:lpwstr/>
      </vt:variant>
      <vt:variant>
        <vt:lpwstr>_Toc178348005</vt:lpwstr>
      </vt:variant>
      <vt:variant>
        <vt:i4>1769533</vt:i4>
      </vt:variant>
      <vt:variant>
        <vt:i4>581</vt:i4>
      </vt:variant>
      <vt:variant>
        <vt:i4>0</vt:i4>
      </vt:variant>
      <vt:variant>
        <vt:i4>5</vt:i4>
      </vt:variant>
      <vt:variant>
        <vt:lpwstr/>
      </vt:variant>
      <vt:variant>
        <vt:lpwstr>_Toc178348004</vt:lpwstr>
      </vt:variant>
      <vt:variant>
        <vt:i4>2031668</vt:i4>
      </vt:variant>
      <vt:variant>
        <vt:i4>572</vt:i4>
      </vt:variant>
      <vt:variant>
        <vt:i4>0</vt:i4>
      </vt:variant>
      <vt:variant>
        <vt:i4>5</vt:i4>
      </vt:variant>
      <vt:variant>
        <vt:lpwstr/>
      </vt:variant>
      <vt:variant>
        <vt:lpwstr>_Toc185261632</vt:lpwstr>
      </vt:variant>
      <vt:variant>
        <vt:i4>2031668</vt:i4>
      </vt:variant>
      <vt:variant>
        <vt:i4>566</vt:i4>
      </vt:variant>
      <vt:variant>
        <vt:i4>0</vt:i4>
      </vt:variant>
      <vt:variant>
        <vt:i4>5</vt:i4>
      </vt:variant>
      <vt:variant>
        <vt:lpwstr/>
      </vt:variant>
      <vt:variant>
        <vt:lpwstr>_Toc185261631</vt:lpwstr>
      </vt:variant>
      <vt:variant>
        <vt:i4>2031668</vt:i4>
      </vt:variant>
      <vt:variant>
        <vt:i4>560</vt:i4>
      </vt:variant>
      <vt:variant>
        <vt:i4>0</vt:i4>
      </vt:variant>
      <vt:variant>
        <vt:i4>5</vt:i4>
      </vt:variant>
      <vt:variant>
        <vt:lpwstr/>
      </vt:variant>
      <vt:variant>
        <vt:lpwstr>_Toc185261630</vt:lpwstr>
      </vt:variant>
      <vt:variant>
        <vt:i4>1966132</vt:i4>
      </vt:variant>
      <vt:variant>
        <vt:i4>554</vt:i4>
      </vt:variant>
      <vt:variant>
        <vt:i4>0</vt:i4>
      </vt:variant>
      <vt:variant>
        <vt:i4>5</vt:i4>
      </vt:variant>
      <vt:variant>
        <vt:lpwstr/>
      </vt:variant>
      <vt:variant>
        <vt:lpwstr>_Toc185261629</vt:lpwstr>
      </vt:variant>
      <vt:variant>
        <vt:i4>1966132</vt:i4>
      </vt:variant>
      <vt:variant>
        <vt:i4>548</vt:i4>
      </vt:variant>
      <vt:variant>
        <vt:i4>0</vt:i4>
      </vt:variant>
      <vt:variant>
        <vt:i4>5</vt:i4>
      </vt:variant>
      <vt:variant>
        <vt:lpwstr/>
      </vt:variant>
      <vt:variant>
        <vt:lpwstr>_Toc185261628</vt:lpwstr>
      </vt:variant>
      <vt:variant>
        <vt:i4>1966132</vt:i4>
      </vt:variant>
      <vt:variant>
        <vt:i4>542</vt:i4>
      </vt:variant>
      <vt:variant>
        <vt:i4>0</vt:i4>
      </vt:variant>
      <vt:variant>
        <vt:i4>5</vt:i4>
      </vt:variant>
      <vt:variant>
        <vt:lpwstr/>
      </vt:variant>
      <vt:variant>
        <vt:lpwstr>_Toc185261627</vt:lpwstr>
      </vt:variant>
      <vt:variant>
        <vt:i4>1966132</vt:i4>
      </vt:variant>
      <vt:variant>
        <vt:i4>536</vt:i4>
      </vt:variant>
      <vt:variant>
        <vt:i4>0</vt:i4>
      </vt:variant>
      <vt:variant>
        <vt:i4>5</vt:i4>
      </vt:variant>
      <vt:variant>
        <vt:lpwstr/>
      </vt:variant>
      <vt:variant>
        <vt:lpwstr>_Toc185261626</vt:lpwstr>
      </vt:variant>
      <vt:variant>
        <vt:i4>1966132</vt:i4>
      </vt:variant>
      <vt:variant>
        <vt:i4>530</vt:i4>
      </vt:variant>
      <vt:variant>
        <vt:i4>0</vt:i4>
      </vt:variant>
      <vt:variant>
        <vt:i4>5</vt:i4>
      </vt:variant>
      <vt:variant>
        <vt:lpwstr/>
      </vt:variant>
      <vt:variant>
        <vt:lpwstr>_Toc185261625</vt:lpwstr>
      </vt:variant>
      <vt:variant>
        <vt:i4>1966132</vt:i4>
      </vt:variant>
      <vt:variant>
        <vt:i4>524</vt:i4>
      </vt:variant>
      <vt:variant>
        <vt:i4>0</vt:i4>
      </vt:variant>
      <vt:variant>
        <vt:i4>5</vt:i4>
      </vt:variant>
      <vt:variant>
        <vt:lpwstr/>
      </vt:variant>
      <vt:variant>
        <vt:lpwstr>_Toc185261624</vt:lpwstr>
      </vt:variant>
      <vt:variant>
        <vt:i4>1966132</vt:i4>
      </vt:variant>
      <vt:variant>
        <vt:i4>518</vt:i4>
      </vt:variant>
      <vt:variant>
        <vt:i4>0</vt:i4>
      </vt:variant>
      <vt:variant>
        <vt:i4>5</vt:i4>
      </vt:variant>
      <vt:variant>
        <vt:lpwstr/>
      </vt:variant>
      <vt:variant>
        <vt:lpwstr>_Toc185261623</vt:lpwstr>
      </vt:variant>
      <vt:variant>
        <vt:i4>1966132</vt:i4>
      </vt:variant>
      <vt:variant>
        <vt:i4>512</vt:i4>
      </vt:variant>
      <vt:variant>
        <vt:i4>0</vt:i4>
      </vt:variant>
      <vt:variant>
        <vt:i4>5</vt:i4>
      </vt:variant>
      <vt:variant>
        <vt:lpwstr/>
      </vt:variant>
      <vt:variant>
        <vt:lpwstr>_Toc185261622</vt:lpwstr>
      </vt:variant>
      <vt:variant>
        <vt:i4>1966132</vt:i4>
      </vt:variant>
      <vt:variant>
        <vt:i4>506</vt:i4>
      </vt:variant>
      <vt:variant>
        <vt:i4>0</vt:i4>
      </vt:variant>
      <vt:variant>
        <vt:i4>5</vt:i4>
      </vt:variant>
      <vt:variant>
        <vt:lpwstr/>
      </vt:variant>
      <vt:variant>
        <vt:lpwstr>_Toc185261621</vt:lpwstr>
      </vt:variant>
      <vt:variant>
        <vt:i4>1966132</vt:i4>
      </vt:variant>
      <vt:variant>
        <vt:i4>500</vt:i4>
      </vt:variant>
      <vt:variant>
        <vt:i4>0</vt:i4>
      </vt:variant>
      <vt:variant>
        <vt:i4>5</vt:i4>
      </vt:variant>
      <vt:variant>
        <vt:lpwstr/>
      </vt:variant>
      <vt:variant>
        <vt:lpwstr>_Toc185261620</vt:lpwstr>
      </vt:variant>
      <vt:variant>
        <vt:i4>1900596</vt:i4>
      </vt:variant>
      <vt:variant>
        <vt:i4>494</vt:i4>
      </vt:variant>
      <vt:variant>
        <vt:i4>0</vt:i4>
      </vt:variant>
      <vt:variant>
        <vt:i4>5</vt:i4>
      </vt:variant>
      <vt:variant>
        <vt:lpwstr/>
      </vt:variant>
      <vt:variant>
        <vt:lpwstr>_Toc185261619</vt:lpwstr>
      </vt:variant>
      <vt:variant>
        <vt:i4>1900596</vt:i4>
      </vt:variant>
      <vt:variant>
        <vt:i4>488</vt:i4>
      </vt:variant>
      <vt:variant>
        <vt:i4>0</vt:i4>
      </vt:variant>
      <vt:variant>
        <vt:i4>5</vt:i4>
      </vt:variant>
      <vt:variant>
        <vt:lpwstr/>
      </vt:variant>
      <vt:variant>
        <vt:lpwstr>_Toc185261618</vt:lpwstr>
      </vt:variant>
      <vt:variant>
        <vt:i4>1900596</vt:i4>
      </vt:variant>
      <vt:variant>
        <vt:i4>482</vt:i4>
      </vt:variant>
      <vt:variant>
        <vt:i4>0</vt:i4>
      </vt:variant>
      <vt:variant>
        <vt:i4>5</vt:i4>
      </vt:variant>
      <vt:variant>
        <vt:lpwstr/>
      </vt:variant>
      <vt:variant>
        <vt:lpwstr>_Toc185261617</vt:lpwstr>
      </vt:variant>
      <vt:variant>
        <vt:i4>1900596</vt:i4>
      </vt:variant>
      <vt:variant>
        <vt:i4>476</vt:i4>
      </vt:variant>
      <vt:variant>
        <vt:i4>0</vt:i4>
      </vt:variant>
      <vt:variant>
        <vt:i4>5</vt:i4>
      </vt:variant>
      <vt:variant>
        <vt:lpwstr/>
      </vt:variant>
      <vt:variant>
        <vt:lpwstr>_Toc185261616</vt:lpwstr>
      </vt:variant>
      <vt:variant>
        <vt:i4>1900596</vt:i4>
      </vt:variant>
      <vt:variant>
        <vt:i4>470</vt:i4>
      </vt:variant>
      <vt:variant>
        <vt:i4>0</vt:i4>
      </vt:variant>
      <vt:variant>
        <vt:i4>5</vt:i4>
      </vt:variant>
      <vt:variant>
        <vt:lpwstr/>
      </vt:variant>
      <vt:variant>
        <vt:lpwstr>_Toc185261615</vt:lpwstr>
      </vt:variant>
      <vt:variant>
        <vt:i4>1900596</vt:i4>
      </vt:variant>
      <vt:variant>
        <vt:i4>464</vt:i4>
      </vt:variant>
      <vt:variant>
        <vt:i4>0</vt:i4>
      </vt:variant>
      <vt:variant>
        <vt:i4>5</vt:i4>
      </vt:variant>
      <vt:variant>
        <vt:lpwstr/>
      </vt:variant>
      <vt:variant>
        <vt:lpwstr>_Toc185261614</vt:lpwstr>
      </vt:variant>
      <vt:variant>
        <vt:i4>1900596</vt:i4>
      </vt:variant>
      <vt:variant>
        <vt:i4>458</vt:i4>
      </vt:variant>
      <vt:variant>
        <vt:i4>0</vt:i4>
      </vt:variant>
      <vt:variant>
        <vt:i4>5</vt:i4>
      </vt:variant>
      <vt:variant>
        <vt:lpwstr/>
      </vt:variant>
      <vt:variant>
        <vt:lpwstr>_Toc185261613</vt:lpwstr>
      </vt:variant>
      <vt:variant>
        <vt:i4>1900596</vt:i4>
      </vt:variant>
      <vt:variant>
        <vt:i4>452</vt:i4>
      </vt:variant>
      <vt:variant>
        <vt:i4>0</vt:i4>
      </vt:variant>
      <vt:variant>
        <vt:i4>5</vt:i4>
      </vt:variant>
      <vt:variant>
        <vt:lpwstr/>
      </vt:variant>
      <vt:variant>
        <vt:lpwstr>_Toc185261612</vt:lpwstr>
      </vt:variant>
      <vt:variant>
        <vt:i4>1900596</vt:i4>
      </vt:variant>
      <vt:variant>
        <vt:i4>446</vt:i4>
      </vt:variant>
      <vt:variant>
        <vt:i4>0</vt:i4>
      </vt:variant>
      <vt:variant>
        <vt:i4>5</vt:i4>
      </vt:variant>
      <vt:variant>
        <vt:lpwstr/>
      </vt:variant>
      <vt:variant>
        <vt:lpwstr>_Toc185261611</vt:lpwstr>
      </vt:variant>
      <vt:variant>
        <vt:i4>1900596</vt:i4>
      </vt:variant>
      <vt:variant>
        <vt:i4>440</vt:i4>
      </vt:variant>
      <vt:variant>
        <vt:i4>0</vt:i4>
      </vt:variant>
      <vt:variant>
        <vt:i4>5</vt:i4>
      </vt:variant>
      <vt:variant>
        <vt:lpwstr/>
      </vt:variant>
      <vt:variant>
        <vt:lpwstr>_Toc185261610</vt:lpwstr>
      </vt:variant>
      <vt:variant>
        <vt:i4>1835060</vt:i4>
      </vt:variant>
      <vt:variant>
        <vt:i4>434</vt:i4>
      </vt:variant>
      <vt:variant>
        <vt:i4>0</vt:i4>
      </vt:variant>
      <vt:variant>
        <vt:i4>5</vt:i4>
      </vt:variant>
      <vt:variant>
        <vt:lpwstr/>
      </vt:variant>
      <vt:variant>
        <vt:lpwstr>_Toc185261609</vt:lpwstr>
      </vt:variant>
      <vt:variant>
        <vt:i4>1835060</vt:i4>
      </vt:variant>
      <vt:variant>
        <vt:i4>428</vt:i4>
      </vt:variant>
      <vt:variant>
        <vt:i4>0</vt:i4>
      </vt:variant>
      <vt:variant>
        <vt:i4>5</vt:i4>
      </vt:variant>
      <vt:variant>
        <vt:lpwstr/>
      </vt:variant>
      <vt:variant>
        <vt:lpwstr>_Toc185261608</vt:lpwstr>
      </vt:variant>
      <vt:variant>
        <vt:i4>1835060</vt:i4>
      </vt:variant>
      <vt:variant>
        <vt:i4>422</vt:i4>
      </vt:variant>
      <vt:variant>
        <vt:i4>0</vt:i4>
      </vt:variant>
      <vt:variant>
        <vt:i4>5</vt:i4>
      </vt:variant>
      <vt:variant>
        <vt:lpwstr/>
      </vt:variant>
      <vt:variant>
        <vt:lpwstr>_Toc185261607</vt:lpwstr>
      </vt:variant>
      <vt:variant>
        <vt:i4>1835060</vt:i4>
      </vt:variant>
      <vt:variant>
        <vt:i4>416</vt:i4>
      </vt:variant>
      <vt:variant>
        <vt:i4>0</vt:i4>
      </vt:variant>
      <vt:variant>
        <vt:i4>5</vt:i4>
      </vt:variant>
      <vt:variant>
        <vt:lpwstr/>
      </vt:variant>
      <vt:variant>
        <vt:lpwstr>_Toc185261606</vt:lpwstr>
      </vt:variant>
      <vt:variant>
        <vt:i4>1835060</vt:i4>
      </vt:variant>
      <vt:variant>
        <vt:i4>410</vt:i4>
      </vt:variant>
      <vt:variant>
        <vt:i4>0</vt:i4>
      </vt:variant>
      <vt:variant>
        <vt:i4>5</vt:i4>
      </vt:variant>
      <vt:variant>
        <vt:lpwstr/>
      </vt:variant>
      <vt:variant>
        <vt:lpwstr>_Toc185261605</vt:lpwstr>
      </vt:variant>
      <vt:variant>
        <vt:i4>1835060</vt:i4>
      </vt:variant>
      <vt:variant>
        <vt:i4>404</vt:i4>
      </vt:variant>
      <vt:variant>
        <vt:i4>0</vt:i4>
      </vt:variant>
      <vt:variant>
        <vt:i4>5</vt:i4>
      </vt:variant>
      <vt:variant>
        <vt:lpwstr/>
      </vt:variant>
      <vt:variant>
        <vt:lpwstr>_Toc185261604</vt:lpwstr>
      </vt:variant>
      <vt:variant>
        <vt:i4>1835060</vt:i4>
      </vt:variant>
      <vt:variant>
        <vt:i4>398</vt:i4>
      </vt:variant>
      <vt:variant>
        <vt:i4>0</vt:i4>
      </vt:variant>
      <vt:variant>
        <vt:i4>5</vt:i4>
      </vt:variant>
      <vt:variant>
        <vt:lpwstr/>
      </vt:variant>
      <vt:variant>
        <vt:lpwstr>_Toc185261603</vt:lpwstr>
      </vt:variant>
      <vt:variant>
        <vt:i4>1835060</vt:i4>
      </vt:variant>
      <vt:variant>
        <vt:i4>392</vt:i4>
      </vt:variant>
      <vt:variant>
        <vt:i4>0</vt:i4>
      </vt:variant>
      <vt:variant>
        <vt:i4>5</vt:i4>
      </vt:variant>
      <vt:variant>
        <vt:lpwstr/>
      </vt:variant>
      <vt:variant>
        <vt:lpwstr>_Toc185261602</vt:lpwstr>
      </vt:variant>
      <vt:variant>
        <vt:i4>1835060</vt:i4>
      </vt:variant>
      <vt:variant>
        <vt:i4>386</vt:i4>
      </vt:variant>
      <vt:variant>
        <vt:i4>0</vt:i4>
      </vt:variant>
      <vt:variant>
        <vt:i4>5</vt:i4>
      </vt:variant>
      <vt:variant>
        <vt:lpwstr/>
      </vt:variant>
      <vt:variant>
        <vt:lpwstr>_Toc185261601</vt:lpwstr>
      </vt:variant>
      <vt:variant>
        <vt:i4>1835060</vt:i4>
      </vt:variant>
      <vt:variant>
        <vt:i4>380</vt:i4>
      </vt:variant>
      <vt:variant>
        <vt:i4>0</vt:i4>
      </vt:variant>
      <vt:variant>
        <vt:i4>5</vt:i4>
      </vt:variant>
      <vt:variant>
        <vt:lpwstr/>
      </vt:variant>
      <vt:variant>
        <vt:lpwstr>_Toc185261600</vt:lpwstr>
      </vt:variant>
      <vt:variant>
        <vt:i4>1376311</vt:i4>
      </vt:variant>
      <vt:variant>
        <vt:i4>374</vt:i4>
      </vt:variant>
      <vt:variant>
        <vt:i4>0</vt:i4>
      </vt:variant>
      <vt:variant>
        <vt:i4>5</vt:i4>
      </vt:variant>
      <vt:variant>
        <vt:lpwstr/>
      </vt:variant>
      <vt:variant>
        <vt:lpwstr>_Toc185261599</vt:lpwstr>
      </vt:variant>
      <vt:variant>
        <vt:i4>1376311</vt:i4>
      </vt:variant>
      <vt:variant>
        <vt:i4>368</vt:i4>
      </vt:variant>
      <vt:variant>
        <vt:i4>0</vt:i4>
      </vt:variant>
      <vt:variant>
        <vt:i4>5</vt:i4>
      </vt:variant>
      <vt:variant>
        <vt:lpwstr/>
      </vt:variant>
      <vt:variant>
        <vt:lpwstr>_Toc185261598</vt:lpwstr>
      </vt:variant>
      <vt:variant>
        <vt:i4>1376311</vt:i4>
      </vt:variant>
      <vt:variant>
        <vt:i4>362</vt:i4>
      </vt:variant>
      <vt:variant>
        <vt:i4>0</vt:i4>
      </vt:variant>
      <vt:variant>
        <vt:i4>5</vt:i4>
      </vt:variant>
      <vt:variant>
        <vt:lpwstr/>
      </vt:variant>
      <vt:variant>
        <vt:lpwstr>_Toc185261597</vt:lpwstr>
      </vt:variant>
      <vt:variant>
        <vt:i4>1376311</vt:i4>
      </vt:variant>
      <vt:variant>
        <vt:i4>356</vt:i4>
      </vt:variant>
      <vt:variant>
        <vt:i4>0</vt:i4>
      </vt:variant>
      <vt:variant>
        <vt:i4>5</vt:i4>
      </vt:variant>
      <vt:variant>
        <vt:lpwstr/>
      </vt:variant>
      <vt:variant>
        <vt:lpwstr>_Toc185261596</vt:lpwstr>
      </vt:variant>
      <vt:variant>
        <vt:i4>1376311</vt:i4>
      </vt:variant>
      <vt:variant>
        <vt:i4>350</vt:i4>
      </vt:variant>
      <vt:variant>
        <vt:i4>0</vt:i4>
      </vt:variant>
      <vt:variant>
        <vt:i4>5</vt:i4>
      </vt:variant>
      <vt:variant>
        <vt:lpwstr/>
      </vt:variant>
      <vt:variant>
        <vt:lpwstr>_Toc185261595</vt:lpwstr>
      </vt:variant>
      <vt:variant>
        <vt:i4>1376311</vt:i4>
      </vt:variant>
      <vt:variant>
        <vt:i4>344</vt:i4>
      </vt:variant>
      <vt:variant>
        <vt:i4>0</vt:i4>
      </vt:variant>
      <vt:variant>
        <vt:i4>5</vt:i4>
      </vt:variant>
      <vt:variant>
        <vt:lpwstr/>
      </vt:variant>
      <vt:variant>
        <vt:lpwstr>_Toc185261594</vt:lpwstr>
      </vt:variant>
      <vt:variant>
        <vt:i4>1376311</vt:i4>
      </vt:variant>
      <vt:variant>
        <vt:i4>338</vt:i4>
      </vt:variant>
      <vt:variant>
        <vt:i4>0</vt:i4>
      </vt:variant>
      <vt:variant>
        <vt:i4>5</vt:i4>
      </vt:variant>
      <vt:variant>
        <vt:lpwstr/>
      </vt:variant>
      <vt:variant>
        <vt:lpwstr>_Toc185261593</vt:lpwstr>
      </vt:variant>
      <vt:variant>
        <vt:i4>1376311</vt:i4>
      </vt:variant>
      <vt:variant>
        <vt:i4>332</vt:i4>
      </vt:variant>
      <vt:variant>
        <vt:i4>0</vt:i4>
      </vt:variant>
      <vt:variant>
        <vt:i4>5</vt:i4>
      </vt:variant>
      <vt:variant>
        <vt:lpwstr/>
      </vt:variant>
      <vt:variant>
        <vt:lpwstr>_Toc185261592</vt:lpwstr>
      </vt:variant>
      <vt:variant>
        <vt:i4>1376311</vt:i4>
      </vt:variant>
      <vt:variant>
        <vt:i4>326</vt:i4>
      </vt:variant>
      <vt:variant>
        <vt:i4>0</vt:i4>
      </vt:variant>
      <vt:variant>
        <vt:i4>5</vt:i4>
      </vt:variant>
      <vt:variant>
        <vt:lpwstr/>
      </vt:variant>
      <vt:variant>
        <vt:lpwstr>_Toc185261591</vt:lpwstr>
      </vt:variant>
      <vt:variant>
        <vt:i4>1376311</vt:i4>
      </vt:variant>
      <vt:variant>
        <vt:i4>320</vt:i4>
      </vt:variant>
      <vt:variant>
        <vt:i4>0</vt:i4>
      </vt:variant>
      <vt:variant>
        <vt:i4>5</vt:i4>
      </vt:variant>
      <vt:variant>
        <vt:lpwstr/>
      </vt:variant>
      <vt:variant>
        <vt:lpwstr>_Toc185261590</vt:lpwstr>
      </vt:variant>
      <vt:variant>
        <vt:i4>1310775</vt:i4>
      </vt:variant>
      <vt:variant>
        <vt:i4>314</vt:i4>
      </vt:variant>
      <vt:variant>
        <vt:i4>0</vt:i4>
      </vt:variant>
      <vt:variant>
        <vt:i4>5</vt:i4>
      </vt:variant>
      <vt:variant>
        <vt:lpwstr/>
      </vt:variant>
      <vt:variant>
        <vt:lpwstr>_Toc185261589</vt:lpwstr>
      </vt:variant>
      <vt:variant>
        <vt:i4>1310775</vt:i4>
      </vt:variant>
      <vt:variant>
        <vt:i4>308</vt:i4>
      </vt:variant>
      <vt:variant>
        <vt:i4>0</vt:i4>
      </vt:variant>
      <vt:variant>
        <vt:i4>5</vt:i4>
      </vt:variant>
      <vt:variant>
        <vt:lpwstr/>
      </vt:variant>
      <vt:variant>
        <vt:lpwstr>_Toc185261588</vt:lpwstr>
      </vt:variant>
      <vt:variant>
        <vt:i4>1310775</vt:i4>
      </vt:variant>
      <vt:variant>
        <vt:i4>302</vt:i4>
      </vt:variant>
      <vt:variant>
        <vt:i4>0</vt:i4>
      </vt:variant>
      <vt:variant>
        <vt:i4>5</vt:i4>
      </vt:variant>
      <vt:variant>
        <vt:lpwstr/>
      </vt:variant>
      <vt:variant>
        <vt:lpwstr>_Toc185261587</vt:lpwstr>
      </vt:variant>
      <vt:variant>
        <vt:i4>1310775</vt:i4>
      </vt:variant>
      <vt:variant>
        <vt:i4>296</vt:i4>
      </vt:variant>
      <vt:variant>
        <vt:i4>0</vt:i4>
      </vt:variant>
      <vt:variant>
        <vt:i4>5</vt:i4>
      </vt:variant>
      <vt:variant>
        <vt:lpwstr/>
      </vt:variant>
      <vt:variant>
        <vt:lpwstr>_Toc185261586</vt:lpwstr>
      </vt:variant>
      <vt:variant>
        <vt:i4>1310775</vt:i4>
      </vt:variant>
      <vt:variant>
        <vt:i4>290</vt:i4>
      </vt:variant>
      <vt:variant>
        <vt:i4>0</vt:i4>
      </vt:variant>
      <vt:variant>
        <vt:i4>5</vt:i4>
      </vt:variant>
      <vt:variant>
        <vt:lpwstr/>
      </vt:variant>
      <vt:variant>
        <vt:lpwstr>_Toc185261585</vt:lpwstr>
      </vt:variant>
      <vt:variant>
        <vt:i4>1310775</vt:i4>
      </vt:variant>
      <vt:variant>
        <vt:i4>284</vt:i4>
      </vt:variant>
      <vt:variant>
        <vt:i4>0</vt:i4>
      </vt:variant>
      <vt:variant>
        <vt:i4>5</vt:i4>
      </vt:variant>
      <vt:variant>
        <vt:lpwstr/>
      </vt:variant>
      <vt:variant>
        <vt:lpwstr>_Toc185261584</vt:lpwstr>
      </vt:variant>
      <vt:variant>
        <vt:i4>1310775</vt:i4>
      </vt:variant>
      <vt:variant>
        <vt:i4>278</vt:i4>
      </vt:variant>
      <vt:variant>
        <vt:i4>0</vt:i4>
      </vt:variant>
      <vt:variant>
        <vt:i4>5</vt:i4>
      </vt:variant>
      <vt:variant>
        <vt:lpwstr/>
      </vt:variant>
      <vt:variant>
        <vt:lpwstr>_Toc185261583</vt:lpwstr>
      </vt:variant>
      <vt:variant>
        <vt:i4>1310775</vt:i4>
      </vt:variant>
      <vt:variant>
        <vt:i4>272</vt:i4>
      </vt:variant>
      <vt:variant>
        <vt:i4>0</vt:i4>
      </vt:variant>
      <vt:variant>
        <vt:i4>5</vt:i4>
      </vt:variant>
      <vt:variant>
        <vt:lpwstr/>
      </vt:variant>
      <vt:variant>
        <vt:lpwstr>_Toc185261582</vt:lpwstr>
      </vt:variant>
      <vt:variant>
        <vt:i4>1310775</vt:i4>
      </vt:variant>
      <vt:variant>
        <vt:i4>266</vt:i4>
      </vt:variant>
      <vt:variant>
        <vt:i4>0</vt:i4>
      </vt:variant>
      <vt:variant>
        <vt:i4>5</vt:i4>
      </vt:variant>
      <vt:variant>
        <vt:lpwstr/>
      </vt:variant>
      <vt:variant>
        <vt:lpwstr>_Toc185261581</vt:lpwstr>
      </vt:variant>
      <vt:variant>
        <vt:i4>1310775</vt:i4>
      </vt:variant>
      <vt:variant>
        <vt:i4>260</vt:i4>
      </vt:variant>
      <vt:variant>
        <vt:i4>0</vt:i4>
      </vt:variant>
      <vt:variant>
        <vt:i4>5</vt:i4>
      </vt:variant>
      <vt:variant>
        <vt:lpwstr/>
      </vt:variant>
      <vt:variant>
        <vt:lpwstr>_Toc185261580</vt:lpwstr>
      </vt:variant>
      <vt:variant>
        <vt:i4>1769527</vt:i4>
      </vt:variant>
      <vt:variant>
        <vt:i4>254</vt:i4>
      </vt:variant>
      <vt:variant>
        <vt:i4>0</vt:i4>
      </vt:variant>
      <vt:variant>
        <vt:i4>5</vt:i4>
      </vt:variant>
      <vt:variant>
        <vt:lpwstr/>
      </vt:variant>
      <vt:variant>
        <vt:lpwstr>_Toc185261579</vt:lpwstr>
      </vt:variant>
      <vt:variant>
        <vt:i4>1966137</vt:i4>
      </vt:variant>
      <vt:variant>
        <vt:i4>245</vt:i4>
      </vt:variant>
      <vt:variant>
        <vt:i4>0</vt:i4>
      </vt:variant>
      <vt:variant>
        <vt:i4>5</vt:i4>
      </vt:variant>
      <vt:variant>
        <vt:lpwstr/>
      </vt:variant>
      <vt:variant>
        <vt:lpwstr>_Toc179379640</vt:lpwstr>
      </vt:variant>
      <vt:variant>
        <vt:i4>1638457</vt:i4>
      </vt:variant>
      <vt:variant>
        <vt:i4>239</vt:i4>
      </vt:variant>
      <vt:variant>
        <vt:i4>0</vt:i4>
      </vt:variant>
      <vt:variant>
        <vt:i4>5</vt:i4>
      </vt:variant>
      <vt:variant>
        <vt:lpwstr/>
      </vt:variant>
      <vt:variant>
        <vt:lpwstr>_Toc179379639</vt:lpwstr>
      </vt:variant>
      <vt:variant>
        <vt:i4>1638457</vt:i4>
      </vt:variant>
      <vt:variant>
        <vt:i4>233</vt:i4>
      </vt:variant>
      <vt:variant>
        <vt:i4>0</vt:i4>
      </vt:variant>
      <vt:variant>
        <vt:i4>5</vt:i4>
      </vt:variant>
      <vt:variant>
        <vt:lpwstr/>
      </vt:variant>
      <vt:variant>
        <vt:lpwstr>_Toc179379638</vt:lpwstr>
      </vt:variant>
      <vt:variant>
        <vt:i4>1638457</vt:i4>
      </vt:variant>
      <vt:variant>
        <vt:i4>227</vt:i4>
      </vt:variant>
      <vt:variant>
        <vt:i4>0</vt:i4>
      </vt:variant>
      <vt:variant>
        <vt:i4>5</vt:i4>
      </vt:variant>
      <vt:variant>
        <vt:lpwstr/>
      </vt:variant>
      <vt:variant>
        <vt:lpwstr>_Toc179379637</vt:lpwstr>
      </vt:variant>
      <vt:variant>
        <vt:i4>1638457</vt:i4>
      </vt:variant>
      <vt:variant>
        <vt:i4>221</vt:i4>
      </vt:variant>
      <vt:variant>
        <vt:i4>0</vt:i4>
      </vt:variant>
      <vt:variant>
        <vt:i4>5</vt:i4>
      </vt:variant>
      <vt:variant>
        <vt:lpwstr/>
      </vt:variant>
      <vt:variant>
        <vt:lpwstr>_Toc179379636</vt:lpwstr>
      </vt:variant>
      <vt:variant>
        <vt:i4>1638457</vt:i4>
      </vt:variant>
      <vt:variant>
        <vt:i4>215</vt:i4>
      </vt:variant>
      <vt:variant>
        <vt:i4>0</vt:i4>
      </vt:variant>
      <vt:variant>
        <vt:i4>5</vt:i4>
      </vt:variant>
      <vt:variant>
        <vt:lpwstr/>
      </vt:variant>
      <vt:variant>
        <vt:lpwstr>_Toc179379635</vt:lpwstr>
      </vt:variant>
      <vt:variant>
        <vt:i4>1638457</vt:i4>
      </vt:variant>
      <vt:variant>
        <vt:i4>209</vt:i4>
      </vt:variant>
      <vt:variant>
        <vt:i4>0</vt:i4>
      </vt:variant>
      <vt:variant>
        <vt:i4>5</vt:i4>
      </vt:variant>
      <vt:variant>
        <vt:lpwstr/>
      </vt:variant>
      <vt:variant>
        <vt:lpwstr>_Toc179379634</vt:lpwstr>
      </vt:variant>
      <vt:variant>
        <vt:i4>1638457</vt:i4>
      </vt:variant>
      <vt:variant>
        <vt:i4>203</vt:i4>
      </vt:variant>
      <vt:variant>
        <vt:i4>0</vt:i4>
      </vt:variant>
      <vt:variant>
        <vt:i4>5</vt:i4>
      </vt:variant>
      <vt:variant>
        <vt:lpwstr/>
      </vt:variant>
      <vt:variant>
        <vt:lpwstr>_Toc179379633</vt:lpwstr>
      </vt:variant>
      <vt:variant>
        <vt:i4>1638457</vt:i4>
      </vt:variant>
      <vt:variant>
        <vt:i4>197</vt:i4>
      </vt:variant>
      <vt:variant>
        <vt:i4>0</vt:i4>
      </vt:variant>
      <vt:variant>
        <vt:i4>5</vt:i4>
      </vt:variant>
      <vt:variant>
        <vt:lpwstr/>
      </vt:variant>
      <vt:variant>
        <vt:lpwstr>_Toc179379632</vt:lpwstr>
      </vt:variant>
      <vt:variant>
        <vt:i4>1638457</vt:i4>
      </vt:variant>
      <vt:variant>
        <vt:i4>191</vt:i4>
      </vt:variant>
      <vt:variant>
        <vt:i4>0</vt:i4>
      </vt:variant>
      <vt:variant>
        <vt:i4>5</vt:i4>
      </vt:variant>
      <vt:variant>
        <vt:lpwstr/>
      </vt:variant>
      <vt:variant>
        <vt:lpwstr>_Toc179379631</vt:lpwstr>
      </vt:variant>
      <vt:variant>
        <vt:i4>1638457</vt:i4>
      </vt:variant>
      <vt:variant>
        <vt:i4>185</vt:i4>
      </vt:variant>
      <vt:variant>
        <vt:i4>0</vt:i4>
      </vt:variant>
      <vt:variant>
        <vt:i4>5</vt:i4>
      </vt:variant>
      <vt:variant>
        <vt:lpwstr/>
      </vt:variant>
      <vt:variant>
        <vt:lpwstr>_Toc179379630</vt:lpwstr>
      </vt:variant>
      <vt:variant>
        <vt:i4>1572921</vt:i4>
      </vt:variant>
      <vt:variant>
        <vt:i4>179</vt:i4>
      </vt:variant>
      <vt:variant>
        <vt:i4>0</vt:i4>
      </vt:variant>
      <vt:variant>
        <vt:i4>5</vt:i4>
      </vt:variant>
      <vt:variant>
        <vt:lpwstr/>
      </vt:variant>
      <vt:variant>
        <vt:lpwstr>_Toc179379629</vt:lpwstr>
      </vt:variant>
      <vt:variant>
        <vt:i4>1572921</vt:i4>
      </vt:variant>
      <vt:variant>
        <vt:i4>173</vt:i4>
      </vt:variant>
      <vt:variant>
        <vt:i4>0</vt:i4>
      </vt:variant>
      <vt:variant>
        <vt:i4>5</vt:i4>
      </vt:variant>
      <vt:variant>
        <vt:lpwstr/>
      </vt:variant>
      <vt:variant>
        <vt:lpwstr>_Toc179379628</vt:lpwstr>
      </vt:variant>
      <vt:variant>
        <vt:i4>1572921</vt:i4>
      </vt:variant>
      <vt:variant>
        <vt:i4>167</vt:i4>
      </vt:variant>
      <vt:variant>
        <vt:i4>0</vt:i4>
      </vt:variant>
      <vt:variant>
        <vt:i4>5</vt:i4>
      </vt:variant>
      <vt:variant>
        <vt:lpwstr/>
      </vt:variant>
      <vt:variant>
        <vt:lpwstr>_Toc179379627</vt:lpwstr>
      </vt:variant>
      <vt:variant>
        <vt:i4>1572921</vt:i4>
      </vt:variant>
      <vt:variant>
        <vt:i4>161</vt:i4>
      </vt:variant>
      <vt:variant>
        <vt:i4>0</vt:i4>
      </vt:variant>
      <vt:variant>
        <vt:i4>5</vt:i4>
      </vt:variant>
      <vt:variant>
        <vt:lpwstr/>
      </vt:variant>
      <vt:variant>
        <vt:lpwstr>_Toc179379626</vt:lpwstr>
      </vt:variant>
      <vt:variant>
        <vt:i4>1572921</vt:i4>
      </vt:variant>
      <vt:variant>
        <vt:i4>155</vt:i4>
      </vt:variant>
      <vt:variant>
        <vt:i4>0</vt:i4>
      </vt:variant>
      <vt:variant>
        <vt:i4>5</vt:i4>
      </vt:variant>
      <vt:variant>
        <vt:lpwstr/>
      </vt:variant>
      <vt:variant>
        <vt:lpwstr>_Toc179379625</vt:lpwstr>
      </vt:variant>
      <vt:variant>
        <vt:i4>1572921</vt:i4>
      </vt:variant>
      <vt:variant>
        <vt:i4>149</vt:i4>
      </vt:variant>
      <vt:variant>
        <vt:i4>0</vt:i4>
      </vt:variant>
      <vt:variant>
        <vt:i4>5</vt:i4>
      </vt:variant>
      <vt:variant>
        <vt:lpwstr/>
      </vt:variant>
      <vt:variant>
        <vt:lpwstr>_Toc179379624</vt:lpwstr>
      </vt:variant>
      <vt:variant>
        <vt:i4>1572921</vt:i4>
      </vt:variant>
      <vt:variant>
        <vt:i4>143</vt:i4>
      </vt:variant>
      <vt:variant>
        <vt:i4>0</vt:i4>
      </vt:variant>
      <vt:variant>
        <vt:i4>5</vt:i4>
      </vt:variant>
      <vt:variant>
        <vt:lpwstr/>
      </vt:variant>
      <vt:variant>
        <vt:lpwstr>_Toc179379623</vt:lpwstr>
      </vt:variant>
      <vt:variant>
        <vt:i4>1572921</vt:i4>
      </vt:variant>
      <vt:variant>
        <vt:i4>137</vt:i4>
      </vt:variant>
      <vt:variant>
        <vt:i4>0</vt:i4>
      </vt:variant>
      <vt:variant>
        <vt:i4>5</vt:i4>
      </vt:variant>
      <vt:variant>
        <vt:lpwstr/>
      </vt:variant>
      <vt:variant>
        <vt:lpwstr>_Toc179379622</vt:lpwstr>
      </vt:variant>
      <vt:variant>
        <vt:i4>1572921</vt:i4>
      </vt:variant>
      <vt:variant>
        <vt:i4>131</vt:i4>
      </vt:variant>
      <vt:variant>
        <vt:i4>0</vt:i4>
      </vt:variant>
      <vt:variant>
        <vt:i4>5</vt:i4>
      </vt:variant>
      <vt:variant>
        <vt:lpwstr/>
      </vt:variant>
      <vt:variant>
        <vt:lpwstr>_Toc179379621</vt:lpwstr>
      </vt:variant>
      <vt:variant>
        <vt:i4>1572921</vt:i4>
      </vt:variant>
      <vt:variant>
        <vt:i4>125</vt:i4>
      </vt:variant>
      <vt:variant>
        <vt:i4>0</vt:i4>
      </vt:variant>
      <vt:variant>
        <vt:i4>5</vt:i4>
      </vt:variant>
      <vt:variant>
        <vt:lpwstr/>
      </vt:variant>
      <vt:variant>
        <vt:lpwstr>_Toc179379620</vt:lpwstr>
      </vt:variant>
      <vt:variant>
        <vt:i4>1769529</vt:i4>
      </vt:variant>
      <vt:variant>
        <vt:i4>119</vt:i4>
      </vt:variant>
      <vt:variant>
        <vt:i4>0</vt:i4>
      </vt:variant>
      <vt:variant>
        <vt:i4>5</vt:i4>
      </vt:variant>
      <vt:variant>
        <vt:lpwstr/>
      </vt:variant>
      <vt:variant>
        <vt:lpwstr>_Toc179379619</vt:lpwstr>
      </vt:variant>
      <vt:variant>
        <vt:i4>1769529</vt:i4>
      </vt:variant>
      <vt:variant>
        <vt:i4>113</vt:i4>
      </vt:variant>
      <vt:variant>
        <vt:i4>0</vt:i4>
      </vt:variant>
      <vt:variant>
        <vt:i4>5</vt:i4>
      </vt:variant>
      <vt:variant>
        <vt:lpwstr/>
      </vt:variant>
      <vt:variant>
        <vt:lpwstr>_Toc179379618</vt:lpwstr>
      </vt:variant>
      <vt:variant>
        <vt:i4>1769529</vt:i4>
      </vt:variant>
      <vt:variant>
        <vt:i4>107</vt:i4>
      </vt:variant>
      <vt:variant>
        <vt:i4>0</vt:i4>
      </vt:variant>
      <vt:variant>
        <vt:i4>5</vt:i4>
      </vt:variant>
      <vt:variant>
        <vt:lpwstr/>
      </vt:variant>
      <vt:variant>
        <vt:lpwstr>_Toc179379617</vt:lpwstr>
      </vt:variant>
      <vt:variant>
        <vt:i4>1769529</vt:i4>
      </vt:variant>
      <vt:variant>
        <vt:i4>101</vt:i4>
      </vt:variant>
      <vt:variant>
        <vt:i4>0</vt:i4>
      </vt:variant>
      <vt:variant>
        <vt:i4>5</vt:i4>
      </vt:variant>
      <vt:variant>
        <vt:lpwstr/>
      </vt:variant>
      <vt:variant>
        <vt:lpwstr>_Toc179379616</vt:lpwstr>
      </vt:variant>
      <vt:variant>
        <vt:i4>1769529</vt:i4>
      </vt:variant>
      <vt:variant>
        <vt:i4>95</vt:i4>
      </vt:variant>
      <vt:variant>
        <vt:i4>0</vt:i4>
      </vt:variant>
      <vt:variant>
        <vt:i4>5</vt:i4>
      </vt:variant>
      <vt:variant>
        <vt:lpwstr/>
      </vt:variant>
      <vt:variant>
        <vt:lpwstr>_Toc179379615</vt:lpwstr>
      </vt:variant>
      <vt:variant>
        <vt:i4>1769529</vt:i4>
      </vt:variant>
      <vt:variant>
        <vt:i4>89</vt:i4>
      </vt:variant>
      <vt:variant>
        <vt:i4>0</vt:i4>
      </vt:variant>
      <vt:variant>
        <vt:i4>5</vt:i4>
      </vt:variant>
      <vt:variant>
        <vt:lpwstr/>
      </vt:variant>
      <vt:variant>
        <vt:lpwstr>_Toc179379614</vt:lpwstr>
      </vt:variant>
      <vt:variant>
        <vt:i4>1769529</vt:i4>
      </vt:variant>
      <vt:variant>
        <vt:i4>83</vt:i4>
      </vt:variant>
      <vt:variant>
        <vt:i4>0</vt:i4>
      </vt:variant>
      <vt:variant>
        <vt:i4>5</vt:i4>
      </vt:variant>
      <vt:variant>
        <vt:lpwstr/>
      </vt:variant>
      <vt:variant>
        <vt:lpwstr>_Toc179379613</vt:lpwstr>
      </vt:variant>
      <vt:variant>
        <vt:i4>1769529</vt:i4>
      </vt:variant>
      <vt:variant>
        <vt:i4>77</vt:i4>
      </vt:variant>
      <vt:variant>
        <vt:i4>0</vt:i4>
      </vt:variant>
      <vt:variant>
        <vt:i4>5</vt:i4>
      </vt:variant>
      <vt:variant>
        <vt:lpwstr/>
      </vt:variant>
      <vt:variant>
        <vt:lpwstr>_Toc179379612</vt:lpwstr>
      </vt:variant>
      <vt:variant>
        <vt:i4>1769529</vt:i4>
      </vt:variant>
      <vt:variant>
        <vt:i4>71</vt:i4>
      </vt:variant>
      <vt:variant>
        <vt:i4>0</vt:i4>
      </vt:variant>
      <vt:variant>
        <vt:i4>5</vt:i4>
      </vt:variant>
      <vt:variant>
        <vt:lpwstr/>
      </vt:variant>
      <vt:variant>
        <vt:lpwstr>_Toc179379611</vt:lpwstr>
      </vt:variant>
      <vt:variant>
        <vt:i4>1769529</vt:i4>
      </vt:variant>
      <vt:variant>
        <vt:i4>65</vt:i4>
      </vt:variant>
      <vt:variant>
        <vt:i4>0</vt:i4>
      </vt:variant>
      <vt:variant>
        <vt:i4>5</vt:i4>
      </vt:variant>
      <vt:variant>
        <vt:lpwstr/>
      </vt:variant>
      <vt:variant>
        <vt:lpwstr>_Toc179379610</vt:lpwstr>
      </vt:variant>
      <vt:variant>
        <vt:i4>1703993</vt:i4>
      </vt:variant>
      <vt:variant>
        <vt:i4>59</vt:i4>
      </vt:variant>
      <vt:variant>
        <vt:i4>0</vt:i4>
      </vt:variant>
      <vt:variant>
        <vt:i4>5</vt:i4>
      </vt:variant>
      <vt:variant>
        <vt:lpwstr/>
      </vt:variant>
      <vt:variant>
        <vt:lpwstr>_Toc179379609</vt:lpwstr>
      </vt:variant>
      <vt:variant>
        <vt:i4>1703993</vt:i4>
      </vt:variant>
      <vt:variant>
        <vt:i4>53</vt:i4>
      </vt:variant>
      <vt:variant>
        <vt:i4>0</vt:i4>
      </vt:variant>
      <vt:variant>
        <vt:i4>5</vt:i4>
      </vt:variant>
      <vt:variant>
        <vt:lpwstr/>
      </vt:variant>
      <vt:variant>
        <vt:lpwstr>_Toc179379608</vt:lpwstr>
      </vt:variant>
      <vt:variant>
        <vt:i4>1703993</vt:i4>
      </vt:variant>
      <vt:variant>
        <vt:i4>47</vt:i4>
      </vt:variant>
      <vt:variant>
        <vt:i4>0</vt:i4>
      </vt:variant>
      <vt:variant>
        <vt:i4>5</vt:i4>
      </vt:variant>
      <vt:variant>
        <vt:lpwstr/>
      </vt:variant>
      <vt:variant>
        <vt:lpwstr>_Toc179379607</vt:lpwstr>
      </vt:variant>
      <vt:variant>
        <vt:i4>1703993</vt:i4>
      </vt:variant>
      <vt:variant>
        <vt:i4>41</vt:i4>
      </vt:variant>
      <vt:variant>
        <vt:i4>0</vt:i4>
      </vt:variant>
      <vt:variant>
        <vt:i4>5</vt:i4>
      </vt:variant>
      <vt:variant>
        <vt:lpwstr/>
      </vt:variant>
      <vt:variant>
        <vt:lpwstr>_Toc179379606</vt:lpwstr>
      </vt:variant>
      <vt:variant>
        <vt:i4>1703993</vt:i4>
      </vt:variant>
      <vt:variant>
        <vt:i4>35</vt:i4>
      </vt:variant>
      <vt:variant>
        <vt:i4>0</vt:i4>
      </vt:variant>
      <vt:variant>
        <vt:i4>5</vt:i4>
      </vt:variant>
      <vt:variant>
        <vt:lpwstr/>
      </vt:variant>
      <vt:variant>
        <vt:lpwstr>_Toc179379605</vt:lpwstr>
      </vt:variant>
      <vt:variant>
        <vt:i4>1703993</vt:i4>
      </vt:variant>
      <vt:variant>
        <vt:i4>29</vt:i4>
      </vt:variant>
      <vt:variant>
        <vt:i4>0</vt:i4>
      </vt:variant>
      <vt:variant>
        <vt:i4>5</vt:i4>
      </vt:variant>
      <vt:variant>
        <vt:lpwstr/>
      </vt:variant>
      <vt:variant>
        <vt:lpwstr>_Toc179379604</vt:lpwstr>
      </vt:variant>
      <vt:variant>
        <vt:i4>1703993</vt:i4>
      </vt:variant>
      <vt:variant>
        <vt:i4>23</vt:i4>
      </vt:variant>
      <vt:variant>
        <vt:i4>0</vt:i4>
      </vt:variant>
      <vt:variant>
        <vt:i4>5</vt:i4>
      </vt:variant>
      <vt:variant>
        <vt:lpwstr/>
      </vt:variant>
      <vt:variant>
        <vt:lpwstr>_Toc179379603</vt:lpwstr>
      </vt:variant>
      <vt:variant>
        <vt:i4>1703993</vt:i4>
      </vt:variant>
      <vt:variant>
        <vt:i4>17</vt:i4>
      </vt:variant>
      <vt:variant>
        <vt:i4>0</vt:i4>
      </vt:variant>
      <vt:variant>
        <vt:i4>5</vt:i4>
      </vt:variant>
      <vt:variant>
        <vt:lpwstr/>
      </vt:variant>
      <vt:variant>
        <vt:lpwstr>_Toc179379602</vt:lpwstr>
      </vt:variant>
      <vt:variant>
        <vt:i4>1703993</vt:i4>
      </vt:variant>
      <vt:variant>
        <vt:i4>11</vt:i4>
      </vt:variant>
      <vt:variant>
        <vt:i4>0</vt:i4>
      </vt:variant>
      <vt:variant>
        <vt:i4>5</vt:i4>
      </vt:variant>
      <vt:variant>
        <vt:lpwstr/>
      </vt:variant>
      <vt:variant>
        <vt:lpwstr>_Toc179379601</vt:lpwstr>
      </vt:variant>
      <vt:variant>
        <vt:i4>3866674</vt:i4>
      </vt:variant>
      <vt:variant>
        <vt:i4>6</vt:i4>
      </vt:variant>
      <vt:variant>
        <vt:i4>0</vt:i4>
      </vt:variant>
      <vt:variant>
        <vt:i4>5</vt:i4>
      </vt:variant>
      <vt:variant>
        <vt:lpwstr>https://www.nhmrc.gov.au/about-us/leadership-and-governance/committees/natural-therapies-working-committee</vt:lpwstr>
      </vt:variant>
      <vt:variant>
        <vt:lpwstr/>
      </vt:variant>
      <vt:variant>
        <vt:i4>6684735</vt:i4>
      </vt:variant>
      <vt:variant>
        <vt:i4>3</vt:i4>
      </vt:variant>
      <vt:variant>
        <vt:i4>0</vt:i4>
      </vt:variant>
      <vt:variant>
        <vt:i4>5</vt:i4>
      </vt:variant>
      <vt:variant>
        <vt:lpwstr>https://www.health.gov.au/committees-and-groups/natural-therapies-review-expert-advisory-panel</vt:lpwstr>
      </vt:variant>
      <vt:variant>
        <vt:lpwstr/>
      </vt:variant>
      <vt:variant>
        <vt:i4>5636157</vt:i4>
      </vt:variant>
      <vt:variant>
        <vt:i4>0</vt:i4>
      </vt:variant>
      <vt:variant>
        <vt:i4>0</vt:i4>
      </vt:variant>
      <vt:variant>
        <vt:i4>5</vt:i4>
      </vt:variant>
      <vt:variant>
        <vt:lpwstr>mailto:communications@nhmrc.gov.au</vt:lpwstr>
      </vt:variant>
      <vt:variant>
        <vt:lpwstr/>
      </vt:variant>
      <vt:variant>
        <vt:i4>3866667</vt:i4>
      </vt:variant>
      <vt:variant>
        <vt:i4>15</vt:i4>
      </vt:variant>
      <vt:variant>
        <vt:i4>0</vt:i4>
      </vt:variant>
      <vt:variant>
        <vt:i4>5</vt:i4>
      </vt:variant>
      <vt:variant>
        <vt:lpwstr>https://www.tga.gov.au/news/safety-alerts/health-supplements-containing-vitamin-b6-can-cause-peripheral-neuropathy</vt:lpwstr>
      </vt:variant>
      <vt:variant>
        <vt:lpwstr>why-tga-made-these-labelling-and-use-changes</vt:lpwstr>
      </vt:variant>
      <vt:variant>
        <vt:i4>3866667</vt:i4>
      </vt:variant>
      <vt:variant>
        <vt:i4>12</vt:i4>
      </vt:variant>
      <vt:variant>
        <vt:i4>0</vt:i4>
      </vt:variant>
      <vt:variant>
        <vt:i4>5</vt:i4>
      </vt:variant>
      <vt:variant>
        <vt:lpwstr>https://www.tga.gov.au/news/safety-alerts/health-supplements-containing-vitamin-b6-can-cause-peripheral-neuropathy</vt:lpwstr>
      </vt:variant>
      <vt:variant>
        <vt:lpwstr>why-tga-made-these-labelling-and-use-changes</vt:lpwstr>
      </vt:variant>
      <vt:variant>
        <vt:i4>3866667</vt:i4>
      </vt:variant>
      <vt:variant>
        <vt:i4>9</vt:i4>
      </vt:variant>
      <vt:variant>
        <vt:i4>0</vt:i4>
      </vt:variant>
      <vt:variant>
        <vt:i4>5</vt:i4>
      </vt:variant>
      <vt:variant>
        <vt:lpwstr>https://www.tga.gov.au/news/safety-alerts/health-supplements-containing-vitamin-b6-can-cause-peripheral-neuropathy</vt:lpwstr>
      </vt:variant>
      <vt:variant>
        <vt:lpwstr>why-tga-made-these-labelling-and-use-changes</vt:lpwstr>
      </vt:variant>
      <vt:variant>
        <vt:i4>3866667</vt:i4>
      </vt:variant>
      <vt:variant>
        <vt:i4>6</vt:i4>
      </vt:variant>
      <vt:variant>
        <vt:i4>0</vt:i4>
      </vt:variant>
      <vt:variant>
        <vt:i4>5</vt:i4>
      </vt:variant>
      <vt:variant>
        <vt:lpwstr>https://www.tga.gov.au/news/safety-alerts/health-supplements-containing-vitamin-b6-can-cause-peripheral-neuropathy</vt:lpwstr>
      </vt:variant>
      <vt:variant>
        <vt:lpwstr>why-tga-made-these-labelling-and-use-changes</vt:lpwstr>
      </vt:variant>
      <vt:variant>
        <vt:i4>3866667</vt:i4>
      </vt:variant>
      <vt:variant>
        <vt:i4>3</vt:i4>
      </vt:variant>
      <vt:variant>
        <vt:i4>0</vt:i4>
      </vt:variant>
      <vt:variant>
        <vt:i4>5</vt:i4>
      </vt:variant>
      <vt:variant>
        <vt:lpwstr>https://www.tga.gov.au/news/safety-alerts/health-supplements-containing-vitamin-b6-can-cause-peripheral-neuropathy</vt:lpwstr>
      </vt:variant>
      <vt:variant>
        <vt:lpwstr>why-tga-made-these-labelling-and-use-changes</vt:lpwstr>
      </vt:variant>
      <vt:variant>
        <vt:i4>3866667</vt:i4>
      </vt:variant>
      <vt:variant>
        <vt:i4>0</vt:i4>
      </vt:variant>
      <vt:variant>
        <vt:i4>0</vt:i4>
      </vt:variant>
      <vt:variant>
        <vt:i4>5</vt:i4>
      </vt:variant>
      <vt:variant>
        <vt:lpwstr>https://www.tga.gov.au/news/safety-alerts/health-supplements-containing-vitamin-b6-can-cause-peripheral-neuropathy</vt:lpwstr>
      </vt:variant>
      <vt:variant>
        <vt:lpwstr>why-tga-made-these-labelling-and-use-changes</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Natural Therapies Review 2024 – Naturopathy supplements evidence evaluation – Main report</dc:title>
  <dc:subject>Private health insurance</dc:subject>
  <dc:creator>Australian Government Department of Health and Aged Care</dc:creator>
  <cp:keywords>PHI</cp:keywords>
  <dc:description/>
  <cp:lastModifiedBy>MCCAY, Meryl</cp:lastModifiedBy>
  <cp:revision>312</cp:revision>
  <dcterms:created xsi:type="dcterms:W3CDTF">2024-11-17T20:15:00Z</dcterms:created>
  <dcterms:modified xsi:type="dcterms:W3CDTF">2025-03-31T02:26:00Z</dcterms:modified>
</cp:coreProperties>
</file>